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480" w:lineRule="auto"/>
        <w:rPr>
          <w:rFonts w:ascii="Times New Roman" w:hAnsi="Times New Roman"/>
          <w:sz w:val="24"/>
        </w:rPr>
      </w:pPr>
      <w:r>
        <w:rPr>
          <w:rFonts w:ascii="Times New Roman" w:hAnsi="Times New Roman"/>
          <w:b/>
          <w:sz w:val="24"/>
        </w:rPr>
        <w:t xml:space="preserve">Introduction</w:t>
      </w:r>
    </w:p>
    <w:p>
      <w:pPr>
        <w:spacing w:line="480" w:lineRule="auto"/>
        <w:ind w:firstLine="480"/>
        <w:rPr>
          <w:rFonts w:ascii="Times New Roman" w:hAnsi="Times New Roman"/>
          <w:sz w:val="24"/>
        </w:rPr>
      </w:pPr>
      <w:r>
        <w:rPr>
          <w:rFonts w:ascii="Times New Roman" w:hAnsi="Times New Roman"/>
          <w:sz w:val="24"/>
        </w:rPr>
        <w:t xml:space="preserve">Organizational newcomers confront a quiet contradiction in their first months on the job. They are expected to demonstrate competence to colleagues and supervisors who are still deciding whether hiring them was the right call, yet they are also there to learn work they have not yet mastered {Bauer, 2007 #1; Bauer, 2025 #371}. These two demands pull in opposite directions. The surest way to look competent is to make no mistakes; the surest way to learn is to make them, examine them, and act differently the next time. How newcomers navigate this tension—whether their early errors become evidence against them or raw material for development—shapes not only their immediate performance but their trajectory in the organization for years afterward {Chen, 2005 #117; Kammeyer-Mueller, 2013 #148}.</w:t>
      </w:r>
    </w:p>
    <w:p>
      <w:pPr>
        <w:spacing w:line="480" w:lineRule="auto"/>
        <w:ind w:firstLine="480"/>
        <w:rPr>
          <w:rFonts w:ascii="Times New Roman" w:hAnsi="Times New Roman"/>
          <w:sz w:val="24"/>
        </w:rPr>
      </w:pPr>
      <w:r>
        <w:rPr>
          <w:rFonts w:ascii="Times New Roman" w:hAnsi="Times New Roman"/>
          <w:sz w:val="24"/>
        </w:rPr>
        <w:t xml:space="preserve">Socialization research has built a rich account of what readies newcomers to meet this challenge. Individual dispositions such as learning goal orientation and proactive personality channel newcomers’ motivation to engage with difficult, unfamiliar work {Cooper-Thomas, 2014; Tan, 2016; Gao, 2024}, while relational climates—above all, psychological safety—give them the security to take interpersonal risks and admit mistakes without fear of reprisal {Edmondson, 1999 #96; Mukerjee, 2022; Montani, 2025}. This work has taught us a great deal about why newcomers are willing to commit and disclose errors. It has told us far less about what happens next. An error, once committed and disclosed, is not self-interpreting feedback. To yield learning, it must be diagnosed, traced to the action that produced it, and converted into a revised way of working—and nothing about feeling safe or motivated guarantees that this conversion occurs. The comfort to make an error is not the capacity to learn from it. Two newcomers equally willing to err may differ sharply in whether their mistakes compound into competence or simply recur, and existing accounts, trained on the conditions that precede an error, are largely silent on the cognitive-procedural process that follows it.</w:t>
      </w:r>
    </w:p>
    <w:p>
      <w:pPr>
        <w:spacing w:line="480" w:lineRule="auto"/>
        <w:ind w:firstLine="480"/>
        <w:rPr>
          <w:rFonts w:ascii="Times New Roman" w:hAnsi="Times New Roman"/>
          <w:sz w:val="24"/>
        </w:rPr>
      </w:pPr>
      <w:r>
        <w:rPr>
          <w:rFonts w:ascii="Times New Roman" w:hAnsi="Times New Roman"/>
          <w:sz w:val="24"/>
        </w:rPr>
        <w:t xml:space="preserve">We therefore ask a question the field has left open: once newcomers commit errors, what determines whether those errors are converted into learning, and what observable signature does that conversion leave? To answer it, we integrate action regulation theory {Frese, 1994 #17; Frese, 2015 #18} with deviation-amplifying spiral logic {Maruyama, 1963 #387; Masuch, 1985 #386}. Action regulation theory explains the conversion at the level of a single error: a mistake forces a shift from routine execution to higher-order regulation—reevaluating assumptions, restructuring strategy, and revising action—but only when attention is turned toward analyzing the error rather than defending against it. We focus on action errors, the unintended deviations from the goals, rules, and standards that govern how a task is carried out {Van Dyck, 2005 #16; Frese, 2015 #18}. Action errors concern the procedural quality of execution and are conceptually distinct from overall performance, the holistic judgment of a newcomer’s effectiveness in the role: the former is a proximal process, the latter a distal outcome. The distinction matters, because it lets us treat the reduction of errors not as a synonym for performance but as a visible trace of the regulatory learning that produces it.</w:t>
      </w:r>
    </w:p>
    <w:p>
      <w:pPr>
        <w:spacing w:line="480" w:lineRule="auto"/>
        <w:ind w:firstLine="480"/>
        <w:rPr>
          <w:rFonts w:ascii="Times New Roman" w:hAnsi="Times New Roman"/>
          <w:sz w:val="24"/>
        </w:rPr>
      </w:pPr>
      <w:r>
        <w:rPr>
          <w:rFonts w:ascii="Times New Roman" w:hAnsi="Times New Roman"/>
          <w:sz w:val="24"/>
        </w:rPr>
        <w:t xml:space="preserve">Deviation-amplifying spiral logic adds the dimension action regulation theory has lacked: time. A single conversion is one gain, but onboarding is a succession of them, and we argue these gains compound. Early in entry, when a newcomer’s grasp of the task is still thin, each error worked through strengthens the very capacity that makes the next error easier to diagnose, so improvement becomes self-fueling rather than merely additive. The result is a distinctive temporal form—an accelerating decline in errors—that runs opposite to the decelerating curve of classic skill acquisition, where the largest gains arrive first as a bounded skill is honed toward a ceiling {Newell, 1981 #381; Argote, 2021}. Whether this spiral takes hold, however, is not automatic. We theorize that it is governed by the team’s error culture. An error management culture, which treats errors as occasions for analysis, frees newcomers to engage in the higher-order regulation that fuels the spiral; an error aversion culture, which treats errors as threats to be concealed, pulls attention toward self-protection and starves the spiral of fuel. And because errors during entry are ambiguous events that demand sensemaking about their causes {Weick, 1995 #145; Maitlis, 2014 #385}, we expect a newcomer’s external locus of control—the tendency to attribute outcomes to forces beyond one’s control {Rotter, 1966 #369}—to condition how far a supportive culture is actually taken up.</w:t>
      </w:r>
    </w:p>
    <w:p>
      <w:pPr>
        <w:spacing w:line="480" w:lineRule="auto"/>
        <w:ind w:firstLine="480"/>
        <w:rPr>
          <w:rFonts w:ascii="Times New Roman" w:hAnsi="Times New Roman"/>
          <w:sz w:val="24"/>
        </w:rPr>
      </w:pPr>
      <w:r>
        <w:rPr>
          <w:rFonts w:ascii="Times New Roman" w:hAnsi="Times New Roman"/>
          <w:sz w:val="24"/>
        </w:rPr>
        <w:t xml:space="preserve">This reasoning carries an implication that reorders how newcomer potential should be read. If the curvature of the error trajectory reflects compounding regulatory capacity, then how a newcomer’s errors fall should predict performance over and above how many errors remain at the end of onboarding. Two newcomers may reach the same final error level, yet the one whose reduction accelerated has demonstrated a transferable capacity that the other, sitting at a static level, has not; velocity carries information that level cannot {Hsee, 1991 #121; Johnson, 2013 #29}. We test this model across two studies. In Study 1, we develop and content-validate a measure of newcomer action error. In Study 2—a five-wave, four-source field study of 294 newcomer-team units in a pharmaceutical firm—we measure team error culture through coworker ratings collected one month before each newcomer arrives, establishing the team antecedent prior to entry, and then track mentor-rated action errors across the first four months and leader-rated performance at the close of onboarding.</w:t>
      </w:r>
    </w:p>
    <w:p>
      <w:pPr>
        <w:spacing w:line="480" w:lineRule="auto"/>
        <w:ind w:firstLine="480"/>
        <w:rPr>
          <w:rFonts w:ascii="Times New Roman" w:hAnsi="Times New Roman"/>
          <w:sz w:val="24"/>
        </w:rPr>
      </w:pPr>
      <w:r>
        <w:rPr>
          <w:rFonts w:ascii="Times New Roman" w:hAnsi="Times New Roman"/>
          <w:sz w:val="24"/>
        </w:rPr>
        <w:t xml:space="preserve">Our study makes three contributions. First, we relocate where learning is won or lost in socialization. The field has concentrated on the forces that make newcomers ready to learn—their motivation and their safety; we show that these operate upstream of the moment learning actually happens, and that a distinct, cognitive-procedural force—team error culture—governs whether a surfaced error is converted into capability. Second, we extend action regulation theory by giving it a temporal architecture. Integrating it with spiral logic lets us specify when error-based learning gathers momentum rather than dissipates, distinguishing the accelerating dynamic of early role learning from the decelerating dynamic of skill refinement—a developmental contingency the theory has not previously articulated. Third, we reconceive the error trajectory itself as a signal of learning. By separating action error from performance and showing that the trajectory’s curvature predicts performance beyond its endpoint, we offer scholars and managers a new way to read newcomer potential: not by how few errors a newcomer makes, but by how fast those errors are falling. A newcomer who begins rough but improves at an accelerating rate may be building deeper capacity than one who starts clean and then plateaus.</w:t>
      </w:r>
    </w:p>
    <w:sectPr>
      <w:pgSz w:w="12240" w:h="15840"/>
      <w:pgMar w:top="1440" w:bottom="1440" w:left="1440" w:right="1440"/>
    </w:sectPr>
  </w:body>
</w:document>
</file>