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5C9A0">
      <w:pPr>
        <w:pStyle w:val="33"/>
      </w:pPr>
      <w:bookmarkStart w:id="40" w:name="_GoBack"/>
      <w:bookmarkEnd w:id="40"/>
      <w:r>
        <w:rPr>
          <w:rFonts w:ascii="Arial" w:hAnsi="Arial" w:eastAsia="黑体"/>
          <w:b/>
          <w:color w:val="000000"/>
          <w:sz w:val="36"/>
        </w:rPr>
        <w:t>差分隐私学习总结</w:t>
      </w:r>
    </w:p>
    <w:p w14:paraId="2C2CA85F">
      <w:pPr>
        <w:keepNext w:val="0"/>
        <w:spacing w:before="0" w:after="240" w:line="360" w:lineRule="auto"/>
        <w:ind w:firstLine="0"/>
        <w:jc w:val="center"/>
      </w:pPr>
      <w:r>
        <w:rPr>
          <w:rFonts w:ascii="Arial" w:hAnsi="Arial" w:eastAsia="楷体"/>
          <w:b w:val="0"/>
          <w:color w:val="000000"/>
          <w:sz w:val="24"/>
        </w:rPr>
        <w:t>基于 Dwork–Roth 专著与两篇中文综述，及 2025 年拆分学习应用论文的综合整理</w:t>
      </w:r>
    </w:p>
    <w:p w14:paraId="2207F51C">
      <w:pPr>
        <w:keepNext w:val="0"/>
        <w:spacing w:before="0" w:after="0" w:line="360" w:lineRule="auto"/>
        <w:ind w:firstLine="0"/>
        <w:jc w:val="center"/>
      </w:pPr>
      <w:r>
        <w:rPr>
          <w:rFonts w:ascii="Arial" w:hAnsi="Arial" w:eastAsia="黑体"/>
          <w:b/>
          <w:color w:val="000000"/>
          <w:sz w:val="32"/>
        </w:rPr>
        <w:t>目  录</w:t>
      </w:r>
    </w:p>
    <w:p w14:paraId="42D04404">
      <w:pPr>
        <w:pStyle w:val="26"/>
        <w:tabs>
          <w:tab w:val="right" w:leader="dot" w:pos="9072"/>
        </w:tabs>
      </w:pPr>
      <w:r>
        <w:fldChar w:fldCharType="begin"/>
      </w:r>
      <w:r>
        <w:instrText xml:space="preserve">TOC \o "1-2" \h \z \u</w:instrText>
      </w:r>
      <w:r>
        <w:fldChar w:fldCharType="separate"/>
      </w:r>
      <w:r>
        <w:fldChar w:fldCharType="begin"/>
      </w:r>
      <w:r>
        <w:instrText xml:space="preserve"> HYPERLINK \l _Toc12344 </w:instrText>
      </w:r>
      <w:r>
        <w:fldChar w:fldCharType="separate"/>
      </w:r>
      <w:r>
        <w:rPr>
          <w:rFonts w:ascii="Arial" w:hAnsi="Arial" w:eastAsia="黑体"/>
        </w:rPr>
        <w:t>1  学习材料与知识全景</w:t>
      </w:r>
      <w:r>
        <w:tab/>
      </w:r>
      <w:r>
        <w:fldChar w:fldCharType="begin"/>
      </w:r>
      <w:r>
        <w:instrText xml:space="preserve"> PAGEREF _Toc12344 \h </w:instrText>
      </w:r>
      <w:r>
        <w:fldChar w:fldCharType="separate"/>
      </w:r>
      <w:r>
        <w:t>3</w:t>
      </w:r>
      <w:r>
        <w:fldChar w:fldCharType="end"/>
      </w:r>
      <w:r>
        <w:fldChar w:fldCharType="end"/>
      </w:r>
    </w:p>
    <w:p w14:paraId="49CB1808">
      <w:pPr>
        <w:pStyle w:val="29"/>
        <w:tabs>
          <w:tab w:val="right" w:leader="dot" w:pos="9072"/>
        </w:tabs>
      </w:pPr>
      <w:r>
        <w:fldChar w:fldCharType="begin"/>
      </w:r>
      <w:r>
        <w:instrText xml:space="preserve"> HYPERLINK \l _Toc16599 </w:instrText>
      </w:r>
      <w:r>
        <w:fldChar w:fldCharType="separate"/>
      </w:r>
      <w:r>
        <w:rPr>
          <w:rFonts w:ascii="Arial" w:hAnsi="Arial" w:eastAsia="黑体"/>
        </w:rPr>
        <w:t>1.1  四份材料总览</w:t>
      </w:r>
      <w:r>
        <w:tab/>
      </w:r>
      <w:r>
        <w:fldChar w:fldCharType="begin"/>
      </w:r>
      <w:r>
        <w:instrText xml:space="preserve"> PAGEREF _Toc16599 \h </w:instrText>
      </w:r>
      <w:r>
        <w:fldChar w:fldCharType="separate"/>
      </w:r>
      <w:r>
        <w:t>3</w:t>
      </w:r>
      <w:r>
        <w:fldChar w:fldCharType="end"/>
      </w:r>
      <w:r>
        <w:fldChar w:fldCharType="end"/>
      </w:r>
    </w:p>
    <w:p w14:paraId="325B1E40">
      <w:pPr>
        <w:pStyle w:val="29"/>
        <w:tabs>
          <w:tab w:val="right" w:leader="dot" w:pos="9072"/>
        </w:tabs>
      </w:pPr>
      <w:r>
        <w:fldChar w:fldCharType="begin"/>
      </w:r>
      <w:r>
        <w:instrText xml:space="preserve"> HYPERLINK \l _Toc5768 </w:instrText>
      </w:r>
      <w:r>
        <w:fldChar w:fldCharType="separate"/>
      </w:r>
      <w:r>
        <w:rPr>
          <w:rFonts w:ascii="Arial" w:hAnsi="Arial" w:eastAsia="黑体"/>
        </w:rPr>
        <w:t>1.2  材料间关系与推荐学习顺序</w:t>
      </w:r>
      <w:r>
        <w:tab/>
      </w:r>
      <w:r>
        <w:fldChar w:fldCharType="begin"/>
      </w:r>
      <w:r>
        <w:instrText xml:space="preserve"> PAGEREF _Toc5768 \h </w:instrText>
      </w:r>
      <w:r>
        <w:fldChar w:fldCharType="separate"/>
      </w:r>
      <w:r>
        <w:t>3</w:t>
      </w:r>
      <w:r>
        <w:fldChar w:fldCharType="end"/>
      </w:r>
      <w:r>
        <w:fldChar w:fldCharType="end"/>
      </w:r>
    </w:p>
    <w:p w14:paraId="64809E51">
      <w:pPr>
        <w:pStyle w:val="26"/>
        <w:tabs>
          <w:tab w:val="right" w:leader="dot" w:pos="9072"/>
        </w:tabs>
      </w:pPr>
      <w:r>
        <w:fldChar w:fldCharType="begin"/>
      </w:r>
      <w:r>
        <w:instrText xml:space="preserve"> HYPERLINK \l _Toc12026 </w:instrText>
      </w:r>
      <w:r>
        <w:fldChar w:fldCharType="separate"/>
      </w:r>
      <w:r>
        <w:rPr>
          <w:rFonts w:ascii="Arial" w:hAnsi="Arial" w:eastAsia="黑体"/>
        </w:rPr>
        <w:t>2  差分隐私基础理论</w:t>
      </w:r>
      <w:r>
        <w:tab/>
      </w:r>
      <w:r>
        <w:fldChar w:fldCharType="begin"/>
      </w:r>
      <w:r>
        <w:instrText xml:space="preserve"> PAGEREF _Toc12026 \h </w:instrText>
      </w:r>
      <w:r>
        <w:fldChar w:fldCharType="separate"/>
      </w:r>
      <w:r>
        <w:t>4</w:t>
      </w:r>
      <w:r>
        <w:fldChar w:fldCharType="end"/>
      </w:r>
      <w:r>
        <w:fldChar w:fldCharType="end"/>
      </w:r>
    </w:p>
    <w:p w14:paraId="0190B2F2">
      <w:pPr>
        <w:pStyle w:val="29"/>
        <w:tabs>
          <w:tab w:val="right" w:leader="dot" w:pos="9072"/>
        </w:tabs>
      </w:pPr>
      <w:r>
        <w:fldChar w:fldCharType="begin"/>
      </w:r>
      <w:r>
        <w:instrText xml:space="preserve"> HYPERLINK \l _Toc18565 </w:instrText>
      </w:r>
      <w:r>
        <w:fldChar w:fldCharType="separate"/>
      </w:r>
      <w:r>
        <w:rPr>
          <w:rFonts w:ascii="Arial" w:hAnsi="Arial" w:eastAsia="黑体"/>
        </w:rPr>
        <w:t>2.1  动机：为什么需要差分隐私</w:t>
      </w:r>
      <w:r>
        <w:tab/>
      </w:r>
      <w:r>
        <w:fldChar w:fldCharType="begin"/>
      </w:r>
      <w:r>
        <w:instrText xml:space="preserve"> PAGEREF _Toc18565 \h </w:instrText>
      </w:r>
      <w:r>
        <w:fldChar w:fldCharType="separate"/>
      </w:r>
      <w:r>
        <w:t>4</w:t>
      </w:r>
      <w:r>
        <w:fldChar w:fldCharType="end"/>
      </w:r>
      <w:r>
        <w:fldChar w:fldCharType="end"/>
      </w:r>
    </w:p>
    <w:p w14:paraId="6FEB36B6">
      <w:pPr>
        <w:pStyle w:val="29"/>
        <w:tabs>
          <w:tab w:val="right" w:leader="dot" w:pos="9072"/>
        </w:tabs>
      </w:pPr>
      <w:r>
        <w:fldChar w:fldCharType="begin"/>
      </w:r>
      <w:r>
        <w:instrText xml:space="preserve"> HYPERLINK \l _Toc1267 </w:instrText>
      </w:r>
      <w:r>
        <w:fldChar w:fldCharType="separate"/>
      </w:r>
      <w:r>
        <w:rPr>
          <w:rFonts w:ascii="Arial" w:hAnsi="Arial" w:eastAsia="黑体"/>
        </w:rPr>
        <w:t>2.2  形式化定义</w:t>
      </w:r>
      <w:r>
        <w:tab/>
      </w:r>
      <w:r>
        <w:fldChar w:fldCharType="begin"/>
      </w:r>
      <w:r>
        <w:instrText xml:space="preserve"> PAGEREF _Toc1267 \h </w:instrText>
      </w:r>
      <w:r>
        <w:fldChar w:fldCharType="separate"/>
      </w:r>
      <w:r>
        <w:t>4</w:t>
      </w:r>
      <w:r>
        <w:fldChar w:fldCharType="end"/>
      </w:r>
      <w:r>
        <w:fldChar w:fldCharType="end"/>
      </w:r>
    </w:p>
    <w:p w14:paraId="5F1AEB43">
      <w:pPr>
        <w:pStyle w:val="29"/>
        <w:tabs>
          <w:tab w:val="right" w:leader="dot" w:pos="9072"/>
        </w:tabs>
      </w:pPr>
      <w:r>
        <w:fldChar w:fldCharType="begin"/>
      </w:r>
      <w:r>
        <w:instrText xml:space="preserve"> HYPERLINK \l _Toc24430 </w:instrText>
      </w:r>
      <w:r>
        <w:fldChar w:fldCharType="separate"/>
      </w:r>
      <w:r>
        <w:rPr>
          <w:rFonts w:ascii="Arial" w:hAnsi="Arial" w:eastAsia="黑体"/>
        </w:rPr>
        <w:t>2.3  隐私保护预算与敏感度</w:t>
      </w:r>
      <w:r>
        <w:tab/>
      </w:r>
      <w:r>
        <w:fldChar w:fldCharType="begin"/>
      </w:r>
      <w:r>
        <w:instrText xml:space="preserve"> PAGEREF _Toc24430 \h </w:instrText>
      </w:r>
      <w:r>
        <w:fldChar w:fldCharType="separate"/>
      </w:r>
      <w:r>
        <w:t>5</w:t>
      </w:r>
      <w:r>
        <w:fldChar w:fldCharType="end"/>
      </w:r>
      <w:r>
        <w:fldChar w:fldCharType="end"/>
      </w:r>
    </w:p>
    <w:p w14:paraId="0EB8F6FA">
      <w:pPr>
        <w:pStyle w:val="29"/>
        <w:tabs>
          <w:tab w:val="right" w:leader="dot" w:pos="9072"/>
        </w:tabs>
      </w:pPr>
      <w:r>
        <w:fldChar w:fldCharType="begin"/>
      </w:r>
      <w:r>
        <w:instrText xml:space="preserve"> HYPERLINK \l _Toc24538 </w:instrText>
      </w:r>
      <w:r>
        <w:fldChar w:fldCharType="separate"/>
      </w:r>
      <w:r>
        <w:rPr>
          <w:rFonts w:ascii="Arial" w:hAnsi="Arial" w:eastAsia="黑体"/>
        </w:rPr>
        <w:t>2.4  组合性质</w:t>
      </w:r>
      <w:r>
        <w:tab/>
      </w:r>
      <w:r>
        <w:fldChar w:fldCharType="begin"/>
      </w:r>
      <w:r>
        <w:instrText xml:space="preserve"> PAGEREF _Toc24538 \h </w:instrText>
      </w:r>
      <w:r>
        <w:fldChar w:fldCharType="separate"/>
      </w:r>
      <w:r>
        <w:t>5</w:t>
      </w:r>
      <w:r>
        <w:fldChar w:fldCharType="end"/>
      </w:r>
      <w:r>
        <w:fldChar w:fldCharType="end"/>
      </w:r>
    </w:p>
    <w:p w14:paraId="1E4B22CE">
      <w:pPr>
        <w:pStyle w:val="29"/>
        <w:tabs>
          <w:tab w:val="right" w:leader="dot" w:pos="9072"/>
        </w:tabs>
      </w:pPr>
      <w:r>
        <w:fldChar w:fldCharType="begin"/>
      </w:r>
      <w:r>
        <w:instrText xml:space="preserve"> HYPERLINK \l _Toc12652 </w:instrText>
      </w:r>
      <w:r>
        <w:fldChar w:fldCharType="separate"/>
      </w:r>
      <w:r>
        <w:rPr>
          <w:rFonts w:ascii="Arial" w:hAnsi="Arial" w:eastAsia="黑体"/>
        </w:rPr>
        <w:t>2.5  基本实现机制</w:t>
      </w:r>
      <w:r>
        <w:tab/>
      </w:r>
      <w:r>
        <w:fldChar w:fldCharType="begin"/>
      </w:r>
      <w:r>
        <w:instrText xml:space="preserve"> PAGEREF _Toc12652 \h </w:instrText>
      </w:r>
      <w:r>
        <w:fldChar w:fldCharType="separate"/>
      </w:r>
      <w:r>
        <w:t>6</w:t>
      </w:r>
      <w:r>
        <w:fldChar w:fldCharType="end"/>
      </w:r>
      <w:r>
        <w:fldChar w:fldCharType="end"/>
      </w:r>
    </w:p>
    <w:p w14:paraId="04B5D429">
      <w:pPr>
        <w:pStyle w:val="29"/>
        <w:tabs>
          <w:tab w:val="right" w:leader="dot" w:pos="9072"/>
        </w:tabs>
      </w:pPr>
      <w:r>
        <w:fldChar w:fldCharType="begin"/>
      </w:r>
      <w:r>
        <w:instrText xml:space="preserve"> HYPERLINK \l _Toc31970 </w:instrText>
      </w:r>
      <w:r>
        <w:fldChar w:fldCharType="separate"/>
      </w:r>
      <w:r>
        <w:rPr>
          <w:rFonts w:ascii="Arial" w:hAnsi="Arial" w:eastAsia="黑体"/>
        </w:rPr>
        <w:t>2.6  核心要点小结</w:t>
      </w:r>
      <w:r>
        <w:tab/>
      </w:r>
      <w:r>
        <w:fldChar w:fldCharType="begin"/>
      </w:r>
      <w:r>
        <w:instrText xml:space="preserve"> PAGEREF _Toc31970 \h </w:instrText>
      </w:r>
      <w:r>
        <w:fldChar w:fldCharType="separate"/>
      </w:r>
      <w:r>
        <w:t>6</w:t>
      </w:r>
      <w:r>
        <w:fldChar w:fldCharType="end"/>
      </w:r>
      <w:r>
        <w:fldChar w:fldCharType="end"/>
      </w:r>
    </w:p>
    <w:p w14:paraId="4C25FBC6">
      <w:pPr>
        <w:pStyle w:val="26"/>
        <w:tabs>
          <w:tab w:val="right" w:leader="dot" w:pos="9072"/>
        </w:tabs>
      </w:pPr>
      <w:r>
        <w:fldChar w:fldCharType="begin"/>
      </w:r>
      <w:r>
        <w:instrText xml:space="preserve"> HYPERLINK \l _Toc28650 </w:instrText>
      </w:r>
      <w:r>
        <w:fldChar w:fldCharType="separate"/>
      </w:r>
      <w:r>
        <w:rPr>
          <w:rFonts w:ascii="Arial" w:hAnsi="Arial" w:eastAsia="黑体"/>
        </w:rPr>
        <w:t>3  差分隐私数据发布</w:t>
      </w:r>
      <w:r>
        <w:tab/>
      </w:r>
      <w:r>
        <w:fldChar w:fldCharType="begin"/>
      </w:r>
      <w:r>
        <w:instrText xml:space="preserve"> PAGEREF _Toc28650 \h </w:instrText>
      </w:r>
      <w:r>
        <w:fldChar w:fldCharType="separate"/>
      </w:r>
      <w:r>
        <w:t>7</w:t>
      </w:r>
      <w:r>
        <w:fldChar w:fldCharType="end"/>
      </w:r>
      <w:r>
        <w:fldChar w:fldCharType="end"/>
      </w:r>
    </w:p>
    <w:p w14:paraId="590AA9FE">
      <w:pPr>
        <w:pStyle w:val="29"/>
        <w:tabs>
          <w:tab w:val="right" w:leader="dot" w:pos="9072"/>
        </w:tabs>
      </w:pPr>
      <w:r>
        <w:fldChar w:fldCharType="begin"/>
      </w:r>
      <w:r>
        <w:instrText xml:space="preserve"> HYPERLINK \l _Toc5316 </w:instrText>
      </w:r>
      <w:r>
        <w:fldChar w:fldCharType="separate"/>
      </w:r>
      <w:r>
        <w:rPr>
          <w:rFonts w:ascii="Arial" w:hAnsi="Arial" w:eastAsia="黑体"/>
        </w:rPr>
        <w:t>3.1  交互式与非交互式框架</w:t>
      </w:r>
      <w:r>
        <w:tab/>
      </w:r>
      <w:r>
        <w:fldChar w:fldCharType="begin"/>
      </w:r>
      <w:r>
        <w:instrText xml:space="preserve"> PAGEREF _Toc5316 \h </w:instrText>
      </w:r>
      <w:r>
        <w:fldChar w:fldCharType="separate"/>
      </w:r>
      <w:r>
        <w:t>7</w:t>
      </w:r>
      <w:r>
        <w:fldChar w:fldCharType="end"/>
      </w:r>
      <w:r>
        <w:fldChar w:fldCharType="end"/>
      </w:r>
    </w:p>
    <w:p w14:paraId="25A42FFA">
      <w:pPr>
        <w:pStyle w:val="29"/>
        <w:tabs>
          <w:tab w:val="right" w:leader="dot" w:pos="9072"/>
        </w:tabs>
      </w:pPr>
      <w:r>
        <w:fldChar w:fldCharType="begin"/>
      </w:r>
      <w:r>
        <w:instrText xml:space="preserve"> HYPERLINK \l _Toc29135 </w:instrText>
      </w:r>
      <w:r>
        <w:fldChar w:fldCharType="separate"/>
      </w:r>
      <w:r>
        <w:rPr>
          <w:rFonts w:ascii="Arial" w:hAnsi="Arial" w:eastAsia="黑体"/>
        </w:rPr>
        <w:t>3.2  交互式发布机制比较</w:t>
      </w:r>
      <w:r>
        <w:tab/>
      </w:r>
      <w:r>
        <w:fldChar w:fldCharType="begin"/>
      </w:r>
      <w:r>
        <w:instrText xml:space="preserve"> PAGEREF _Toc29135 \h </w:instrText>
      </w:r>
      <w:r>
        <w:fldChar w:fldCharType="separate"/>
      </w:r>
      <w:r>
        <w:t>7</w:t>
      </w:r>
      <w:r>
        <w:fldChar w:fldCharType="end"/>
      </w:r>
      <w:r>
        <w:fldChar w:fldCharType="end"/>
      </w:r>
    </w:p>
    <w:p w14:paraId="5E455C4E">
      <w:pPr>
        <w:pStyle w:val="29"/>
        <w:tabs>
          <w:tab w:val="right" w:leader="dot" w:pos="9072"/>
        </w:tabs>
      </w:pPr>
      <w:r>
        <w:fldChar w:fldCharType="begin"/>
      </w:r>
      <w:r>
        <w:instrText xml:space="preserve"> HYPERLINK \l _Toc26518 </w:instrText>
      </w:r>
      <w:r>
        <w:fldChar w:fldCharType="separate"/>
      </w:r>
      <w:r>
        <w:rPr>
          <w:rFonts w:ascii="Arial" w:hAnsi="Arial" w:eastAsia="黑体"/>
        </w:rPr>
        <w:t>3.3  直方图发布</w:t>
      </w:r>
      <w:r>
        <w:tab/>
      </w:r>
      <w:r>
        <w:fldChar w:fldCharType="begin"/>
      </w:r>
      <w:r>
        <w:instrText xml:space="preserve"> PAGEREF _Toc26518 \h </w:instrText>
      </w:r>
      <w:r>
        <w:fldChar w:fldCharType="separate"/>
      </w:r>
      <w:r>
        <w:t>8</w:t>
      </w:r>
      <w:r>
        <w:fldChar w:fldCharType="end"/>
      </w:r>
      <w:r>
        <w:fldChar w:fldCharType="end"/>
      </w:r>
    </w:p>
    <w:p w14:paraId="1AD02AE8">
      <w:pPr>
        <w:pStyle w:val="29"/>
        <w:tabs>
          <w:tab w:val="right" w:leader="dot" w:pos="9072"/>
        </w:tabs>
      </w:pPr>
      <w:r>
        <w:fldChar w:fldCharType="begin"/>
      </w:r>
      <w:r>
        <w:instrText xml:space="preserve"> HYPERLINK \l _Toc20602 </w:instrText>
      </w:r>
      <w:r>
        <w:fldChar w:fldCharType="separate"/>
      </w:r>
      <w:r>
        <w:rPr>
          <w:rFonts w:ascii="Arial" w:hAnsi="Arial" w:eastAsia="黑体"/>
        </w:rPr>
        <w:t>3.4  批查询与列联表发布</w:t>
      </w:r>
      <w:r>
        <w:tab/>
      </w:r>
      <w:r>
        <w:fldChar w:fldCharType="begin"/>
      </w:r>
      <w:r>
        <w:instrText xml:space="preserve"> PAGEREF _Toc20602 \h </w:instrText>
      </w:r>
      <w:r>
        <w:fldChar w:fldCharType="separate"/>
      </w:r>
      <w:r>
        <w:t>9</w:t>
      </w:r>
      <w:r>
        <w:fldChar w:fldCharType="end"/>
      </w:r>
      <w:r>
        <w:fldChar w:fldCharType="end"/>
      </w:r>
    </w:p>
    <w:p w14:paraId="7A20869B">
      <w:pPr>
        <w:pStyle w:val="29"/>
        <w:tabs>
          <w:tab w:val="right" w:leader="dot" w:pos="9072"/>
        </w:tabs>
      </w:pPr>
      <w:r>
        <w:fldChar w:fldCharType="begin"/>
      </w:r>
      <w:r>
        <w:instrText xml:space="preserve"> HYPERLINK \l _Toc9298 </w:instrText>
      </w:r>
      <w:r>
        <w:fldChar w:fldCharType="separate"/>
      </w:r>
      <w:r>
        <w:rPr>
          <w:rFonts w:ascii="Arial" w:hAnsi="Arial" w:eastAsia="黑体"/>
        </w:rPr>
        <w:t>3.5  分组发布与净化数据集</w:t>
      </w:r>
      <w:r>
        <w:tab/>
      </w:r>
      <w:r>
        <w:fldChar w:fldCharType="begin"/>
      </w:r>
      <w:r>
        <w:instrText xml:space="preserve"> PAGEREF _Toc9298 \h </w:instrText>
      </w:r>
      <w:r>
        <w:fldChar w:fldCharType="separate"/>
      </w:r>
      <w:r>
        <w:t>9</w:t>
      </w:r>
      <w:r>
        <w:fldChar w:fldCharType="end"/>
      </w:r>
      <w:r>
        <w:fldChar w:fldCharType="end"/>
      </w:r>
    </w:p>
    <w:p w14:paraId="48B45179">
      <w:pPr>
        <w:pStyle w:val="29"/>
        <w:tabs>
          <w:tab w:val="right" w:leader="dot" w:pos="9072"/>
        </w:tabs>
      </w:pPr>
      <w:r>
        <w:fldChar w:fldCharType="begin"/>
      </w:r>
      <w:r>
        <w:instrText xml:space="preserve"> HYPERLINK \l _Toc30127 </w:instrText>
      </w:r>
      <w:r>
        <w:fldChar w:fldCharType="separate"/>
      </w:r>
      <w:r>
        <w:rPr>
          <w:rFonts w:ascii="Arial" w:hAnsi="Arial" w:eastAsia="黑体"/>
        </w:rPr>
        <w:t>3.6  基于划分的发布</w:t>
      </w:r>
      <w:r>
        <w:tab/>
      </w:r>
      <w:r>
        <w:fldChar w:fldCharType="begin"/>
      </w:r>
      <w:r>
        <w:instrText xml:space="preserve"> PAGEREF _Toc30127 \h </w:instrText>
      </w:r>
      <w:r>
        <w:fldChar w:fldCharType="separate"/>
      </w:r>
      <w:r>
        <w:t>9</w:t>
      </w:r>
      <w:r>
        <w:fldChar w:fldCharType="end"/>
      </w:r>
      <w:r>
        <w:fldChar w:fldCharType="end"/>
      </w:r>
    </w:p>
    <w:p w14:paraId="1A1FD017">
      <w:pPr>
        <w:pStyle w:val="29"/>
        <w:tabs>
          <w:tab w:val="right" w:leader="dot" w:pos="9072"/>
        </w:tabs>
      </w:pPr>
      <w:r>
        <w:fldChar w:fldCharType="begin"/>
      </w:r>
      <w:r>
        <w:instrText xml:space="preserve"> HYPERLINK \l _Toc29078 </w:instrText>
      </w:r>
      <w:r>
        <w:fldChar w:fldCharType="separate"/>
      </w:r>
      <w:r>
        <w:rPr>
          <w:rFonts w:ascii="Arial" w:hAnsi="Arial" w:eastAsia="黑体"/>
        </w:rPr>
        <w:t>3.7  发布技术小结</w:t>
      </w:r>
      <w:r>
        <w:tab/>
      </w:r>
      <w:r>
        <w:fldChar w:fldCharType="begin"/>
      </w:r>
      <w:r>
        <w:instrText xml:space="preserve"> PAGEREF _Toc29078 \h </w:instrText>
      </w:r>
      <w:r>
        <w:fldChar w:fldCharType="separate"/>
      </w:r>
      <w:r>
        <w:t>10</w:t>
      </w:r>
      <w:r>
        <w:fldChar w:fldCharType="end"/>
      </w:r>
      <w:r>
        <w:fldChar w:fldCharType="end"/>
      </w:r>
    </w:p>
    <w:p w14:paraId="387FB665">
      <w:pPr>
        <w:pStyle w:val="26"/>
        <w:tabs>
          <w:tab w:val="right" w:leader="dot" w:pos="9072"/>
        </w:tabs>
      </w:pPr>
      <w:r>
        <w:fldChar w:fldCharType="begin"/>
      </w:r>
      <w:r>
        <w:instrText xml:space="preserve"> HYPERLINK \l _Toc27095 </w:instrText>
      </w:r>
      <w:r>
        <w:fldChar w:fldCharType="separate"/>
      </w:r>
      <w:r>
        <w:rPr>
          <w:rFonts w:ascii="Arial" w:hAnsi="Arial" w:eastAsia="黑体"/>
        </w:rPr>
        <w:t>4  差分隐私数据挖掘与机器学习</w:t>
      </w:r>
      <w:r>
        <w:tab/>
      </w:r>
      <w:r>
        <w:fldChar w:fldCharType="begin"/>
      </w:r>
      <w:r>
        <w:instrText xml:space="preserve"> PAGEREF _Toc27095 \h </w:instrText>
      </w:r>
      <w:r>
        <w:fldChar w:fldCharType="separate"/>
      </w:r>
      <w:r>
        <w:t>10</w:t>
      </w:r>
      <w:r>
        <w:fldChar w:fldCharType="end"/>
      </w:r>
      <w:r>
        <w:fldChar w:fldCharType="end"/>
      </w:r>
    </w:p>
    <w:p w14:paraId="633FC5E3">
      <w:pPr>
        <w:pStyle w:val="29"/>
        <w:tabs>
          <w:tab w:val="right" w:leader="dot" w:pos="9072"/>
        </w:tabs>
      </w:pPr>
      <w:r>
        <w:fldChar w:fldCharType="begin"/>
      </w:r>
      <w:r>
        <w:instrText xml:space="preserve"> HYPERLINK \l _Toc18790 </w:instrText>
      </w:r>
      <w:r>
        <w:fldChar w:fldCharType="separate"/>
      </w:r>
      <w:r>
        <w:rPr>
          <w:rFonts w:ascii="Arial" w:hAnsi="Arial" w:eastAsia="黑体"/>
        </w:rPr>
        <w:t>4.1  两种实现模式</w:t>
      </w:r>
      <w:r>
        <w:tab/>
      </w:r>
      <w:r>
        <w:fldChar w:fldCharType="begin"/>
      </w:r>
      <w:r>
        <w:instrText xml:space="preserve"> PAGEREF _Toc18790 \h </w:instrText>
      </w:r>
      <w:r>
        <w:fldChar w:fldCharType="separate"/>
      </w:r>
      <w:r>
        <w:t>10</w:t>
      </w:r>
      <w:r>
        <w:fldChar w:fldCharType="end"/>
      </w:r>
      <w:r>
        <w:fldChar w:fldCharType="end"/>
      </w:r>
    </w:p>
    <w:p w14:paraId="026AF1F7">
      <w:pPr>
        <w:pStyle w:val="29"/>
        <w:tabs>
          <w:tab w:val="right" w:leader="dot" w:pos="9072"/>
        </w:tabs>
      </w:pPr>
      <w:r>
        <w:fldChar w:fldCharType="begin"/>
      </w:r>
      <w:r>
        <w:instrText xml:space="preserve"> HYPERLINK \l _Toc27960 </w:instrText>
      </w:r>
      <w:r>
        <w:fldChar w:fldCharType="separate"/>
      </w:r>
      <w:r>
        <w:rPr>
          <w:rFonts w:ascii="Arial" w:hAnsi="Arial" w:eastAsia="黑体"/>
        </w:rPr>
        <w:t>4.2  分类算法</w:t>
      </w:r>
      <w:r>
        <w:tab/>
      </w:r>
      <w:r>
        <w:fldChar w:fldCharType="begin"/>
      </w:r>
      <w:r>
        <w:instrText xml:space="preserve"> PAGEREF _Toc27960 \h </w:instrText>
      </w:r>
      <w:r>
        <w:fldChar w:fldCharType="separate"/>
      </w:r>
      <w:r>
        <w:t>10</w:t>
      </w:r>
      <w:r>
        <w:fldChar w:fldCharType="end"/>
      </w:r>
      <w:r>
        <w:fldChar w:fldCharType="end"/>
      </w:r>
    </w:p>
    <w:p w14:paraId="06793522">
      <w:pPr>
        <w:pStyle w:val="29"/>
        <w:tabs>
          <w:tab w:val="right" w:leader="dot" w:pos="9072"/>
        </w:tabs>
      </w:pPr>
      <w:r>
        <w:fldChar w:fldCharType="begin"/>
      </w:r>
      <w:r>
        <w:instrText xml:space="preserve"> HYPERLINK \l _Toc10228 </w:instrText>
      </w:r>
      <w:r>
        <w:fldChar w:fldCharType="separate"/>
      </w:r>
      <w:r>
        <w:rPr>
          <w:rFonts w:ascii="Arial" w:hAnsi="Arial" w:eastAsia="黑体"/>
        </w:rPr>
        <w:t>4.3  聚类算法</w:t>
      </w:r>
      <w:r>
        <w:tab/>
      </w:r>
      <w:r>
        <w:fldChar w:fldCharType="begin"/>
      </w:r>
      <w:r>
        <w:instrText xml:space="preserve"> PAGEREF _Toc10228 \h </w:instrText>
      </w:r>
      <w:r>
        <w:fldChar w:fldCharType="separate"/>
      </w:r>
      <w:r>
        <w:t>11</w:t>
      </w:r>
      <w:r>
        <w:fldChar w:fldCharType="end"/>
      </w:r>
      <w:r>
        <w:fldChar w:fldCharType="end"/>
      </w:r>
    </w:p>
    <w:p w14:paraId="59BE08BD">
      <w:pPr>
        <w:pStyle w:val="29"/>
        <w:tabs>
          <w:tab w:val="right" w:leader="dot" w:pos="9072"/>
        </w:tabs>
      </w:pPr>
      <w:r>
        <w:fldChar w:fldCharType="begin"/>
      </w:r>
      <w:r>
        <w:instrText xml:space="preserve"> HYPERLINK \l _Toc31772 </w:instrText>
      </w:r>
      <w:r>
        <w:fldChar w:fldCharType="separate"/>
      </w:r>
      <w:r>
        <w:rPr>
          <w:rFonts w:ascii="Arial" w:hAnsi="Arial" w:eastAsia="黑体"/>
        </w:rPr>
        <w:t>4.4  频繁项集挖掘</w:t>
      </w:r>
      <w:r>
        <w:tab/>
      </w:r>
      <w:r>
        <w:fldChar w:fldCharType="begin"/>
      </w:r>
      <w:r>
        <w:instrText xml:space="preserve"> PAGEREF _Toc31772 \h </w:instrText>
      </w:r>
      <w:r>
        <w:fldChar w:fldCharType="separate"/>
      </w:r>
      <w:r>
        <w:t>11</w:t>
      </w:r>
      <w:r>
        <w:fldChar w:fldCharType="end"/>
      </w:r>
      <w:r>
        <w:fldChar w:fldCharType="end"/>
      </w:r>
    </w:p>
    <w:p w14:paraId="1173356D">
      <w:pPr>
        <w:pStyle w:val="29"/>
        <w:tabs>
          <w:tab w:val="right" w:leader="dot" w:pos="9072"/>
        </w:tabs>
      </w:pPr>
      <w:r>
        <w:fldChar w:fldCharType="begin"/>
      </w:r>
      <w:r>
        <w:instrText xml:space="preserve"> HYPERLINK \l _Toc19902 </w:instrText>
      </w:r>
      <w:r>
        <w:fldChar w:fldCharType="separate"/>
      </w:r>
      <w:r>
        <w:rPr>
          <w:rFonts w:ascii="Arial" w:hAnsi="Arial" w:eastAsia="黑体"/>
        </w:rPr>
        <w:t>4.5  回归分析</w:t>
      </w:r>
      <w:r>
        <w:tab/>
      </w:r>
      <w:r>
        <w:fldChar w:fldCharType="begin"/>
      </w:r>
      <w:r>
        <w:instrText xml:space="preserve"> PAGEREF _Toc19902 \h </w:instrText>
      </w:r>
      <w:r>
        <w:fldChar w:fldCharType="separate"/>
      </w:r>
      <w:r>
        <w:t>12</w:t>
      </w:r>
      <w:r>
        <w:fldChar w:fldCharType="end"/>
      </w:r>
      <w:r>
        <w:fldChar w:fldCharType="end"/>
      </w:r>
    </w:p>
    <w:p w14:paraId="6FB2BF73">
      <w:pPr>
        <w:pStyle w:val="29"/>
        <w:tabs>
          <w:tab w:val="right" w:leader="dot" w:pos="9072"/>
        </w:tabs>
      </w:pPr>
      <w:r>
        <w:fldChar w:fldCharType="begin"/>
      </w:r>
      <w:r>
        <w:instrText xml:space="preserve"> HYPERLINK \l _Toc7421 </w:instrText>
      </w:r>
      <w:r>
        <w:fldChar w:fldCharType="separate"/>
      </w:r>
      <w:r>
        <w:rPr>
          <w:rFonts w:ascii="Arial" w:hAnsi="Arial" w:eastAsia="黑体"/>
        </w:rPr>
        <w:t>4.6  支持向量机</w:t>
      </w:r>
      <w:r>
        <w:tab/>
      </w:r>
      <w:r>
        <w:fldChar w:fldCharType="begin"/>
      </w:r>
      <w:r>
        <w:instrText xml:space="preserve"> PAGEREF _Toc7421 \h </w:instrText>
      </w:r>
      <w:r>
        <w:fldChar w:fldCharType="separate"/>
      </w:r>
      <w:r>
        <w:t>12</w:t>
      </w:r>
      <w:r>
        <w:fldChar w:fldCharType="end"/>
      </w:r>
      <w:r>
        <w:fldChar w:fldCharType="end"/>
      </w:r>
    </w:p>
    <w:p w14:paraId="196F5F9A">
      <w:pPr>
        <w:pStyle w:val="29"/>
        <w:tabs>
          <w:tab w:val="right" w:leader="dot" w:pos="9072"/>
        </w:tabs>
      </w:pPr>
      <w:r>
        <w:fldChar w:fldCharType="begin"/>
      </w:r>
      <w:r>
        <w:instrText xml:space="preserve"> HYPERLINK \l _Toc6015 </w:instrText>
      </w:r>
      <w:r>
        <w:fldChar w:fldCharType="separate"/>
      </w:r>
      <w:r>
        <w:rPr>
          <w:rFonts w:ascii="Arial" w:hAnsi="Arial" w:eastAsia="黑体"/>
        </w:rPr>
        <w:t>4.7  原型系统</w:t>
      </w:r>
      <w:r>
        <w:tab/>
      </w:r>
      <w:r>
        <w:fldChar w:fldCharType="begin"/>
      </w:r>
      <w:r>
        <w:instrText xml:space="preserve"> PAGEREF _Toc6015 \h </w:instrText>
      </w:r>
      <w:r>
        <w:fldChar w:fldCharType="separate"/>
      </w:r>
      <w:r>
        <w:t>12</w:t>
      </w:r>
      <w:r>
        <w:fldChar w:fldCharType="end"/>
      </w:r>
      <w:r>
        <w:fldChar w:fldCharType="end"/>
      </w:r>
    </w:p>
    <w:p w14:paraId="351D6BBF">
      <w:pPr>
        <w:pStyle w:val="29"/>
        <w:tabs>
          <w:tab w:val="right" w:leader="dot" w:pos="9072"/>
        </w:tabs>
      </w:pPr>
      <w:r>
        <w:fldChar w:fldCharType="begin"/>
      </w:r>
      <w:r>
        <w:instrText xml:space="preserve"> HYPERLINK \l _Toc4393 </w:instrText>
      </w:r>
      <w:r>
        <w:fldChar w:fldCharType="separate"/>
      </w:r>
      <w:r>
        <w:rPr>
          <w:rFonts w:ascii="Arial" w:hAnsi="Arial" w:eastAsia="黑体"/>
        </w:rPr>
        <w:t>4.8  数据挖掘小结</w:t>
      </w:r>
      <w:r>
        <w:tab/>
      </w:r>
      <w:r>
        <w:fldChar w:fldCharType="begin"/>
      </w:r>
      <w:r>
        <w:instrText xml:space="preserve"> PAGEREF _Toc4393 \h </w:instrText>
      </w:r>
      <w:r>
        <w:fldChar w:fldCharType="separate"/>
      </w:r>
      <w:r>
        <w:t>13</w:t>
      </w:r>
      <w:r>
        <w:fldChar w:fldCharType="end"/>
      </w:r>
      <w:r>
        <w:fldChar w:fldCharType="end"/>
      </w:r>
    </w:p>
    <w:p w14:paraId="2D0543A5">
      <w:pPr>
        <w:pStyle w:val="26"/>
        <w:tabs>
          <w:tab w:val="right" w:leader="dot" w:pos="9072"/>
        </w:tabs>
      </w:pPr>
      <w:r>
        <w:fldChar w:fldCharType="begin"/>
      </w:r>
      <w:r>
        <w:instrText xml:space="preserve"> HYPERLINK \l _Toc17096 </w:instrText>
      </w:r>
      <w:r>
        <w:fldChar w:fldCharType="separate"/>
      </w:r>
      <w:r>
        <w:rPr>
          <w:rFonts w:ascii="Arial" w:hAnsi="Arial" w:eastAsia="黑体"/>
        </w:rPr>
        <w:t>5  前沿案例精读：拆分学习+差分隐私的智能电网负荷预测</w:t>
      </w:r>
      <w:r>
        <w:tab/>
      </w:r>
      <w:r>
        <w:fldChar w:fldCharType="begin"/>
      </w:r>
      <w:r>
        <w:instrText xml:space="preserve"> PAGEREF _Toc17096 \h </w:instrText>
      </w:r>
      <w:r>
        <w:fldChar w:fldCharType="separate"/>
      </w:r>
      <w:r>
        <w:t>13</w:t>
      </w:r>
      <w:r>
        <w:fldChar w:fldCharType="end"/>
      </w:r>
      <w:r>
        <w:fldChar w:fldCharType="end"/>
      </w:r>
    </w:p>
    <w:p w14:paraId="6B3E7845">
      <w:pPr>
        <w:pStyle w:val="29"/>
        <w:tabs>
          <w:tab w:val="right" w:leader="dot" w:pos="9072"/>
        </w:tabs>
      </w:pPr>
      <w:r>
        <w:fldChar w:fldCharType="begin"/>
      </w:r>
      <w:r>
        <w:instrText xml:space="preserve"> HYPERLINK \l _Toc900 </w:instrText>
      </w:r>
      <w:r>
        <w:fldChar w:fldCharType="separate"/>
      </w:r>
      <w:r>
        <w:rPr>
          <w:rFonts w:ascii="Arial" w:hAnsi="Arial" w:eastAsia="黑体"/>
        </w:rPr>
        <w:t>5.1  背景与问题</w:t>
      </w:r>
      <w:r>
        <w:tab/>
      </w:r>
      <w:r>
        <w:fldChar w:fldCharType="begin"/>
      </w:r>
      <w:r>
        <w:instrText xml:space="preserve"> PAGEREF _Toc900 \h </w:instrText>
      </w:r>
      <w:r>
        <w:fldChar w:fldCharType="separate"/>
      </w:r>
      <w:r>
        <w:t>13</w:t>
      </w:r>
      <w:r>
        <w:fldChar w:fldCharType="end"/>
      </w:r>
      <w:r>
        <w:fldChar w:fldCharType="end"/>
      </w:r>
    </w:p>
    <w:p w14:paraId="20E6CA66">
      <w:pPr>
        <w:pStyle w:val="29"/>
        <w:tabs>
          <w:tab w:val="right" w:leader="dot" w:pos="9072"/>
        </w:tabs>
      </w:pPr>
      <w:r>
        <w:fldChar w:fldCharType="begin"/>
      </w:r>
      <w:r>
        <w:instrText xml:space="preserve"> HYPERLINK \l _Toc27705 </w:instrText>
      </w:r>
      <w:r>
        <w:fldChar w:fldCharType="separate"/>
      </w:r>
      <w:r>
        <w:rPr>
          <w:rFonts w:ascii="Arial" w:hAnsi="Arial" w:eastAsia="黑体"/>
        </w:rPr>
        <w:t>5.2  方法：双层拆分学习框架</w:t>
      </w:r>
      <w:r>
        <w:tab/>
      </w:r>
      <w:r>
        <w:fldChar w:fldCharType="begin"/>
      </w:r>
      <w:r>
        <w:instrText xml:space="preserve"> PAGEREF _Toc27705 \h </w:instrText>
      </w:r>
      <w:r>
        <w:fldChar w:fldCharType="separate"/>
      </w:r>
      <w:r>
        <w:t>13</w:t>
      </w:r>
      <w:r>
        <w:fldChar w:fldCharType="end"/>
      </w:r>
      <w:r>
        <w:fldChar w:fldCharType="end"/>
      </w:r>
    </w:p>
    <w:p w14:paraId="5E64886B">
      <w:pPr>
        <w:pStyle w:val="29"/>
        <w:tabs>
          <w:tab w:val="right" w:leader="dot" w:pos="9072"/>
        </w:tabs>
      </w:pPr>
      <w:r>
        <w:fldChar w:fldCharType="begin"/>
      </w:r>
      <w:r>
        <w:instrText xml:space="preserve"> HYPERLINK \l _Toc28234 </w:instrText>
      </w:r>
      <w:r>
        <w:fldChar w:fldCharType="separate"/>
      </w:r>
      <w:r>
        <w:rPr>
          <w:rFonts w:ascii="Arial" w:hAnsi="Arial" w:eastAsia="黑体"/>
        </w:rPr>
        <w:t>5.3  实验设置与结果</w:t>
      </w:r>
      <w:r>
        <w:tab/>
      </w:r>
      <w:r>
        <w:fldChar w:fldCharType="begin"/>
      </w:r>
      <w:r>
        <w:instrText xml:space="preserve"> PAGEREF _Toc28234 \h </w:instrText>
      </w:r>
      <w:r>
        <w:fldChar w:fldCharType="separate"/>
      </w:r>
      <w:r>
        <w:t>14</w:t>
      </w:r>
      <w:r>
        <w:fldChar w:fldCharType="end"/>
      </w:r>
      <w:r>
        <w:fldChar w:fldCharType="end"/>
      </w:r>
    </w:p>
    <w:p w14:paraId="025C1A40">
      <w:pPr>
        <w:pStyle w:val="29"/>
        <w:tabs>
          <w:tab w:val="right" w:leader="dot" w:pos="9072"/>
        </w:tabs>
      </w:pPr>
      <w:r>
        <w:fldChar w:fldCharType="begin"/>
      </w:r>
      <w:r>
        <w:instrText xml:space="preserve"> HYPERLINK \l _Toc15543 </w:instrText>
      </w:r>
      <w:r>
        <w:fldChar w:fldCharType="separate"/>
      </w:r>
      <w:r>
        <w:rPr>
          <w:rFonts w:ascii="Arial" w:hAnsi="Arial" w:eastAsia="黑体"/>
        </w:rPr>
        <w:t>5.4  隐私分析：互信息与差分隐私</w:t>
      </w:r>
      <w:r>
        <w:tab/>
      </w:r>
      <w:r>
        <w:fldChar w:fldCharType="begin"/>
      </w:r>
      <w:r>
        <w:instrText xml:space="preserve"> PAGEREF _Toc15543 \h </w:instrText>
      </w:r>
      <w:r>
        <w:fldChar w:fldCharType="separate"/>
      </w:r>
      <w:r>
        <w:t>14</w:t>
      </w:r>
      <w:r>
        <w:fldChar w:fldCharType="end"/>
      </w:r>
      <w:r>
        <w:fldChar w:fldCharType="end"/>
      </w:r>
    </w:p>
    <w:p w14:paraId="5561B128">
      <w:pPr>
        <w:pStyle w:val="29"/>
        <w:tabs>
          <w:tab w:val="right" w:leader="dot" w:pos="9072"/>
        </w:tabs>
      </w:pPr>
      <w:r>
        <w:fldChar w:fldCharType="begin"/>
      </w:r>
      <w:r>
        <w:instrText xml:space="preserve"> HYPERLINK \l _Toc30725 </w:instrText>
      </w:r>
      <w:r>
        <w:fldChar w:fldCharType="separate"/>
      </w:r>
      <w:r>
        <w:rPr>
          <w:rFonts w:ascii="Arial" w:hAnsi="Arial" w:eastAsia="黑体"/>
        </w:rPr>
        <w:t>5.5  计算与通信开销</w:t>
      </w:r>
      <w:r>
        <w:tab/>
      </w:r>
      <w:r>
        <w:fldChar w:fldCharType="begin"/>
      </w:r>
      <w:r>
        <w:instrText xml:space="preserve"> PAGEREF _Toc30725 \h </w:instrText>
      </w:r>
      <w:r>
        <w:fldChar w:fldCharType="separate"/>
      </w:r>
      <w:r>
        <w:t>15</w:t>
      </w:r>
      <w:r>
        <w:fldChar w:fldCharType="end"/>
      </w:r>
      <w:r>
        <w:fldChar w:fldCharType="end"/>
      </w:r>
    </w:p>
    <w:p w14:paraId="0A946E53">
      <w:pPr>
        <w:pStyle w:val="29"/>
        <w:tabs>
          <w:tab w:val="right" w:leader="dot" w:pos="9072"/>
        </w:tabs>
      </w:pPr>
      <w:r>
        <w:fldChar w:fldCharType="begin"/>
      </w:r>
      <w:r>
        <w:instrText xml:space="preserve"> HYPERLINK \l _Toc9484 </w:instrText>
      </w:r>
      <w:r>
        <w:fldChar w:fldCharType="separate"/>
      </w:r>
      <w:r>
        <w:rPr>
          <w:rFonts w:ascii="Arial" w:hAnsi="Arial" w:eastAsia="黑体"/>
        </w:rPr>
        <w:t>5.6  论文启示</w:t>
      </w:r>
      <w:r>
        <w:tab/>
      </w:r>
      <w:r>
        <w:fldChar w:fldCharType="begin"/>
      </w:r>
      <w:r>
        <w:instrText xml:space="preserve"> PAGEREF _Toc9484 \h </w:instrText>
      </w:r>
      <w:r>
        <w:fldChar w:fldCharType="separate"/>
      </w:r>
      <w:r>
        <w:t>15</w:t>
      </w:r>
      <w:r>
        <w:fldChar w:fldCharType="end"/>
      </w:r>
      <w:r>
        <w:fldChar w:fldCharType="end"/>
      </w:r>
    </w:p>
    <w:p w14:paraId="2436AA31">
      <w:pPr>
        <w:pStyle w:val="26"/>
        <w:tabs>
          <w:tab w:val="right" w:leader="dot" w:pos="9072"/>
        </w:tabs>
      </w:pPr>
      <w:r>
        <w:fldChar w:fldCharType="begin"/>
      </w:r>
      <w:r>
        <w:instrText xml:space="preserve"> HYPERLINK \l _Toc18708 </w:instrText>
      </w:r>
      <w:r>
        <w:fldChar w:fldCharType="separate"/>
      </w:r>
      <w:r>
        <w:rPr>
          <w:rFonts w:ascii="Arial" w:hAnsi="Arial" w:eastAsia="黑体"/>
        </w:rPr>
        <w:t>6  研究展望与开放问题</w:t>
      </w:r>
      <w:r>
        <w:tab/>
      </w:r>
      <w:r>
        <w:fldChar w:fldCharType="begin"/>
      </w:r>
      <w:r>
        <w:instrText xml:space="preserve"> PAGEREF _Toc18708 \h </w:instrText>
      </w:r>
      <w:r>
        <w:fldChar w:fldCharType="separate"/>
      </w:r>
      <w:r>
        <w:t>15</w:t>
      </w:r>
      <w:r>
        <w:fldChar w:fldCharType="end"/>
      </w:r>
      <w:r>
        <w:fldChar w:fldCharType="end"/>
      </w:r>
    </w:p>
    <w:p w14:paraId="30FE68A4">
      <w:pPr>
        <w:pStyle w:val="26"/>
        <w:tabs>
          <w:tab w:val="right" w:leader="dot" w:pos="9072"/>
        </w:tabs>
      </w:pPr>
      <w:r>
        <w:fldChar w:fldCharType="begin"/>
      </w:r>
      <w:r>
        <w:instrText xml:space="preserve"> HYPERLINK \l _Toc17366 </w:instrText>
      </w:r>
      <w:r>
        <w:fldChar w:fldCharType="separate"/>
      </w:r>
      <w:r>
        <w:rPr>
          <w:rFonts w:ascii="Arial" w:hAnsi="Arial" w:eastAsia="黑体"/>
        </w:rPr>
        <w:t>7  学习收获与下一步建议</w:t>
      </w:r>
      <w:r>
        <w:tab/>
      </w:r>
      <w:r>
        <w:fldChar w:fldCharType="begin"/>
      </w:r>
      <w:r>
        <w:instrText xml:space="preserve"> PAGEREF _Toc17366 \h </w:instrText>
      </w:r>
      <w:r>
        <w:fldChar w:fldCharType="separate"/>
      </w:r>
      <w:r>
        <w:t>16</w:t>
      </w:r>
      <w:r>
        <w:fldChar w:fldCharType="end"/>
      </w:r>
      <w:r>
        <w:fldChar w:fldCharType="end"/>
      </w:r>
    </w:p>
    <w:p w14:paraId="2F19E870">
      <w:pPr>
        <w:pStyle w:val="29"/>
        <w:tabs>
          <w:tab w:val="right" w:leader="dot" w:pos="9072"/>
        </w:tabs>
      </w:pPr>
      <w:r>
        <w:fldChar w:fldCharType="begin"/>
      </w:r>
      <w:r>
        <w:instrText xml:space="preserve"> HYPERLINK \l _Toc9839 </w:instrText>
      </w:r>
      <w:r>
        <w:fldChar w:fldCharType="separate"/>
      </w:r>
      <w:r>
        <w:rPr>
          <w:rFonts w:ascii="Arial" w:hAnsi="Arial" w:eastAsia="黑体"/>
        </w:rPr>
        <w:t>7.1  关键公式速查表</w:t>
      </w:r>
      <w:r>
        <w:tab/>
      </w:r>
      <w:r>
        <w:fldChar w:fldCharType="begin"/>
      </w:r>
      <w:r>
        <w:instrText xml:space="preserve"> PAGEREF _Toc9839 \h </w:instrText>
      </w:r>
      <w:r>
        <w:fldChar w:fldCharType="separate"/>
      </w:r>
      <w:r>
        <w:t>16</w:t>
      </w:r>
      <w:r>
        <w:fldChar w:fldCharType="end"/>
      </w:r>
      <w:r>
        <w:fldChar w:fldCharType="end"/>
      </w:r>
    </w:p>
    <w:p w14:paraId="1063A67D">
      <w:pPr>
        <w:pStyle w:val="29"/>
        <w:tabs>
          <w:tab w:val="right" w:leader="dot" w:pos="9072"/>
        </w:tabs>
      </w:pPr>
      <w:r>
        <w:fldChar w:fldCharType="begin"/>
      </w:r>
      <w:r>
        <w:instrText xml:space="preserve"> HYPERLINK \l _Toc12216 </w:instrText>
      </w:r>
      <w:r>
        <w:fldChar w:fldCharType="separate"/>
      </w:r>
      <w:r>
        <w:rPr>
          <w:rFonts w:ascii="Arial" w:hAnsi="Arial" w:eastAsia="黑体"/>
        </w:rPr>
        <w:t>7.2  四份材料的不可替代价值</w:t>
      </w:r>
      <w:r>
        <w:tab/>
      </w:r>
      <w:r>
        <w:fldChar w:fldCharType="begin"/>
      </w:r>
      <w:r>
        <w:instrText xml:space="preserve"> PAGEREF _Toc12216 \h </w:instrText>
      </w:r>
      <w:r>
        <w:fldChar w:fldCharType="separate"/>
      </w:r>
      <w:r>
        <w:t>17</w:t>
      </w:r>
      <w:r>
        <w:fldChar w:fldCharType="end"/>
      </w:r>
      <w:r>
        <w:fldChar w:fldCharType="end"/>
      </w:r>
    </w:p>
    <w:p w14:paraId="61D8B9E3">
      <w:pPr>
        <w:pStyle w:val="29"/>
        <w:tabs>
          <w:tab w:val="right" w:leader="dot" w:pos="9072"/>
        </w:tabs>
      </w:pPr>
      <w:r>
        <w:fldChar w:fldCharType="begin"/>
      </w:r>
      <w:r>
        <w:instrText xml:space="preserve"> HYPERLINK \l _Toc17296 </w:instrText>
      </w:r>
      <w:r>
        <w:fldChar w:fldCharType="separate"/>
      </w:r>
      <w:r>
        <w:rPr>
          <w:rFonts w:ascii="Arial" w:hAnsi="Arial" w:eastAsia="黑体"/>
        </w:rPr>
        <w:t>7.3  下一步学习路径建议</w:t>
      </w:r>
      <w:r>
        <w:tab/>
      </w:r>
      <w:r>
        <w:fldChar w:fldCharType="begin"/>
      </w:r>
      <w:r>
        <w:instrText xml:space="preserve"> PAGEREF _Toc17296 \h </w:instrText>
      </w:r>
      <w:r>
        <w:fldChar w:fldCharType="separate"/>
      </w:r>
      <w:r>
        <w:t>17</w:t>
      </w:r>
      <w:r>
        <w:fldChar w:fldCharType="end"/>
      </w:r>
      <w:r>
        <w:fldChar w:fldCharType="end"/>
      </w:r>
    </w:p>
    <w:p w14:paraId="03C707D1">
      <w:pPr>
        <w:pStyle w:val="26"/>
        <w:tabs>
          <w:tab w:val="right" w:leader="dot" w:pos="9072"/>
        </w:tabs>
      </w:pPr>
      <w:r>
        <w:fldChar w:fldCharType="begin"/>
      </w:r>
      <w:r>
        <w:instrText xml:space="preserve"> HYPERLINK \l _Toc28700 </w:instrText>
      </w:r>
      <w:r>
        <w:fldChar w:fldCharType="separate"/>
      </w:r>
      <w:r>
        <w:rPr>
          <w:rFonts w:ascii="Arial" w:hAnsi="Arial" w:eastAsia="黑体"/>
        </w:rPr>
        <w:t>参考文献</w:t>
      </w:r>
      <w:r>
        <w:tab/>
      </w:r>
      <w:r>
        <w:fldChar w:fldCharType="begin"/>
      </w:r>
      <w:r>
        <w:instrText xml:space="preserve"> PAGEREF _Toc28700 \h </w:instrText>
      </w:r>
      <w:r>
        <w:fldChar w:fldCharType="separate"/>
      </w:r>
      <w:r>
        <w:t>18</w:t>
      </w:r>
      <w:r>
        <w:fldChar w:fldCharType="end"/>
      </w:r>
      <w:r>
        <w:fldChar w:fldCharType="end"/>
      </w:r>
    </w:p>
    <w:p w14:paraId="0F75E55D">
      <w:r>
        <w:fldChar w:fldCharType="end"/>
      </w:r>
    </w:p>
    <w:p w14:paraId="43B833EF">
      <w:r>
        <w:br w:type="page"/>
      </w:r>
    </w:p>
    <w:p w14:paraId="2C647128">
      <w:pPr>
        <w:pStyle w:val="3"/>
      </w:pPr>
      <w:bookmarkStart w:id="0" w:name="_Toc12344"/>
      <w:r>
        <w:rPr>
          <w:rFonts w:ascii="Arial" w:hAnsi="Arial" w:eastAsia="黑体"/>
          <w:b/>
          <w:color w:val="000000"/>
          <w:sz w:val="32"/>
        </w:rPr>
        <w:t>1  学习材料与知识全景</w:t>
      </w:r>
      <w:bookmarkEnd w:id="0"/>
    </w:p>
    <w:p w14:paraId="3807947B">
      <w:pPr>
        <w:keepNext w:val="0"/>
        <w:spacing w:before="0" w:after="0" w:line="360" w:lineRule="auto"/>
        <w:ind w:firstLine="480"/>
        <w:jc w:val="both"/>
      </w:pPr>
      <w:r>
        <w:rPr>
          <w:rFonts w:ascii="Arial" w:hAnsi="Arial" w:eastAsia="宋体"/>
          <w:b w:val="0"/>
          <w:color w:val="000000"/>
          <w:sz w:val="24"/>
        </w:rPr>
        <w:t>本总结围绕四份差分隐私（Differential Privacy，DP）学习材料整理，覆盖从理论定义、实现机制到数据发布、数据挖掘与机器学习应用，再到最新工程落地案例的完整知识链。材料角色不同、互为补充：Dwork–Roth 专著提供权威理论基础，两篇 2014 年中文综述分别从“数据发布/数据挖掘”和“发布与分析技术细节”两个视角展开全景综述，2025 年的 IEEE 论文则展示了 DP 与拆分学习结合的前沿应用。</w:t>
      </w:r>
    </w:p>
    <w:p w14:paraId="6E8F3863">
      <w:pPr>
        <w:pStyle w:val="4"/>
      </w:pPr>
      <w:bookmarkStart w:id="1" w:name="_Toc16599"/>
      <w:r>
        <w:rPr>
          <w:rFonts w:ascii="Arial" w:hAnsi="Arial" w:eastAsia="黑体"/>
          <w:b/>
          <w:color w:val="000000"/>
          <w:sz w:val="28"/>
        </w:rPr>
        <w:t>1.1  四份材料总览</w:t>
      </w:r>
      <w:bookmarkEnd w:id="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608"/>
        <w:gridCol w:w="2268"/>
        <w:gridCol w:w="3515"/>
      </w:tblGrid>
      <w:tr w14:paraId="0182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D9D9"/>
            <w:vAlign w:val="center"/>
          </w:tcPr>
          <w:p w14:paraId="7F706D2D">
            <w:pPr>
              <w:spacing w:after="0" w:line="240" w:lineRule="auto"/>
              <w:ind w:firstLine="0"/>
              <w:jc w:val="center"/>
            </w:pPr>
            <w:r>
              <w:rPr>
                <w:rFonts w:ascii="Arial" w:hAnsi="Arial" w:eastAsia="宋体"/>
                <w:b/>
                <w:color w:val="000000"/>
                <w:sz w:val="21"/>
              </w:rPr>
              <w:t>编号</w:t>
            </w:r>
          </w:p>
        </w:tc>
        <w:tc>
          <w:tcPr>
            <w:tcW w:w="2608" w:type="dxa"/>
            <w:shd w:val="clear" w:color="auto" w:fill="D9D9D9"/>
            <w:vAlign w:val="center"/>
          </w:tcPr>
          <w:p w14:paraId="1F0CF817">
            <w:pPr>
              <w:spacing w:after="0" w:line="240" w:lineRule="auto"/>
              <w:ind w:firstLine="0"/>
              <w:jc w:val="center"/>
            </w:pPr>
            <w:r>
              <w:rPr>
                <w:rFonts w:ascii="Arial" w:hAnsi="Arial" w:eastAsia="宋体"/>
                <w:b/>
                <w:color w:val="000000"/>
                <w:sz w:val="21"/>
              </w:rPr>
              <w:t>材料</w:t>
            </w:r>
          </w:p>
        </w:tc>
        <w:tc>
          <w:tcPr>
            <w:tcW w:w="2268" w:type="dxa"/>
            <w:shd w:val="clear" w:color="auto" w:fill="D9D9D9"/>
            <w:vAlign w:val="center"/>
          </w:tcPr>
          <w:p w14:paraId="0C1A91A1">
            <w:pPr>
              <w:spacing w:after="0" w:line="240" w:lineRule="auto"/>
              <w:ind w:firstLine="0"/>
              <w:jc w:val="center"/>
            </w:pPr>
            <w:r>
              <w:rPr>
                <w:rFonts w:ascii="Arial" w:hAnsi="Arial" w:eastAsia="宋体"/>
                <w:b/>
                <w:color w:val="000000"/>
                <w:sz w:val="21"/>
              </w:rPr>
              <w:t>类型/来源</w:t>
            </w:r>
          </w:p>
        </w:tc>
        <w:tc>
          <w:tcPr>
            <w:tcW w:w="3515" w:type="dxa"/>
            <w:shd w:val="clear" w:color="auto" w:fill="D9D9D9"/>
            <w:vAlign w:val="center"/>
          </w:tcPr>
          <w:p w14:paraId="2D25D29C">
            <w:pPr>
              <w:spacing w:after="0" w:line="240" w:lineRule="auto"/>
              <w:ind w:firstLine="0"/>
              <w:jc w:val="center"/>
            </w:pPr>
            <w:r>
              <w:rPr>
                <w:rFonts w:ascii="Arial" w:hAnsi="Arial" w:eastAsia="宋体"/>
                <w:b/>
                <w:color w:val="000000"/>
                <w:sz w:val="21"/>
              </w:rPr>
              <w:t>核心内容</w:t>
            </w:r>
          </w:p>
        </w:tc>
      </w:tr>
      <w:tr w14:paraId="6E03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4BAAE50">
            <w:pPr>
              <w:spacing w:after="0" w:line="240" w:lineRule="auto"/>
              <w:ind w:firstLine="0"/>
              <w:jc w:val="center"/>
            </w:pPr>
            <w:r>
              <w:rPr>
                <w:rFonts w:ascii="Arial" w:hAnsi="Arial" w:eastAsia="宋体"/>
                <w:b w:val="0"/>
                <w:color w:val="000000"/>
                <w:sz w:val="21"/>
              </w:rPr>
              <w:t>A1</w:t>
            </w:r>
          </w:p>
        </w:tc>
        <w:tc>
          <w:tcPr>
            <w:tcW w:w="2608" w:type="dxa"/>
            <w:vAlign w:val="center"/>
          </w:tcPr>
          <w:p w14:paraId="51FEC5DC">
            <w:pPr>
              <w:spacing w:after="0" w:line="240" w:lineRule="auto"/>
              <w:ind w:firstLine="0"/>
              <w:jc w:val="left"/>
            </w:pPr>
            <w:r>
              <w:rPr>
                <w:rFonts w:ascii="Arial" w:hAnsi="Arial" w:eastAsia="宋体"/>
                <w:b w:val="0"/>
                <w:color w:val="000000"/>
                <w:sz w:val="21"/>
              </w:rPr>
              <w:t>Iqbal, Gope, Sikdar. Privacy-Preserving Collaborative Split Learning Framework for Smart Grid Load Forecasting</w:t>
            </w:r>
          </w:p>
        </w:tc>
        <w:tc>
          <w:tcPr>
            <w:tcW w:w="2268" w:type="dxa"/>
            <w:vAlign w:val="center"/>
          </w:tcPr>
          <w:p w14:paraId="298CABCA">
            <w:pPr>
              <w:spacing w:after="0" w:line="240" w:lineRule="auto"/>
              <w:ind w:firstLine="0"/>
              <w:jc w:val="left"/>
            </w:pPr>
            <w:r>
              <w:rPr>
                <w:rFonts w:ascii="Arial" w:hAnsi="Arial" w:eastAsia="宋体"/>
                <w:b w:val="0"/>
                <w:color w:val="000000"/>
                <w:sz w:val="21"/>
              </w:rPr>
              <w:t>期刊论文，IEEE TDSC 2025 年 22 卷 6 期</w:t>
            </w:r>
          </w:p>
        </w:tc>
        <w:tc>
          <w:tcPr>
            <w:tcW w:w="3515" w:type="dxa"/>
            <w:vAlign w:val="center"/>
          </w:tcPr>
          <w:p w14:paraId="10A89535">
            <w:pPr>
              <w:spacing w:after="0" w:line="240" w:lineRule="auto"/>
              <w:ind w:firstLine="0"/>
              <w:jc w:val="left"/>
            </w:pPr>
            <w:r>
              <w:rPr>
                <w:rFonts w:ascii="Arial" w:hAnsi="Arial" w:eastAsia="宋体"/>
                <w:b w:val="0"/>
                <w:color w:val="000000"/>
                <w:sz w:val="21"/>
              </w:rPr>
              <w:t>面向智能电网负荷预测的双层拆分学习框架；FEDformer 骨干；SplitGlobal/SplitPersonal 两种训练策略；用互信息估计（MINE）与差分隐私分析激活泄露</w:t>
            </w:r>
          </w:p>
        </w:tc>
      </w:tr>
      <w:tr w14:paraId="6AC9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A3FECBD">
            <w:pPr>
              <w:spacing w:after="0" w:line="240" w:lineRule="auto"/>
              <w:ind w:firstLine="0"/>
              <w:jc w:val="center"/>
            </w:pPr>
            <w:r>
              <w:rPr>
                <w:rFonts w:ascii="Arial" w:hAnsi="Arial" w:eastAsia="宋体"/>
                <w:b w:val="0"/>
                <w:color w:val="000000"/>
                <w:sz w:val="21"/>
              </w:rPr>
              <w:t>A2</w:t>
            </w:r>
          </w:p>
        </w:tc>
        <w:tc>
          <w:tcPr>
            <w:tcW w:w="2608" w:type="dxa"/>
            <w:vAlign w:val="center"/>
          </w:tcPr>
          <w:p w14:paraId="4FF80B12">
            <w:pPr>
              <w:spacing w:after="0" w:line="240" w:lineRule="auto"/>
              <w:ind w:firstLine="0"/>
              <w:jc w:val="left"/>
            </w:pPr>
            <w:r>
              <w:rPr>
                <w:rFonts w:ascii="Arial" w:hAnsi="Arial" w:eastAsia="宋体"/>
                <w:b w:val="0"/>
                <w:color w:val="000000"/>
                <w:sz w:val="21"/>
              </w:rPr>
              <w:t>Dwork, Roth. The Algorithmic Foundations of Differential Privacy</w:t>
            </w:r>
          </w:p>
        </w:tc>
        <w:tc>
          <w:tcPr>
            <w:tcW w:w="2268" w:type="dxa"/>
            <w:vAlign w:val="center"/>
          </w:tcPr>
          <w:p w14:paraId="0DE9CC97">
            <w:pPr>
              <w:spacing w:after="0" w:line="240" w:lineRule="auto"/>
              <w:ind w:firstLine="0"/>
              <w:jc w:val="left"/>
            </w:pPr>
            <w:r>
              <w:rPr>
                <w:rFonts w:ascii="Arial" w:hAnsi="Arial" w:eastAsia="宋体"/>
                <w:b w:val="0"/>
                <w:color w:val="000000"/>
                <w:sz w:val="21"/>
              </w:rPr>
              <w:t>专著，Foundations and Trends in Theoretical Computer Science, 2014</w:t>
            </w:r>
          </w:p>
        </w:tc>
        <w:tc>
          <w:tcPr>
            <w:tcW w:w="3515" w:type="dxa"/>
            <w:vAlign w:val="center"/>
          </w:tcPr>
          <w:p w14:paraId="78F09325">
            <w:pPr>
              <w:spacing w:after="0" w:line="240" w:lineRule="auto"/>
              <w:ind w:firstLine="0"/>
              <w:jc w:val="left"/>
            </w:pPr>
            <w:r>
              <w:rPr>
                <w:rFonts w:ascii="Arial" w:hAnsi="Arial" w:eastAsia="宋体"/>
                <w:b w:val="0"/>
                <w:color w:val="000000"/>
                <w:sz w:val="21"/>
              </w:rPr>
              <w:t>差分隐私理论奠基之作：定义、组合定理、拉普拉斯/指数机制、查询发布、下界、机制设计、机器学习、本地模型等 13 章</w:t>
            </w:r>
          </w:p>
        </w:tc>
      </w:tr>
      <w:tr w14:paraId="33F9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560D3EC">
            <w:pPr>
              <w:spacing w:after="0" w:line="240" w:lineRule="auto"/>
              <w:ind w:firstLine="0"/>
              <w:jc w:val="center"/>
            </w:pPr>
            <w:r>
              <w:rPr>
                <w:rFonts w:ascii="Arial" w:hAnsi="Arial" w:eastAsia="宋体"/>
                <w:b w:val="0"/>
                <w:color w:val="000000"/>
                <w:sz w:val="21"/>
              </w:rPr>
              <w:t>A3</w:t>
            </w:r>
          </w:p>
        </w:tc>
        <w:tc>
          <w:tcPr>
            <w:tcW w:w="2608" w:type="dxa"/>
            <w:vAlign w:val="center"/>
          </w:tcPr>
          <w:p w14:paraId="38E6D9AE">
            <w:pPr>
              <w:spacing w:after="0" w:line="240" w:lineRule="auto"/>
              <w:ind w:firstLine="0"/>
              <w:jc w:val="left"/>
            </w:pPr>
            <w:r>
              <w:rPr>
                <w:rFonts w:ascii="Arial" w:hAnsi="Arial" w:eastAsia="宋体"/>
                <w:b w:val="0"/>
                <w:color w:val="000000"/>
                <w:sz w:val="21"/>
              </w:rPr>
              <w:t>熊平, 朱天清, 王晓峰. 差分隐私保护及其应用</w:t>
            </w:r>
          </w:p>
        </w:tc>
        <w:tc>
          <w:tcPr>
            <w:tcW w:w="2268" w:type="dxa"/>
            <w:vAlign w:val="center"/>
          </w:tcPr>
          <w:p w14:paraId="3DED8DA7">
            <w:pPr>
              <w:spacing w:after="0" w:line="240" w:lineRule="auto"/>
              <w:ind w:firstLine="0"/>
              <w:jc w:val="left"/>
            </w:pPr>
            <w:r>
              <w:rPr>
                <w:rFonts w:ascii="Arial" w:hAnsi="Arial" w:eastAsia="宋体"/>
                <w:b w:val="0"/>
                <w:color w:val="000000"/>
                <w:sz w:val="21"/>
              </w:rPr>
              <w:t>中文综述，计算机学报 2014, 37(1): 101–113</w:t>
            </w:r>
          </w:p>
        </w:tc>
        <w:tc>
          <w:tcPr>
            <w:tcW w:w="3515" w:type="dxa"/>
            <w:vAlign w:val="center"/>
          </w:tcPr>
          <w:p w14:paraId="5D30ABC7">
            <w:pPr>
              <w:spacing w:after="0" w:line="240" w:lineRule="auto"/>
              <w:ind w:firstLine="0"/>
              <w:jc w:val="left"/>
            </w:pPr>
            <w:r>
              <w:rPr>
                <w:rFonts w:ascii="Arial" w:hAnsi="Arial" w:eastAsia="宋体"/>
                <w:b w:val="0"/>
                <w:color w:val="000000"/>
                <w:sz w:val="21"/>
              </w:rPr>
              <w:t>DP 基础理论（定义、敏感度、组合性质、机制）；隐私保护数据发布（交互式/非交互式）；隐私保护数据挖掘（接口/完全访问模式）</w:t>
            </w:r>
          </w:p>
        </w:tc>
      </w:tr>
      <w:tr w14:paraId="01FC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038509F">
            <w:pPr>
              <w:spacing w:after="0" w:line="240" w:lineRule="auto"/>
              <w:ind w:firstLine="0"/>
              <w:jc w:val="center"/>
            </w:pPr>
            <w:r>
              <w:rPr>
                <w:rFonts w:ascii="Arial" w:hAnsi="Arial" w:eastAsia="宋体"/>
                <w:b w:val="0"/>
                <w:color w:val="000000"/>
                <w:sz w:val="21"/>
              </w:rPr>
              <w:t>A4</w:t>
            </w:r>
          </w:p>
        </w:tc>
        <w:tc>
          <w:tcPr>
            <w:tcW w:w="2608" w:type="dxa"/>
            <w:vAlign w:val="center"/>
          </w:tcPr>
          <w:p w14:paraId="1FFC90DD">
            <w:pPr>
              <w:spacing w:after="0" w:line="240" w:lineRule="auto"/>
              <w:ind w:firstLine="0"/>
              <w:jc w:val="left"/>
            </w:pPr>
            <w:r>
              <w:rPr>
                <w:rFonts w:ascii="Arial" w:hAnsi="Arial" w:eastAsia="宋体"/>
                <w:b w:val="0"/>
                <w:color w:val="000000"/>
                <w:sz w:val="21"/>
              </w:rPr>
              <w:t>张啸剑, 孟小峰. 面向数据发布和分析的差分隐私保护</w:t>
            </w:r>
          </w:p>
        </w:tc>
        <w:tc>
          <w:tcPr>
            <w:tcW w:w="2268" w:type="dxa"/>
            <w:vAlign w:val="center"/>
          </w:tcPr>
          <w:p w14:paraId="741AB4BC">
            <w:pPr>
              <w:spacing w:after="0" w:line="240" w:lineRule="auto"/>
              <w:ind w:firstLine="0"/>
              <w:jc w:val="left"/>
            </w:pPr>
            <w:r>
              <w:rPr>
                <w:rFonts w:ascii="Arial" w:hAnsi="Arial" w:eastAsia="宋体"/>
                <w:b w:val="0"/>
                <w:color w:val="000000"/>
                <w:sz w:val="21"/>
              </w:rPr>
              <w:t>中文综述，计算机学报 2014, 37(4): 927–949</w:t>
            </w:r>
          </w:p>
        </w:tc>
        <w:tc>
          <w:tcPr>
            <w:tcW w:w="3515" w:type="dxa"/>
            <w:vAlign w:val="center"/>
          </w:tcPr>
          <w:p w14:paraId="4BEEA906">
            <w:pPr>
              <w:spacing w:after="0" w:line="240" w:lineRule="auto"/>
              <w:ind w:firstLine="0"/>
              <w:jc w:val="left"/>
            </w:pPr>
            <w:r>
              <w:rPr>
                <w:rFonts w:ascii="Arial" w:hAnsi="Arial" w:eastAsia="宋体"/>
                <w:b w:val="0"/>
                <w:color w:val="000000"/>
                <w:sz w:val="21"/>
              </w:rPr>
              <w:t>直方图发布（策略一/策略二）、划分发布（树/网格）、频繁模式/分类/回归/SVM 等数据分析方法、批量查询处理、原型系统</w:t>
            </w:r>
          </w:p>
        </w:tc>
      </w:tr>
    </w:tbl>
    <w:p w14:paraId="09046A91">
      <w:pPr>
        <w:keepNext w:val="0"/>
        <w:spacing w:before="0" w:after="0" w:line="360" w:lineRule="auto"/>
        <w:ind w:firstLine="0"/>
        <w:jc w:val="center"/>
      </w:pPr>
      <w:r>
        <w:rPr>
          <w:rFonts w:ascii="Arial" w:hAnsi="Arial" w:eastAsia="宋体"/>
          <w:b w:val="0"/>
          <w:color w:val="000000"/>
          <w:sz w:val="21"/>
        </w:rPr>
        <w:t>表 1  四份学习材料总览</w:t>
      </w:r>
    </w:p>
    <w:p w14:paraId="77DEC4DC">
      <w:pPr>
        <w:pStyle w:val="4"/>
      </w:pPr>
      <w:bookmarkStart w:id="2" w:name="_Toc5768"/>
      <w:r>
        <w:rPr>
          <w:rFonts w:ascii="Arial" w:hAnsi="Arial" w:eastAsia="黑体"/>
          <w:b/>
          <w:color w:val="000000"/>
          <w:sz w:val="28"/>
        </w:rPr>
        <w:t>1.2  材料间关系与推荐学习顺序</w:t>
      </w:r>
      <w:bookmarkEnd w:id="2"/>
    </w:p>
    <w:p w14:paraId="026F9CD5">
      <w:pPr>
        <w:keepNext w:val="0"/>
        <w:spacing w:before="0" w:after="0" w:line="360" w:lineRule="auto"/>
        <w:ind w:firstLine="480"/>
        <w:jc w:val="both"/>
      </w:pPr>
      <w:r>
        <w:rPr>
          <w:rFonts w:ascii="Arial" w:hAnsi="Arial" w:eastAsia="宋体"/>
          <w:b w:val="0"/>
          <w:color w:val="000000"/>
          <w:sz w:val="24"/>
        </w:rPr>
        <w:t>四份材料构成“理论→方法→应用”三级结构：A2 回答“差分隐私是什么、为什么成立”（定义、随机化必要性、组合理论、下界）；A3 与 A4 回答“差分隐私能用来做什么”（发布、挖掘、机器学习），两者分别侧重两条应用主线的机制对比与技术细节分类；A1 回答“差分隐私在真实场景中如何落地”（把 ε-DP、(ε,δ)-DP 与互信息估计用于拆分学习的激活保护）。</w:t>
      </w:r>
    </w:p>
    <w:p w14:paraId="10AEAEB7">
      <w:pPr>
        <w:keepNext w:val="0"/>
        <w:spacing w:before="0" w:after="0" w:line="360" w:lineRule="auto"/>
        <w:ind w:firstLine="480"/>
        <w:jc w:val="both"/>
      </w:pPr>
      <w:r>
        <w:rPr>
          <w:rFonts w:ascii="Arial" w:hAnsi="Arial" w:eastAsia="宋体"/>
          <w:b w:val="0"/>
          <w:color w:val="000000"/>
          <w:sz w:val="24"/>
        </w:rPr>
        <w:t>推荐学习顺序：先读 A2 第 1–3 章建立严格定义与基本机制，再并行读 A3、A4 掌握两大应用方向的全景与代表算法，最后精读 A1 验证理论如何转化为工程权衡（如 ε 的取值对隐私强度与模型精度的折衷）。</w:t>
      </w:r>
    </w:p>
    <w:p w14:paraId="013D33B6">
      <w:pPr>
        <w:pStyle w:val="3"/>
      </w:pPr>
      <w:bookmarkStart w:id="3" w:name="_Toc12026"/>
      <w:r>
        <w:rPr>
          <w:rFonts w:ascii="Arial" w:hAnsi="Arial" w:eastAsia="黑体"/>
          <w:b/>
          <w:color w:val="000000"/>
          <w:sz w:val="32"/>
        </w:rPr>
        <w:t>2  差分隐私基础理论</w:t>
      </w:r>
      <w:bookmarkEnd w:id="3"/>
    </w:p>
    <w:p w14:paraId="2DD10EFC">
      <w:pPr>
        <w:keepNext w:val="0"/>
        <w:spacing w:before="0" w:after="0" w:line="360" w:lineRule="auto"/>
        <w:ind w:firstLine="480"/>
        <w:jc w:val="both"/>
      </w:pPr>
      <w:r>
        <w:rPr>
          <w:rFonts w:ascii="Arial" w:hAnsi="Arial" w:eastAsia="宋体"/>
          <w:b w:val="0"/>
          <w:color w:val="000000"/>
          <w:sz w:val="24"/>
        </w:rPr>
        <w:t>本节依据 A2（Dwork–Roth）、A3（熊平等）、A4（张啸剑等）整理差分隐私的定义体系。理解要点：差分隐私是一种“定义”而非某个具体算法（A2 明确指出）；它不依赖攻击者的背景知识假设，而是通过输出随机化保证“任一记录加入或不加入数据集，对输出分布的影响都被 ε 界住”。</w:t>
      </w:r>
    </w:p>
    <w:p w14:paraId="29F90439">
      <w:pPr>
        <w:pStyle w:val="4"/>
      </w:pPr>
      <w:bookmarkStart w:id="4" w:name="_Toc18565"/>
      <w:r>
        <w:rPr>
          <w:rFonts w:ascii="Arial" w:hAnsi="Arial" w:eastAsia="黑体"/>
          <w:b/>
          <w:color w:val="000000"/>
          <w:sz w:val="28"/>
        </w:rPr>
        <w:t>2.1  动机：为什么需要差分隐私</w:t>
      </w:r>
      <w:bookmarkEnd w:id="4"/>
    </w:p>
    <w:p w14:paraId="63D9E504">
      <w:pPr>
        <w:keepNext w:val="0"/>
        <w:spacing w:before="0" w:after="0" w:line="360" w:lineRule="auto"/>
        <w:ind w:firstLine="480"/>
        <w:jc w:val="both"/>
      </w:pPr>
      <w:r>
        <w:rPr>
          <w:rFonts w:ascii="Arial" w:hAnsi="Arial" w:eastAsia="宋体"/>
          <w:b w:val="0"/>
          <w:color w:val="000000"/>
          <w:sz w:val="24"/>
        </w:rPr>
        <w:t>早期的 k-匿名及其扩展模型（l-diversity、t-closeness、(α,k)-anonymity、M-invariance 等）属于基于分组的模型：通过对准标识符泛化/压缩，把记录隐藏到等价类中。A3 指出这类模型有两个根本缺陷：其一，安全性依赖攻击者背景知识假设，而“合成式攻击”“前景知识攻击”“deFinetti 攻击”等新型攻击不断出现，模型需反复修补；其二，无法提供严格、可量化的隐私保护水平证明。</w:t>
      </w:r>
    </w:p>
    <w:p w14:paraId="72E3161A">
      <w:pPr>
        <w:keepNext w:val="0"/>
        <w:spacing w:before="0" w:after="0" w:line="360" w:lineRule="auto"/>
        <w:ind w:firstLine="480"/>
        <w:jc w:val="both"/>
      </w:pPr>
      <w:r>
        <w:rPr>
          <w:rFonts w:ascii="Arial" w:hAnsi="Arial" w:eastAsia="宋体"/>
          <w:b w:val="0"/>
          <w:color w:val="000000"/>
          <w:sz w:val="24"/>
        </w:rPr>
        <w:t>A2 用多个经典反例说明“删除标识符”或“发布汇总统计”并不安全：链接攻击可将“匿名”医疗记录与选民登记记录匹配（马萨诸塞州州长案例），也可把 Netflix 匿名观影记录与 IMDb 关联；差分攻击通过两个大体量查询的差即可推断个体属性（“数据库中有多少人携带镰状细胞性状”与“除 X 外有多少人……”）；查询审计不可行（拒绝回答本身可能泄露信息）；基因组关联研究发布等位基因频率也被证实可判定个体是否在病例组，美国 NIH 与 Wellcome Trust 因此终止公开访问聚合频率数据。</w:t>
      </w:r>
    </w:p>
    <w:p w14:paraId="377F1D8D">
      <w:pPr>
        <w:keepNext w:val="0"/>
        <w:spacing w:before="0" w:after="0" w:line="360" w:lineRule="auto"/>
        <w:ind w:firstLine="480"/>
        <w:jc w:val="both"/>
      </w:pPr>
      <w:r>
        <w:rPr>
          <w:rFonts w:ascii="Arial" w:hAnsi="Arial" w:eastAsia="宋体"/>
          <w:b w:val="0"/>
          <w:color w:val="000000"/>
          <w:sz w:val="24"/>
        </w:rPr>
        <w:t>差分隐私正是在这一背景下提出的：在最大背景知识假设下（攻击者已知除目标记录外所有信息），DP 依然能控制单条记录对查询结果的影响，从而中和链接攻击等各类攻击，且隐私保护水平可被 ε 定量比较。</w:t>
      </w:r>
    </w:p>
    <w:p w14:paraId="3BF98507">
      <w:pPr>
        <w:pStyle w:val="4"/>
      </w:pPr>
      <w:bookmarkStart w:id="5" w:name="_Toc1267"/>
      <w:r>
        <w:rPr>
          <w:rFonts w:ascii="Arial" w:hAnsi="Arial" w:eastAsia="黑体"/>
          <w:b/>
          <w:color w:val="000000"/>
          <w:sz w:val="28"/>
        </w:rPr>
        <w:t>2.2  形式化定义</w:t>
      </w:r>
      <w:bookmarkEnd w:id="5"/>
    </w:p>
    <w:p w14:paraId="08ED3549">
      <w:pPr>
        <w:keepNext w:val="0"/>
        <w:spacing w:before="0" w:after="0" w:line="360" w:lineRule="auto"/>
        <w:ind w:firstLine="480"/>
        <w:jc w:val="both"/>
      </w:pPr>
      <w:r>
        <w:rPr>
          <w:rFonts w:ascii="Arial" w:hAnsi="Arial" w:eastAsia="宋体"/>
          <w:b w:val="0"/>
          <w:color w:val="000000"/>
          <w:sz w:val="24"/>
        </w:rPr>
        <w:t>设数据集 D 与 D′ 具有相同属性结构，其对称差 |D△D′|=1 时称 D 与 D′ 为邻近数据集（相邻数据库）。A3 定义 1：对任意随机算法 M 及其任意输出子集 S_M，若</w:t>
      </w:r>
    </w:p>
    <w:p w14:paraId="6E8ACD04">
      <w:pPr>
        <w:keepNext w:val="0"/>
        <w:spacing w:before="0" w:after="0" w:line="360" w:lineRule="auto"/>
        <w:ind w:firstLine="0"/>
        <w:jc w:val="both"/>
      </w:pPr>
      <w:r>
        <w:rPr>
          <w:rFonts w:ascii="Arial" w:hAnsi="Arial" w:eastAsia="宋体"/>
          <w:b w:val="0"/>
          <w:color w:val="000000"/>
          <w:sz w:val="24"/>
        </w:rPr>
        <w:t>Pr[M(D)∈S_M] ≤ exp(ε)·Pr[M(D′)∈S_M]</w:t>
      </w:r>
    </w:p>
    <w:p w14:paraId="69BF3734">
      <w:pPr>
        <w:keepNext w:val="0"/>
        <w:spacing w:before="0" w:after="0" w:line="360" w:lineRule="auto"/>
        <w:ind w:firstLine="480"/>
        <w:jc w:val="both"/>
      </w:pPr>
      <w:r>
        <w:rPr>
          <w:rFonts w:ascii="Arial" w:hAnsi="Arial" w:eastAsia="宋体"/>
          <w:b w:val="0"/>
          <w:color w:val="000000"/>
          <w:sz w:val="24"/>
        </w:rPr>
        <w:t>恒成立，则称 M 提供 ε-差分隐私保护，参数 ε 称为隐私保护预算。直观含义：删除或加入任一记录，算法输出同一结果的概率之比不超过 e^ε，攻击者无法通过观察输出来判定个体是否在数据集中。</w:t>
      </w:r>
    </w:p>
    <w:p w14:paraId="506A184B">
      <w:pPr>
        <w:keepNext w:val="0"/>
        <w:spacing w:before="0" w:after="0" w:line="360" w:lineRule="auto"/>
        <w:ind w:firstLine="480"/>
        <w:jc w:val="both"/>
      </w:pPr>
      <w:r>
        <w:rPr>
          <w:rFonts w:ascii="Arial" w:hAnsi="Arial" w:eastAsia="宋体"/>
          <w:b w:val="0"/>
          <w:color w:val="000000"/>
          <w:sz w:val="24"/>
        </w:rPr>
        <w:t>A2 的形式化定义（定义 2.4）采用更一般的 (ε,δ)-差分隐私：对任意 ||x−y||₁≤1 的数据库对 x、y，Pr[M(x)∈S] ≤ exp(ε)·Pr[M(y)∈S]+δ。δ 允许小概率（最坏情形）违约，ε 控制平均隐私损失；δ=0 时退化为纯 ε-DP。A1 指出，由于 (ε,δ)-DP 拥有更优的高级组合定理，能在相同 ε 下支持更多训练迭代，当前差分隐私机器学习研究大多转向 (ε,δ)-DP。</w:t>
      </w:r>
    </w:p>
    <w:p w14:paraId="03DA49CB">
      <w:pPr>
        <w:keepNext w:val="0"/>
        <w:spacing w:before="0" w:after="0" w:line="360" w:lineRule="auto"/>
        <w:ind w:firstLine="480"/>
        <w:jc w:val="both"/>
      </w:pPr>
      <w:r>
        <w:rPr>
          <w:rFonts w:ascii="Arial" w:hAnsi="Arial" w:eastAsia="宋体"/>
          <w:b w:val="0"/>
          <w:color w:val="000000"/>
          <w:sz w:val="24"/>
        </w:rPr>
        <w:t>随机化是必要条件：A2 用混合论证（hybrid argument）证明，任何非平凡的确定性算法都无法在任意辅助信息（其他数据库、网站、新闻等）下提供隐私保证——总存在一对仅差一行、却输出不同的相邻数据库，攻击者即可判定未知行的取值。</w:t>
      </w:r>
    </w:p>
    <w:p w14:paraId="674DCF0A">
      <w:pPr>
        <w:pStyle w:val="4"/>
      </w:pPr>
      <w:bookmarkStart w:id="6" w:name="_Toc24430"/>
      <w:r>
        <w:rPr>
          <w:rFonts w:ascii="Arial" w:hAnsi="Arial" w:eastAsia="黑体"/>
          <w:b/>
          <w:color w:val="000000"/>
          <w:sz w:val="28"/>
        </w:rPr>
        <w:t>2.3  隐私保护预算与敏感度</w:t>
      </w:r>
      <w:bookmarkEnd w:id="6"/>
    </w:p>
    <w:p w14:paraId="083509A8">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ε 越小隐私保护越强；ε=0 时两个邻近数据集输出分布完全相同，结果不再携带数据信息。实际中 ε 常取 0.01、0.1、ln2、ln3 等小值，需在隐私强度与数据可用性之间权衡（A3）。</w:t>
      </w:r>
    </w:p>
    <w:p w14:paraId="1C981268">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全局敏感度：GS_f = max_{D,D′} ||f(D)−f(D′)||₁，即删除任一记录对查询结果的最大改变，决定所需噪声量。计数查询敏感度为 1，只需少量噪声；中位数、均值等函数敏感度可能很大（如区间 [a,b] 上极端取值使中位数敏感度达 b−a），直接加噪会淹没真实结果（A3）。</w:t>
      </w:r>
    </w:p>
    <w:p w14:paraId="4C9F57A3">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局部敏感度 LS_f(D) 利用具体数据的分布特征，通常远小于全局敏感度；但直接使用局部敏感度加噪会泄露数据分布信息，故引入 β-平滑上界 S(D)（满足 S(D)≥LS_f(D) 且 S(D)≤e^β S(D′)），据此构造平滑敏感度 S_{f,β}(D)=max(LS_f(D′)·e^{−βd(D,D′)}) 来计算噪声（A3，Nissim 等提出）。</w:t>
      </w:r>
    </w:p>
    <w:p w14:paraId="05083B57">
      <w:pPr>
        <w:pStyle w:val="4"/>
      </w:pPr>
      <w:bookmarkStart w:id="7" w:name="_Toc24538"/>
      <w:r>
        <w:rPr>
          <w:rFonts w:ascii="Arial" w:hAnsi="Arial" w:eastAsia="黑体"/>
          <w:b/>
          <w:color w:val="000000"/>
          <w:sz w:val="28"/>
        </w:rPr>
        <w:t>2.4  组合性质</w:t>
      </w:r>
      <w:bookmarkEnd w:id="7"/>
    </w:p>
    <w:p w14:paraId="42F2112F">
      <w:pPr>
        <w:keepNext w:val="0"/>
        <w:spacing w:before="0" w:after="0" w:line="360" w:lineRule="auto"/>
        <w:ind w:firstLine="480"/>
        <w:jc w:val="both"/>
      </w:pPr>
      <w:r>
        <w:rPr>
          <w:rFonts w:ascii="Arial" w:hAnsi="Arial" w:eastAsia="宋体"/>
          <w:b w:val="0"/>
          <w:color w:val="000000"/>
          <w:sz w:val="24"/>
        </w:rPr>
        <w:t>复杂任务需多次调用 DP 算法，隐私预算需在步骤间分配，此时依赖两条基本组合性质（A3 性质 1、2；A4 性质 1、2）：</w:t>
      </w:r>
    </w:p>
    <w:p w14:paraId="708F05C2">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序列组合：对同一数据集依次运行预算为 ε₁,…,ε_L 的 L 个算法，组合算法满足 (Σε_i)-差分隐私。预算逐次累加，因此“预算耗尽”后算法不再满足 DP。</w:t>
      </w:r>
    </w:p>
    <w:p w14:paraId="30A15412">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并行组合：对互不相交的数据集 D₁,…,D_L 分别运行预算为 ε_i 的算法，组合算法满足 (max ε_i)-差分隐私。可用于将预算按数据分区复用，提高利用率（PINQ 的 Partition 算子即利用此性质）。</w:t>
      </w:r>
    </w:p>
    <w:p w14:paraId="1E9801FF">
      <w:pPr>
        <w:keepNext w:val="0"/>
        <w:spacing w:before="0" w:after="0" w:line="360" w:lineRule="auto"/>
        <w:ind w:firstLine="480"/>
        <w:jc w:val="both"/>
      </w:pPr>
      <w:r>
        <w:rPr>
          <w:rFonts w:ascii="Arial" w:hAnsi="Arial" w:eastAsia="宋体"/>
          <w:b w:val="0"/>
          <w:color w:val="000000"/>
          <w:sz w:val="24"/>
        </w:rPr>
        <w:t>A4 进一步总结了常用预算分配策略：线性分配、均匀分配、指数分配、自适应分配与混合策略分配，目标是让 ε 的“生命周期”尽可能长。</w:t>
      </w:r>
    </w:p>
    <w:p w14:paraId="6D0205BC">
      <w:pPr>
        <w:pStyle w:val="4"/>
      </w:pPr>
      <w:bookmarkStart w:id="8" w:name="_Toc12652"/>
      <w:r>
        <w:rPr>
          <w:rFonts w:ascii="Arial" w:hAnsi="Arial" w:eastAsia="黑体"/>
          <w:b/>
          <w:color w:val="000000"/>
          <w:sz w:val="28"/>
        </w:rPr>
        <w:t>2.5  基本实现机制</w:t>
      </w:r>
      <w:bookmarkEnd w:id="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2721"/>
        <w:gridCol w:w="2948"/>
      </w:tblGrid>
      <w:tr w14:paraId="0E41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D9D9"/>
            <w:vAlign w:val="center"/>
          </w:tcPr>
          <w:p w14:paraId="48082A92">
            <w:pPr>
              <w:spacing w:after="0" w:line="240" w:lineRule="auto"/>
              <w:ind w:firstLine="0"/>
              <w:jc w:val="center"/>
            </w:pPr>
            <w:r>
              <w:rPr>
                <w:rFonts w:ascii="Arial" w:hAnsi="Arial" w:eastAsia="宋体"/>
                <w:b/>
                <w:color w:val="000000"/>
                <w:sz w:val="21"/>
              </w:rPr>
              <w:t>机制</w:t>
            </w:r>
          </w:p>
        </w:tc>
        <w:tc>
          <w:tcPr>
            <w:tcW w:w="1701" w:type="dxa"/>
            <w:shd w:val="clear" w:color="auto" w:fill="D9D9D9"/>
            <w:vAlign w:val="center"/>
          </w:tcPr>
          <w:p w14:paraId="782C5B74">
            <w:pPr>
              <w:spacing w:after="0" w:line="240" w:lineRule="auto"/>
              <w:ind w:firstLine="0"/>
              <w:jc w:val="center"/>
            </w:pPr>
            <w:r>
              <w:rPr>
                <w:rFonts w:ascii="Arial" w:hAnsi="Arial" w:eastAsia="宋体"/>
                <w:b/>
                <w:color w:val="000000"/>
                <w:sz w:val="21"/>
              </w:rPr>
              <w:t>适用对象</w:t>
            </w:r>
          </w:p>
        </w:tc>
        <w:tc>
          <w:tcPr>
            <w:tcW w:w="2721" w:type="dxa"/>
            <w:shd w:val="clear" w:color="auto" w:fill="D9D9D9"/>
            <w:vAlign w:val="center"/>
          </w:tcPr>
          <w:p w14:paraId="209E7028">
            <w:pPr>
              <w:spacing w:after="0" w:line="240" w:lineRule="auto"/>
              <w:ind w:firstLine="0"/>
              <w:jc w:val="center"/>
            </w:pPr>
            <w:r>
              <w:rPr>
                <w:rFonts w:ascii="Arial" w:hAnsi="Arial" w:eastAsia="宋体"/>
                <w:b/>
                <w:color w:val="000000"/>
                <w:sz w:val="21"/>
              </w:rPr>
              <w:t>实现方式</w:t>
            </w:r>
          </w:p>
        </w:tc>
        <w:tc>
          <w:tcPr>
            <w:tcW w:w="2948" w:type="dxa"/>
            <w:shd w:val="clear" w:color="auto" w:fill="D9D9D9"/>
            <w:vAlign w:val="center"/>
          </w:tcPr>
          <w:p w14:paraId="7137BA76">
            <w:pPr>
              <w:spacing w:after="0" w:line="240" w:lineRule="auto"/>
              <w:ind w:firstLine="0"/>
              <w:jc w:val="center"/>
            </w:pPr>
            <w:r>
              <w:rPr>
                <w:rFonts w:ascii="Arial" w:hAnsi="Arial" w:eastAsia="宋体"/>
                <w:b/>
                <w:color w:val="000000"/>
                <w:sz w:val="21"/>
              </w:rPr>
              <w:t>噪声量/特点</w:t>
            </w:r>
          </w:p>
        </w:tc>
      </w:tr>
      <w:tr w14:paraId="0118D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E446A99">
            <w:pPr>
              <w:spacing w:after="0" w:line="240" w:lineRule="auto"/>
              <w:ind w:firstLine="0"/>
              <w:jc w:val="left"/>
            </w:pPr>
            <w:r>
              <w:rPr>
                <w:rFonts w:ascii="Arial" w:hAnsi="Arial" w:eastAsia="宋体"/>
                <w:b w:val="0"/>
                <w:color w:val="000000"/>
                <w:sz w:val="21"/>
              </w:rPr>
              <w:t>拉普拉斯机制 (Laplace)</w:t>
            </w:r>
          </w:p>
        </w:tc>
        <w:tc>
          <w:tcPr>
            <w:tcW w:w="1701" w:type="dxa"/>
            <w:vAlign w:val="center"/>
          </w:tcPr>
          <w:p w14:paraId="4BF6A7D0">
            <w:pPr>
              <w:spacing w:after="0" w:line="240" w:lineRule="auto"/>
              <w:ind w:firstLine="0"/>
              <w:jc w:val="center"/>
            </w:pPr>
            <w:r>
              <w:rPr>
                <w:rFonts w:ascii="Arial" w:hAnsi="Arial" w:eastAsia="宋体"/>
                <w:b w:val="0"/>
                <w:color w:val="000000"/>
                <w:sz w:val="21"/>
              </w:rPr>
              <w:t>数值型查询结果</w:t>
            </w:r>
          </w:p>
        </w:tc>
        <w:tc>
          <w:tcPr>
            <w:tcW w:w="2721" w:type="dxa"/>
            <w:vAlign w:val="center"/>
          </w:tcPr>
          <w:p w14:paraId="67549B93">
            <w:pPr>
              <w:spacing w:after="0" w:line="240" w:lineRule="auto"/>
              <w:ind w:firstLine="0"/>
              <w:jc w:val="left"/>
            </w:pPr>
            <w:r>
              <w:rPr>
                <w:rFonts w:ascii="Arial" w:hAnsi="Arial" w:eastAsia="宋体"/>
                <w:b w:val="0"/>
                <w:color w:val="000000"/>
                <w:sz w:val="21"/>
              </w:rPr>
              <w:t>M(D)=f(D)+Y，Y~Lap(Δf/ε)</w:t>
            </w:r>
          </w:p>
        </w:tc>
        <w:tc>
          <w:tcPr>
            <w:tcW w:w="2948" w:type="dxa"/>
            <w:vAlign w:val="center"/>
          </w:tcPr>
          <w:p w14:paraId="44FAC288">
            <w:pPr>
              <w:spacing w:after="0" w:line="240" w:lineRule="auto"/>
              <w:ind w:firstLine="0"/>
              <w:jc w:val="left"/>
            </w:pPr>
            <w:r>
              <w:rPr>
                <w:rFonts w:ascii="Arial" w:hAnsi="Arial" w:eastAsia="宋体"/>
                <w:b w:val="0"/>
                <w:color w:val="000000"/>
                <w:sz w:val="21"/>
              </w:rPr>
              <w:t>绝对误差 √2Δf/ε，方差 2(Δf)²/ε²；ε 越小噪声越大</w:t>
            </w:r>
          </w:p>
        </w:tc>
      </w:tr>
      <w:tr w14:paraId="5838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053A429">
            <w:pPr>
              <w:spacing w:after="0" w:line="240" w:lineRule="auto"/>
              <w:ind w:firstLine="0"/>
              <w:jc w:val="left"/>
            </w:pPr>
            <w:r>
              <w:rPr>
                <w:rFonts w:ascii="Arial" w:hAnsi="Arial" w:eastAsia="宋体"/>
                <w:b w:val="0"/>
                <w:color w:val="000000"/>
                <w:sz w:val="21"/>
              </w:rPr>
              <w:t>指数机制 (Exponential)</w:t>
            </w:r>
          </w:p>
        </w:tc>
        <w:tc>
          <w:tcPr>
            <w:tcW w:w="1701" w:type="dxa"/>
            <w:vAlign w:val="center"/>
          </w:tcPr>
          <w:p w14:paraId="14626F48">
            <w:pPr>
              <w:spacing w:after="0" w:line="240" w:lineRule="auto"/>
              <w:ind w:firstLine="0"/>
              <w:jc w:val="left"/>
            </w:pPr>
            <w:r>
              <w:rPr>
                <w:rFonts w:ascii="Arial" w:hAnsi="Arial" w:eastAsia="宋体"/>
                <w:b w:val="0"/>
                <w:color w:val="000000"/>
                <w:sz w:val="21"/>
              </w:rPr>
              <w:t>非数值型结果（方案/选择/实体）</w:t>
            </w:r>
          </w:p>
        </w:tc>
        <w:tc>
          <w:tcPr>
            <w:tcW w:w="2721" w:type="dxa"/>
            <w:vAlign w:val="center"/>
          </w:tcPr>
          <w:p w14:paraId="467F3AC3">
            <w:pPr>
              <w:spacing w:after="0" w:line="240" w:lineRule="auto"/>
              <w:ind w:firstLine="0"/>
              <w:jc w:val="left"/>
            </w:pPr>
            <w:r>
              <w:rPr>
                <w:rFonts w:ascii="Arial" w:hAnsi="Arial" w:eastAsia="宋体"/>
                <w:b w:val="0"/>
                <w:color w:val="000000"/>
                <w:sz w:val="21"/>
              </w:rPr>
              <w:t>以正比于 exp(εq(D,r)/(2Δq)) 的概率输出 r，q 为可用性打分函数</w:t>
            </w:r>
          </w:p>
        </w:tc>
        <w:tc>
          <w:tcPr>
            <w:tcW w:w="2948" w:type="dxa"/>
            <w:vAlign w:val="center"/>
          </w:tcPr>
          <w:p w14:paraId="666C284C">
            <w:pPr>
              <w:spacing w:after="0" w:line="240" w:lineRule="auto"/>
              <w:ind w:firstLine="0"/>
              <w:jc w:val="left"/>
            </w:pPr>
            <w:r>
              <w:rPr>
                <w:rFonts w:ascii="Arial" w:hAnsi="Arial" w:eastAsia="宋体"/>
                <w:b w:val="0"/>
                <w:color w:val="000000"/>
                <w:sz w:val="21"/>
              </w:rPr>
              <w:t>ε 大时放大高分项概率（如 ε=1 时最高票项目概率达 0.924）；ε=0 时退化为均匀选择</w:t>
            </w:r>
          </w:p>
        </w:tc>
      </w:tr>
      <w:tr w14:paraId="4773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0BE51E9">
            <w:pPr>
              <w:spacing w:after="0" w:line="240" w:lineRule="auto"/>
              <w:ind w:firstLine="0"/>
              <w:jc w:val="left"/>
            </w:pPr>
            <w:r>
              <w:rPr>
                <w:rFonts w:ascii="Arial" w:hAnsi="Arial" w:eastAsia="宋体"/>
                <w:b w:val="0"/>
                <w:color w:val="000000"/>
                <w:sz w:val="21"/>
              </w:rPr>
              <w:t>高斯机制 (Gaussian)</w:t>
            </w:r>
          </w:p>
        </w:tc>
        <w:tc>
          <w:tcPr>
            <w:tcW w:w="1701" w:type="dxa"/>
            <w:vAlign w:val="center"/>
          </w:tcPr>
          <w:p w14:paraId="4D4134C5">
            <w:pPr>
              <w:spacing w:after="0" w:line="240" w:lineRule="auto"/>
              <w:ind w:firstLine="0"/>
              <w:jc w:val="center"/>
            </w:pPr>
            <w:r>
              <w:rPr>
                <w:rFonts w:ascii="Arial" w:hAnsi="Arial" w:eastAsia="宋体"/>
                <w:b w:val="0"/>
                <w:color w:val="000000"/>
                <w:sz w:val="21"/>
              </w:rPr>
              <w:t>(ε,δ)-DP 场景</w:t>
            </w:r>
          </w:p>
        </w:tc>
        <w:tc>
          <w:tcPr>
            <w:tcW w:w="2721" w:type="dxa"/>
            <w:vAlign w:val="center"/>
          </w:tcPr>
          <w:p w14:paraId="51A905A9">
            <w:pPr>
              <w:spacing w:after="0" w:line="240" w:lineRule="auto"/>
              <w:ind w:firstLine="0"/>
              <w:jc w:val="left"/>
            </w:pPr>
            <w:r>
              <w:rPr>
                <w:rFonts w:ascii="Arial" w:hAnsi="Arial" w:eastAsia="宋体"/>
                <w:b w:val="0"/>
                <w:color w:val="000000"/>
                <w:sz w:val="21"/>
              </w:rPr>
              <w:t>M(D)=f(D)+η，η~N(0, 2s²/ε²·log(2/δ))</w:t>
            </w:r>
          </w:p>
        </w:tc>
        <w:tc>
          <w:tcPr>
            <w:tcW w:w="2948" w:type="dxa"/>
            <w:vAlign w:val="center"/>
          </w:tcPr>
          <w:p w14:paraId="35F93954">
            <w:pPr>
              <w:spacing w:after="0" w:line="240" w:lineRule="auto"/>
              <w:ind w:firstLine="0"/>
              <w:jc w:val="left"/>
            </w:pPr>
            <w:r>
              <w:rPr>
                <w:rFonts w:ascii="Arial" w:hAnsi="Arial" w:eastAsia="宋体"/>
                <w:b w:val="0"/>
                <w:color w:val="000000"/>
                <w:sz w:val="21"/>
              </w:rPr>
              <w:t>配合高级组合定理，支持更多次迭代；A1 用于 (ε,δ)-DP 实验</w:t>
            </w:r>
          </w:p>
        </w:tc>
      </w:tr>
    </w:tbl>
    <w:p w14:paraId="6C8698C0">
      <w:pPr>
        <w:keepNext w:val="0"/>
        <w:spacing w:before="0" w:after="0" w:line="360" w:lineRule="auto"/>
        <w:ind w:firstLine="0"/>
        <w:jc w:val="center"/>
      </w:pPr>
      <w:r>
        <w:rPr>
          <w:rFonts w:ascii="Arial" w:hAnsi="Arial" w:eastAsia="宋体"/>
          <w:b w:val="0"/>
          <w:color w:val="000000"/>
          <w:sz w:val="21"/>
        </w:rPr>
        <w:t>表 2  三种基本差分隐私机制</w:t>
      </w:r>
    </w:p>
    <w:p w14:paraId="4877D772">
      <w:pPr>
        <w:keepNext w:val="0"/>
        <w:spacing w:before="0" w:after="0" w:line="360" w:lineRule="auto"/>
        <w:ind w:firstLine="480"/>
        <w:jc w:val="both"/>
      </w:pPr>
      <w:r>
        <w:rPr>
          <w:rFonts w:ascii="Arial" w:hAnsi="Arial" w:eastAsia="宋体"/>
          <w:b w:val="0"/>
          <w:color w:val="000000"/>
          <w:sz w:val="24"/>
        </w:rPr>
        <w:t>随机化响应（randomized response）是另一经典基础技术（A2 第 3 章）：受访者以一定概率如实回答、以其余概率回答反值，分析者用无偏估计还原总体比例，个体答案本身不可信。</w:t>
      </w:r>
    </w:p>
    <w:p w14:paraId="250461E3">
      <w:pPr>
        <w:pStyle w:val="4"/>
      </w:pPr>
      <w:bookmarkStart w:id="9" w:name="_Toc31970"/>
      <w:r>
        <w:rPr>
          <w:rFonts w:ascii="Arial" w:hAnsi="Arial" w:eastAsia="黑体"/>
          <w:b/>
          <w:color w:val="000000"/>
          <w:sz w:val="28"/>
        </w:rPr>
        <w:t>2.6  核心要点小结</w:t>
      </w:r>
      <w:bookmarkEnd w:id="9"/>
    </w:p>
    <w:p w14:paraId="329C38B7">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差分隐私是定义而非算法，任何满足该输出分布约束的机制都可被称为 DP 机制。</w:t>
      </w:r>
    </w:p>
    <w:p w14:paraId="6893AD94">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DP 与攻击者背景知识无关：即使攻击者已知除目标记录外的一切，个体隐私仍受保护。</w:t>
      </w:r>
    </w:p>
    <w:p w14:paraId="6C86F59A">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预算 ε 与敏感度 Δf 是两大核心参数：ε 决定隐私强度，Δf 决定所需噪声规模。</w:t>
      </w:r>
    </w:p>
    <w:p w14:paraId="3F4A96DC">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组合性质是算法设计与预算分配的理论基础：串行累加、并行取最大。</w:t>
      </w:r>
    </w:p>
    <w:p w14:paraId="3F868FAC">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(ε,δ)-DP 通过引入 δ 换取高级组合定理，是当前 DP 机器学习的主流形式。</w:t>
      </w:r>
    </w:p>
    <w:p w14:paraId="5A47EE52">
      <w:pPr>
        <w:pStyle w:val="3"/>
      </w:pPr>
      <w:bookmarkStart w:id="10" w:name="_Toc28650"/>
      <w:r>
        <w:rPr>
          <w:rFonts w:ascii="Arial" w:hAnsi="Arial" w:eastAsia="黑体"/>
          <w:b/>
          <w:color w:val="000000"/>
          <w:sz w:val="32"/>
        </w:rPr>
        <w:t>3  差分隐私数据发布</w:t>
      </w:r>
      <w:bookmarkEnd w:id="10"/>
    </w:p>
    <w:p w14:paraId="603B9F73">
      <w:pPr>
        <w:keepNext w:val="0"/>
        <w:spacing w:before="0" w:after="0" w:line="360" w:lineRule="auto"/>
        <w:ind w:firstLine="480"/>
        <w:jc w:val="both"/>
      </w:pPr>
      <w:r>
        <w:rPr>
          <w:rFonts w:ascii="Arial" w:hAnsi="Arial" w:eastAsia="宋体"/>
          <w:b w:val="0"/>
          <w:color w:val="000000"/>
          <w:sz w:val="24"/>
        </w:rPr>
        <w:t>数据发布是 DP 研究最核心的应用方向，目标是在满足差分隐私的条件下，以尽量高的精度发布查询结果或“净化”后的数据集。依据实现环境可分为交互式与非交互式两类（A3 图 5、A4 第 4 节）。</w:t>
      </w:r>
    </w:p>
    <w:p w14:paraId="7AE1E73E">
      <w:pPr>
        <w:pStyle w:val="4"/>
      </w:pPr>
      <w:bookmarkStart w:id="11" w:name="_Toc5316"/>
      <w:r>
        <w:rPr>
          <w:rFonts w:ascii="Arial" w:hAnsi="Arial" w:eastAsia="黑体"/>
          <w:b/>
          <w:color w:val="000000"/>
          <w:sz w:val="28"/>
        </w:rPr>
        <w:t>3.1  交互式与非交互式框架</w:t>
      </w:r>
      <w:bookmarkEnd w:id="11"/>
    </w:p>
    <w:p w14:paraId="7C912E6A">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交互式（在线查询）：用户逐次提交查询，数据管理者加噪后返回；查询次数受预算约束，预算耗尽即失效。代表性机制有 Laplace、Median、PMW、K-norm、IDC 等。</w:t>
      </w:r>
    </w:p>
    <w:p w14:paraId="67E1B40F">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非交互式（离线发布）：一次性发布所有可查询的结果，或发布净化数据集供任意查询。研究重点是设计满足 DP 且可用性高的发布算法，常借助数据压缩、转换、采样过滤等手段。</w:t>
      </w:r>
    </w:p>
    <w:p w14:paraId="547C9ED9">
      <w:pPr>
        <w:keepNext w:val="0"/>
        <w:spacing w:before="0" w:after="0" w:line="360" w:lineRule="auto"/>
        <w:ind w:firstLine="480"/>
        <w:jc w:val="both"/>
      </w:pPr>
      <w:r>
        <w:rPr>
          <w:rFonts w:ascii="Arial" w:hAnsi="Arial" w:eastAsia="宋体"/>
          <w:b w:val="0"/>
          <w:color w:val="000000"/>
          <w:sz w:val="24"/>
        </w:rPr>
        <w:t>A3 给出交互式发布机制的精度度量方式：以精确度 α（Pr[|f(D)−M(f(D))|≤α]≥1−δ）与对应样本复杂度评估机制性能。</w:t>
      </w:r>
    </w:p>
    <w:p w14:paraId="09FA7F1E">
      <w:pPr>
        <w:pStyle w:val="4"/>
      </w:pPr>
      <w:bookmarkStart w:id="12" w:name="_Toc29135"/>
      <w:r>
        <w:rPr>
          <w:rFonts w:ascii="Arial" w:hAnsi="Arial" w:eastAsia="黑体"/>
          <w:b/>
          <w:color w:val="000000"/>
          <w:sz w:val="28"/>
        </w:rPr>
        <w:t>3.2  交互式发布机制比较</w:t>
      </w:r>
      <w:bookmarkEnd w:id="1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474"/>
        <w:gridCol w:w="3969"/>
      </w:tblGrid>
      <w:tr w14:paraId="53AD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shd w:val="clear" w:color="auto" w:fill="D9D9D9"/>
            <w:vAlign w:val="center"/>
          </w:tcPr>
          <w:p w14:paraId="6F5CC8AF">
            <w:pPr>
              <w:spacing w:after="0" w:line="240" w:lineRule="auto"/>
              <w:ind w:firstLine="0"/>
              <w:jc w:val="center"/>
            </w:pPr>
            <w:r>
              <w:rPr>
                <w:rFonts w:ascii="Arial" w:hAnsi="Arial" w:eastAsia="宋体"/>
                <w:b/>
                <w:color w:val="000000"/>
                <w:sz w:val="21"/>
              </w:rPr>
              <w:t>机制</w:t>
            </w:r>
          </w:p>
        </w:tc>
        <w:tc>
          <w:tcPr>
            <w:tcW w:w="1814" w:type="dxa"/>
            <w:shd w:val="clear" w:color="auto" w:fill="D9D9D9"/>
            <w:vAlign w:val="center"/>
          </w:tcPr>
          <w:p w14:paraId="5B99E386">
            <w:pPr>
              <w:spacing w:after="0" w:line="240" w:lineRule="auto"/>
              <w:ind w:firstLine="0"/>
              <w:jc w:val="center"/>
            </w:pPr>
            <w:r>
              <w:rPr>
                <w:rFonts w:ascii="Arial" w:hAnsi="Arial" w:eastAsia="宋体"/>
                <w:b/>
                <w:color w:val="000000"/>
                <w:sz w:val="21"/>
              </w:rPr>
              <w:t>可响应查询数量级</w:t>
            </w:r>
          </w:p>
        </w:tc>
        <w:tc>
          <w:tcPr>
            <w:tcW w:w="1474" w:type="dxa"/>
            <w:shd w:val="clear" w:color="auto" w:fill="D9D9D9"/>
            <w:vAlign w:val="center"/>
          </w:tcPr>
          <w:p w14:paraId="2630F03F">
            <w:pPr>
              <w:spacing w:after="0" w:line="240" w:lineRule="auto"/>
              <w:ind w:firstLine="0"/>
              <w:jc w:val="center"/>
            </w:pPr>
            <w:r>
              <w:rPr>
                <w:rFonts w:ascii="Arial" w:hAnsi="Arial" w:eastAsia="宋体"/>
                <w:b/>
                <w:color w:val="000000"/>
                <w:sz w:val="21"/>
              </w:rPr>
              <w:t>计算效率</w:t>
            </w:r>
          </w:p>
        </w:tc>
        <w:tc>
          <w:tcPr>
            <w:tcW w:w="3969" w:type="dxa"/>
            <w:shd w:val="clear" w:color="auto" w:fill="D9D9D9"/>
            <w:vAlign w:val="center"/>
          </w:tcPr>
          <w:p w14:paraId="0E5FF2AD">
            <w:pPr>
              <w:spacing w:after="0" w:line="240" w:lineRule="auto"/>
              <w:ind w:firstLine="0"/>
              <w:jc w:val="center"/>
            </w:pPr>
            <w:r>
              <w:rPr>
                <w:rFonts w:ascii="Arial" w:hAnsi="Arial" w:eastAsia="宋体"/>
                <w:b/>
                <w:color w:val="000000"/>
                <w:sz w:val="21"/>
              </w:rPr>
              <w:t>精确度（误差界）</w:t>
            </w:r>
          </w:p>
        </w:tc>
      </w:tr>
      <w:tr w14:paraId="0991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741A5F3">
            <w:pPr>
              <w:spacing w:after="0" w:line="240" w:lineRule="auto"/>
              <w:ind w:firstLine="0"/>
              <w:jc w:val="left"/>
            </w:pPr>
            <w:r>
              <w:rPr>
                <w:rFonts w:ascii="Arial" w:hAnsi="Arial" w:eastAsia="宋体"/>
                <w:b w:val="0"/>
                <w:color w:val="000000"/>
                <w:sz w:val="21"/>
              </w:rPr>
              <w:t>Median（中位数机制）</w:t>
            </w:r>
          </w:p>
        </w:tc>
        <w:tc>
          <w:tcPr>
            <w:tcW w:w="1814" w:type="dxa"/>
            <w:vAlign w:val="center"/>
          </w:tcPr>
          <w:p w14:paraId="6C8C2060">
            <w:pPr>
              <w:spacing w:after="0" w:line="240" w:lineRule="auto"/>
              <w:ind w:firstLine="0"/>
              <w:jc w:val="center"/>
            </w:pPr>
            <w:r>
              <w:rPr>
                <w:rFonts w:ascii="Arial" w:hAnsi="Arial" w:eastAsia="宋体"/>
                <w:b w:val="0"/>
                <w:color w:val="000000"/>
                <w:sz w:val="21"/>
              </w:rPr>
              <w:t>n 的指数</w:t>
            </w:r>
          </w:p>
        </w:tc>
        <w:tc>
          <w:tcPr>
            <w:tcW w:w="1474" w:type="dxa"/>
            <w:vAlign w:val="center"/>
          </w:tcPr>
          <w:p w14:paraId="272C3181">
            <w:pPr>
              <w:spacing w:after="0" w:line="240" w:lineRule="auto"/>
              <w:ind w:firstLine="0"/>
              <w:jc w:val="center"/>
            </w:pPr>
            <w:r>
              <w:rPr>
                <w:rFonts w:ascii="Arial" w:hAnsi="Arial" w:eastAsia="宋体"/>
                <w:b w:val="0"/>
                <w:color w:val="000000"/>
                <w:sz w:val="21"/>
              </w:rPr>
              <w:t>非高效</w:t>
            </w:r>
          </w:p>
        </w:tc>
        <w:tc>
          <w:tcPr>
            <w:tcW w:w="3969" w:type="dxa"/>
            <w:vAlign w:val="center"/>
          </w:tcPr>
          <w:p w14:paraId="290BA4AE">
            <w:pPr>
              <w:spacing w:after="0" w:line="240" w:lineRule="auto"/>
              <w:ind w:firstLine="0"/>
              <w:jc w:val="left"/>
            </w:pPr>
            <w:r>
              <w:rPr>
                <w:rFonts w:ascii="Arial" w:hAnsi="Arial" w:eastAsia="宋体"/>
                <w:b w:val="0"/>
                <w:color w:val="000000"/>
                <w:sz w:val="21"/>
              </w:rPr>
              <w:t>n^{1/2}(log k)(log|Z|)^{1/2}/ε^{1/2}</w:t>
            </w:r>
          </w:p>
        </w:tc>
      </w:tr>
      <w:tr w14:paraId="2F4C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0D1DDA">
            <w:pPr>
              <w:spacing w:after="0" w:line="240" w:lineRule="auto"/>
              <w:ind w:firstLine="0"/>
              <w:jc w:val="center"/>
            </w:pPr>
            <w:r>
              <w:rPr>
                <w:rFonts w:ascii="Arial" w:hAnsi="Arial" w:eastAsia="宋体"/>
                <w:b w:val="0"/>
                <w:color w:val="000000"/>
                <w:sz w:val="21"/>
              </w:rPr>
              <w:t>PMW（私有乘性权重）</w:t>
            </w:r>
          </w:p>
        </w:tc>
        <w:tc>
          <w:tcPr>
            <w:tcW w:w="1814" w:type="dxa"/>
            <w:vAlign w:val="center"/>
          </w:tcPr>
          <w:p w14:paraId="17C13536">
            <w:pPr>
              <w:spacing w:after="0" w:line="240" w:lineRule="auto"/>
              <w:ind w:firstLine="0"/>
              <w:jc w:val="center"/>
            </w:pPr>
            <w:r>
              <w:rPr>
                <w:rFonts w:ascii="Arial" w:hAnsi="Arial" w:eastAsia="宋体"/>
                <w:b w:val="0"/>
                <w:color w:val="000000"/>
                <w:sz w:val="21"/>
              </w:rPr>
              <w:t>n 的指数</w:t>
            </w:r>
          </w:p>
        </w:tc>
        <w:tc>
          <w:tcPr>
            <w:tcW w:w="1474" w:type="dxa"/>
            <w:vAlign w:val="center"/>
          </w:tcPr>
          <w:p w14:paraId="2ED5C5E2">
            <w:pPr>
              <w:spacing w:after="0" w:line="240" w:lineRule="auto"/>
              <w:ind w:firstLine="0"/>
              <w:jc w:val="center"/>
            </w:pPr>
            <w:r>
              <w:rPr>
                <w:rFonts w:ascii="Arial" w:hAnsi="Arial" w:eastAsia="宋体"/>
                <w:b w:val="0"/>
                <w:color w:val="000000"/>
                <w:sz w:val="21"/>
              </w:rPr>
              <w:t>非高效</w:t>
            </w:r>
          </w:p>
        </w:tc>
        <w:tc>
          <w:tcPr>
            <w:tcW w:w="3969" w:type="dxa"/>
            <w:vAlign w:val="center"/>
          </w:tcPr>
          <w:p w14:paraId="6BF9C63F">
            <w:pPr>
              <w:spacing w:after="0" w:line="240" w:lineRule="auto"/>
              <w:ind w:firstLine="0"/>
              <w:jc w:val="left"/>
            </w:pPr>
            <w:r>
              <w:rPr>
                <w:rFonts w:ascii="Arial" w:hAnsi="Arial" w:eastAsia="宋体"/>
                <w:b w:val="0"/>
                <w:color w:val="000000"/>
                <w:sz w:val="21"/>
              </w:rPr>
              <w:t>n^{1/2}(log k)(log|Z|)^{1/2}/ε^{1/2}</w:t>
            </w:r>
          </w:p>
        </w:tc>
      </w:tr>
      <w:tr w14:paraId="27A39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4FBBA44">
            <w:pPr>
              <w:spacing w:after="0" w:line="240" w:lineRule="auto"/>
              <w:ind w:firstLine="0"/>
              <w:jc w:val="left"/>
            </w:pPr>
            <w:r>
              <w:rPr>
                <w:rFonts w:ascii="Arial" w:hAnsi="Arial" w:eastAsia="宋体"/>
                <w:b w:val="0"/>
                <w:color w:val="000000"/>
                <w:sz w:val="21"/>
              </w:rPr>
              <w:t>K-norm（K 范数机制）</w:t>
            </w:r>
          </w:p>
        </w:tc>
        <w:tc>
          <w:tcPr>
            <w:tcW w:w="1814" w:type="dxa"/>
            <w:vAlign w:val="center"/>
          </w:tcPr>
          <w:p w14:paraId="69CAEB34">
            <w:pPr>
              <w:spacing w:after="0" w:line="240" w:lineRule="auto"/>
              <w:ind w:firstLine="0"/>
              <w:jc w:val="center"/>
            </w:pPr>
            <w:r>
              <w:rPr>
                <w:rFonts w:ascii="Arial" w:hAnsi="Arial" w:eastAsia="宋体"/>
                <w:b w:val="0"/>
                <w:color w:val="000000"/>
                <w:sz w:val="21"/>
              </w:rPr>
              <w:t>n 的次线性</w:t>
            </w:r>
          </w:p>
        </w:tc>
        <w:tc>
          <w:tcPr>
            <w:tcW w:w="1474" w:type="dxa"/>
            <w:vAlign w:val="center"/>
          </w:tcPr>
          <w:p w14:paraId="75B0D723">
            <w:pPr>
              <w:spacing w:after="0" w:line="240" w:lineRule="auto"/>
              <w:ind w:firstLine="0"/>
              <w:jc w:val="center"/>
            </w:pPr>
            <w:r>
              <w:rPr>
                <w:rFonts w:ascii="Arial" w:hAnsi="Arial" w:eastAsia="宋体"/>
                <w:b w:val="0"/>
                <w:color w:val="000000"/>
                <w:sz w:val="21"/>
              </w:rPr>
              <w:t>非高效</w:t>
            </w:r>
          </w:p>
        </w:tc>
        <w:tc>
          <w:tcPr>
            <w:tcW w:w="3969" w:type="dxa"/>
            <w:vAlign w:val="center"/>
          </w:tcPr>
          <w:p w14:paraId="239BAE1D">
            <w:pPr>
              <w:spacing w:after="0" w:line="240" w:lineRule="auto"/>
              <w:ind w:firstLine="0"/>
              <w:jc w:val="left"/>
            </w:pPr>
            <w:r>
              <w:rPr>
                <w:rFonts w:ascii="Arial" w:hAnsi="Arial" w:eastAsia="宋体"/>
                <w:b w:val="0"/>
                <w:color w:val="000000"/>
                <w:sz w:val="21"/>
              </w:rPr>
              <w:t>√(k/ε)·(log(|Z|/k))^{1/2}</w:t>
            </w:r>
          </w:p>
        </w:tc>
      </w:tr>
      <w:tr w14:paraId="35B12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9F538CE">
            <w:pPr>
              <w:spacing w:after="0" w:line="240" w:lineRule="auto"/>
              <w:ind w:firstLine="0"/>
              <w:jc w:val="left"/>
            </w:pPr>
            <w:r>
              <w:rPr>
                <w:rFonts w:ascii="Arial" w:hAnsi="Arial" w:eastAsia="宋体"/>
                <w:b w:val="0"/>
                <w:color w:val="000000"/>
                <w:sz w:val="21"/>
              </w:rPr>
              <w:t>IDC（迭代数据生成框架）</w:t>
            </w:r>
          </w:p>
        </w:tc>
        <w:tc>
          <w:tcPr>
            <w:tcW w:w="1814" w:type="dxa"/>
            <w:vAlign w:val="center"/>
          </w:tcPr>
          <w:p w14:paraId="658F45FE">
            <w:pPr>
              <w:spacing w:after="0" w:line="240" w:lineRule="auto"/>
              <w:ind w:firstLine="0"/>
              <w:jc w:val="center"/>
            </w:pPr>
            <w:r>
              <w:rPr>
                <w:rFonts w:ascii="Arial" w:hAnsi="Arial" w:eastAsia="宋体"/>
                <w:b w:val="0"/>
                <w:color w:val="000000"/>
                <w:sz w:val="21"/>
              </w:rPr>
              <w:t>n 的指数</w:t>
            </w:r>
          </w:p>
        </w:tc>
        <w:tc>
          <w:tcPr>
            <w:tcW w:w="1474" w:type="dxa"/>
            <w:vAlign w:val="center"/>
          </w:tcPr>
          <w:p w14:paraId="6957A117">
            <w:pPr>
              <w:spacing w:after="0" w:line="240" w:lineRule="auto"/>
              <w:ind w:firstLine="0"/>
              <w:jc w:val="center"/>
            </w:pPr>
            <w:r>
              <w:rPr>
                <w:rFonts w:ascii="Arial" w:hAnsi="Arial" w:eastAsia="宋体"/>
                <w:b w:val="0"/>
                <w:color w:val="000000"/>
                <w:sz w:val="21"/>
              </w:rPr>
              <w:t>非高效</w:t>
            </w:r>
          </w:p>
        </w:tc>
        <w:tc>
          <w:tcPr>
            <w:tcW w:w="3969" w:type="dxa"/>
            <w:vAlign w:val="center"/>
          </w:tcPr>
          <w:p w14:paraId="7B97F08A">
            <w:pPr>
              <w:spacing w:after="0" w:line="240" w:lineRule="auto"/>
              <w:ind w:firstLine="0"/>
              <w:jc w:val="left"/>
            </w:pPr>
            <w:r>
              <w:rPr>
                <w:rFonts w:ascii="Arial" w:hAnsi="Arial" w:eastAsia="宋体"/>
                <w:b w:val="0"/>
                <w:color w:val="000000"/>
                <w:sz w:val="21"/>
              </w:rPr>
              <w:t>n^{1/2}(log k)^{3/2}(log|Z|)^{1/2}/ε^{1/2}</w:t>
            </w:r>
          </w:p>
        </w:tc>
      </w:tr>
    </w:tbl>
    <w:p w14:paraId="6EBE76D7">
      <w:pPr>
        <w:keepNext w:val="0"/>
        <w:spacing w:before="0" w:after="0" w:line="360" w:lineRule="auto"/>
        <w:ind w:firstLine="0"/>
        <w:jc w:val="center"/>
      </w:pPr>
      <w:r>
        <w:rPr>
          <w:rFonts w:ascii="Arial" w:hAnsi="Arial" w:eastAsia="宋体"/>
          <w:b w:val="0"/>
          <w:color w:val="000000"/>
          <w:sz w:val="21"/>
        </w:rPr>
        <w:t>表 3  交互式发布机制比较（A3 表 3）</w:t>
      </w:r>
    </w:p>
    <w:p w14:paraId="4DB0B133">
      <w:pPr>
        <w:keepNext w:val="0"/>
        <w:spacing w:before="0" w:after="0" w:line="360" w:lineRule="auto"/>
        <w:ind w:firstLine="480"/>
        <w:jc w:val="both"/>
      </w:pPr>
      <w:r>
        <w:rPr>
          <w:rFonts w:ascii="Arial" w:hAnsi="Arial" w:eastAsia="宋体"/>
          <w:b w:val="0"/>
          <w:color w:val="000000"/>
          <w:sz w:val="24"/>
        </w:rPr>
        <w:t>要点：Laplace 机制简单通用但查询数量受限且噪声大；Median 通过把查询分为“难/易”两类节省预算；PMW 借助加权多数投票思想、仅在差异超阈值时才消耗预算；K-norm 机制把噪声复杂度刻画为高维凸体几何属性；IDC 框架是 Median 与 PMW 的统一架构。这些机制大多计算代价高，是理论分析多于工程实现的典型。</w:t>
      </w:r>
    </w:p>
    <w:p w14:paraId="047D7ADE">
      <w:pPr>
        <w:pStyle w:val="4"/>
      </w:pPr>
      <w:bookmarkStart w:id="13" w:name="_Toc26518"/>
      <w:r>
        <w:rPr>
          <w:rFonts w:ascii="Arial" w:hAnsi="Arial" w:eastAsia="黑体"/>
          <w:b/>
          <w:color w:val="000000"/>
          <w:sz w:val="28"/>
        </w:rPr>
        <w:t>3.3  直方图发布</w:t>
      </w:r>
      <w:bookmarkEnd w:id="13"/>
    </w:p>
    <w:p w14:paraId="2EC5CE91">
      <w:pPr>
        <w:keepNext w:val="0"/>
        <w:spacing w:before="0" w:after="0" w:line="360" w:lineRule="auto"/>
        <w:ind w:firstLine="480"/>
        <w:jc w:val="both"/>
      </w:pPr>
      <w:r>
        <w:rPr>
          <w:rFonts w:ascii="Arial" w:hAnsi="Arial" w:eastAsia="宋体"/>
          <w:b w:val="0"/>
          <w:color w:val="000000"/>
          <w:sz w:val="24"/>
        </w:rPr>
        <w:t>直方图是 DP 发布最常用的数据结构：删除一条记录最多影响一个（或少数）桶的计数，敏感度易于计算。A4 将直方图发布方法归纳为两种策略。</w:t>
      </w:r>
    </w:p>
    <w:p w14:paraId="1E4FC0A4">
      <w:pPr>
        <w:pStyle w:val="5"/>
      </w:pPr>
      <w:r>
        <w:rPr>
          <w:rFonts w:ascii="Arial" w:hAnsi="Arial" w:eastAsia="黑体"/>
          <w:b/>
          <w:color w:val="000000"/>
          <w:sz w:val="24"/>
        </w:rPr>
        <w:t>3.3.1  策略一：先加噪、后优化</w:t>
      </w:r>
    </w:p>
    <w:p w14:paraId="10CC7751">
      <w:pPr>
        <w:keepNext w:val="0"/>
        <w:spacing w:before="0" w:after="0" w:line="360" w:lineRule="auto"/>
        <w:ind w:firstLine="480"/>
        <w:jc w:val="both"/>
      </w:pPr>
      <w:r>
        <w:rPr>
          <w:rFonts w:ascii="Arial" w:hAnsi="Arial" w:eastAsia="宋体"/>
          <w:b w:val="0"/>
          <w:color w:val="000000"/>
          <w:sz w:val="24"/>
        </w:rPr>
        <w:t>直接为每个桶计数添加 Laplace 噪声，再通过后置处理（一致性约束、二次规划）提升精度。代表方法：</w:t>
      </w:r>
    </w:p>
    <w:p w14:paraId="09133D76">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LP：等宽直方图逐桶加噪 Ĥ=H+Lap(1/ε)，响应长范围查询时噪声累加，方差 2n/ε²，误差界 O(n/ε²)，可用性低。</w:t>
      </w:r>
    </w:p>
    <w:p w14:paraId="5D01A94C">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Boost1：在一致性约束下求 min||H−Ĥ||₂（最小二乘），误差界 O(log³n/ε²)，精度显著提升，但仅支持一维直方图。</w:t>
      </w:r>
    </w:p>
    <w:p w14:paraId="40FB4937">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NoiseFirst：借鉴 V-优化直方图（动态规划合并相邻相似桶、最小化平方误差和 SSE），同时考虑重构误差与噪声误差，支持较长范围查询，误差界 O((n−k)/ε²)。</w:t>
      </w:r>
    </w:p>
    <w:p w14:paraId="4490CE14">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DPCube：先按单元加噪、再用 k-d 树后置处理获得多维 V-优化直方图，支持多维查询，但精度不稳定、误差大（O(dn²/ε²)）。</w:t>
      </w:r>
    </w:p>
    <w:p w14:paraId="3C3BBAF9">
      <w:pPr>
        <w:pStyle w:val="5"/>
      </w:pPr>
      <w:r>
        <w:rPr>
          <w:rFonts w:ascii="Arial" w:hAnsi="Arial" w:eastAsia="黑体"/>
          <w:b/>
          <w:color w:val="000000"/>
          <w:sz w:val="24"/>
        </w:rPr>
        <w:t>3.3.2  策略二：先转换、后加噪</w:t>
      </w:r>
    </w:p>
    <w:p w14:paraId="429C401E">
      <w:pPr>
        <w:keepNext w:val="0"/>
        <w:spacing w:before="0" w:after="0" w:line="360" w:lineRule="auto"/>
        <w:ind w:firstLine="480"/>
        <w:jc w:val="both"/>
      </w:pPr>
      <w:r>
        <w:rPr>
          <w:rFonts w:ascii="Arial" w:hAnsi="Arial" w:eastAsia="宋体"/>
          <w:b w:val="0"/>
          <w:color w:val="000000"/>
          <w:sz w:val="24"/>
        </w:rPr>
        <w:t>先重组直方图结构降低敏感度再加噪，能更精确响应长范围查询，但转换带来信息缺损。转换方式分三类：</w:t>
      </w:r>
    </w:p>
    <w:p w14:paraId="5A924279">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层次树变换：Boost2 用 m-ary 树（敏感度 1+log_m n）；Privlet 用哈尔小波变换（Δf=1+log₂ n），每个查询由 O(log n) 个小波系数的线性组合表示，噪声方差 O((log n)²/ε²)。</w:t>
      </w:r>
    </w:p>
    <w:p w14:paraId="72B5A13B">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聚类变换：StructureFirst 用 V-优化直方图合并邻近相似桶，把敏感度从 Δf 降到 Δf/p，并以指数机制选择合并边界；P-HPartition 用自适应层次聚类（贪婪二分+指数机制）平衡重构误差与噪声误差，Error(Ck)=RECk+k/ε。</w:t>
      </w:r>
    </w:p>
    <w:p w14:paraId="4E16406C">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傅里叶变换：FPA 对直方图做离散傅里叶变换后只保留 k 个低频系数加噪再逆变换，误差由噪声误差（2k²/ε²）与重组误差构成；EFPA 用指数机制自适应挑选 k。</w:t>
      </w:r>
    </w:p>
    <w:p w14:paraId="743C4C72">
      <w:pPr>
        <w:keepNext w:val="0"/>
        <w:spacing w:before="0" w:after="0" w:line="360" w:lineRule="auto"/>
        <w:ind w:firstLine="480"/>
        <w:jc w:val="both"/>
      </w:pPr>
      <w:r>
        <w:rPr>
          <w:rFonts w:ascii="Arial" w:hAnsi="Arial" w:eastAsia="宋体"/>
          <w:b w:val="0"/>
          <w:color w:val="000000"/>
          <w:sz w:val="24"/>
        </w:rPr>
        <w:t>对比结论（A4）：策略一方法中 Boost1、NoiseFirst 一维效果较好；策略二方法中树变换与傅里叶变换只支持一维、可比性差；聚类变换可启发式发布但未处理离群点与计数顺序。支持多维、携带离群点、均衡两种误差是未来方向。</w:t>
      </w:r>
    </w:p>
    <w:p w14:paraId="41CEB2D7">
      <w:pPr>
        <w:pStyle w:val="4"/>
      </w:pPr>
      <w:bookmarkStart w:id="14" w:name="_Toc20602"/>
      <w:r>
        <w:rPr>
          <w:rFonts w:ascii="Arial" w:hAnsi="Arial" w:eastAsia="黑体"/>
          <w:b/>
          <w:color w:val="000000"/>
          <w:sz w:val="28"/>
        </w:rPr>
        <w:t>3.4  批查询与列联表发布</w:t>
      </w:r>
      <w:bookmarkEnd w:id="14"/>
    </w:p>
    <w:p w14:paraId="2DD6C2E2">
      <w:pPr>
        <w:keepNext w:val="0"/>
        <w:spacing w:before="0" w:after="0" w:line="360" w:lineRule="auto"/>
        <w:ind w:firstLine="480"/>
        <w:jc w:val="both"/>
      </w:pPr>
      <w:r>
        <w:rPr>
          <w:rFonts w:ascii="Arial" w:hAnsi="Arial" w:eastAsia="宋体"/>
          <w:b w:val="0"/>
          <w:color w:val="000000"/>
          <w:sz w:val="24"/>
        </w:rPr>
        <w:t>批查询指一次性发布所有可能查询的结果。由于查询间相关，删除一条记录可能影响多个查询，批查询集合的敏感度远高于单一查询（A3 示例：n 个变量上所有范围查询的集合敏感度可达 6 量级）。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1701"/>
        <w:gridCol w:w="2608"/>
      </w:tblGrid>
      <w:tr w14:paraId="5677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shd w:val="clear" w:color="auto" w:fill="D9D9D9"/>
            <w:vAlign w:val="center"/>
          </w:tcPr>
          <w:p w14:paraId="665AFFDE">
            <w:pPr>
              <w:spacing w:after="0" w:line="240" w:lineRule="auto"/>
              <w:ind w:firstLine="0"/>
              <w:jc w:val="center"/>
            </w:pPr>
            <w:r>
              <w:rPr>
                <w:rFonts w:ascii="Arial" w:hAnsi="Arial" w:eastAsia="宋体"/>
                <w:b/>
                <w:color w:val="000000"/>
                <w:sz w:val="21"/>
              </w:rPr>
              <w:t>方法</w:t>
            </w:r>
          </w:p>
        </w:tc>
        <w:tc>
          <w:tcPr>
            <w:tcW w:w="1701" w:type="dxa"/>
            <w:shd w:val="clear" w:color="auto" w:fill="D9D9D9"/>
            <w:vAlign w:val="center"/>
          </w:tcPr>
          <w:p w14:paraId="7DD32F22">
            <w:pPr>
              <w:spacing w:after="0" w:line="240" w:lineRule="auto"/>
              <w:ind w:firstLine="0"/>
              <w:jc w:val="center"/>
            </w:pPr>
            <w:r>
              <w:rPr>
                <w:rFonts w:ascii="Arial" w:hAnsi="Arial" w:eastAsia="宋体"/>
                <w:b/>
                <w:color w:val="000000"/>
                <w:sz w:val="21"/>
              </w:rPr>
              <w:t>总敏感度</w:t>
            </w:r>
          </w:p>
        </w:tc>
        <w:tc>
          <w:tcPr>
            <w:tcW w:w="2608" w:type="dxa"/>
            <w:shd w:val="clear" w:color="auto" w:fill="D9D9D9"/>
            <w:vAlign w:val="center"/>
          </w:tcPr>
          <w:p w14:paraId="16389CF1">
            <w:pPr>
              <w:spacing w:after="0" w:line="240" w:lineRule="auto"/>
              <w:ind w:firstLine="0"/>
              <w:jc w:val="center"/>
            </w:pPr>
            <w:r>
              <w:rPr>
                <w:rFonts w:ascii="Arial" w:hAnsi="Arial" w:eastAsia="宋体"/>
                <w:b/>
                <w:color w:val="000000"/>
                <w:sz w:val="21"/>
              </w:rPr>
              <w:t>每个查询噪声方差</w:t>
            </w:r>
          </w:p>
        </w:tc>
      </w:tr>
      <w:tr w14:paraId="4CDD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vAlign w:val="center"/>
          </w:tcPr>
          <w:p w14:paraId="3E915BB6">
            <w:pPr>
              <w:spacing w:after="0" w:line="240" w:lineRule="auto"/>
              <w:ind w:firstLine="0"/>
              <w:jc w:val="left"/>
            </w:pPr>
            <w:r>
              <w:rPr>
                <w:rFonts w:ascii="Arial" w:hAnsi="Arial" w:eastAsia="宋体"/>
                <w:b w:val="0"/>
                <w:color w:val="000000"/>
                <w:sz w:val="21"/>
              </w:rPr>
              <w:t>Lap1（逐查询独立加噪）</w:t>
            </w:r>
          </w:p>
        </w:tc>
        <w:tc>
          <w:tcPr>
            <w:tcW w:w="1701" w:type="dxa"/>
            <w:vAlign w:val="center"/>
          </w:tcPr>
          <w:p w14:paraId="6F5C141D">
            <w:pPr>
              <w:spacing w:after="0" w:line="240" w:lineRule="auto"/>
              <w:ind w:firstLine="0"/>
              <w:jc w:val="center"/>
            </w:pPr>
            <w:r>
              <w:rPr>
                <w:rFonts w:ascii="Arial" w:hAnsi="Arial" w:eastAsia="宋体"/>
                <w:b w:val="0"/>
                <w:color w:val="000000"/>
                <w:sz w:val="21"/>
              </w:rPr>
              <w:t>O(n²)</w:t>
            </w:r>
          </w:p>
        </w:tc>
        <w:tc>
          <w:tcPr>
            <w:tcW w:w="2608" w:type="dxa"/>
            <w:vAlign w:val="center"/>
          </w:tcPr>
          <w:p w14:paraId="3AA50AA8">
            <w:pPr>
              <w:spacing w:after="0" w:line="240" w:lineRule="auto"/>
              <w:ind w:firstLine="0"/>
              <w:jc w:val="center"/>
            </w:pPr>
            <w:r>
              <w:rPr>
                <w:rFonts w:ascii="Arial" w:hAnsi="Arial" w:eastAsia="宋体"/>
                <w:b w:val="0"/>
                <w:color w:val="000000"/>
                <w:sz w:val="21"/>
              </w:rPr>
              <w:t>O(n⁴/ε²)</w:t>
            </w:r>
          </w:p>
        </w:tc>
      </w:tr>
      <w:tr w14:paraId="5D242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vAlign w:val="center"/>
          </w:tcPr>
          <w:p w14:paraId="5F46417A">
            <w:pPr>
              <w:spacing w:after="0" w:line="240" w:lineRule="auto"/>
              <w:ind w:firstLine="0"/>
              <w:jc w:val="left"/>
            </w:pPr>
            <w:r>
              <w:rPr>
                <w:rFonts w:ascii="Arial" w:hAnsi="Arial" w:eastAsia="宋体"/>
                <w:b w:val="0"/>
                <w:color w:val="000000"/>
                <w:sz w:val="21"/>
              </w:rPr>
              <w:t>Lap2（对单点加噪后推算）</w:t>
            </w:r>
          </w:p>
        </w:tc>
        <w:tc>
          <w:tcPr>
            <w:tcW w:w="1701" w:type="dxa"/>
            <w:vAlign w:val="center"/>
          </w:tcPr>
          <w:p w14:paraId="2D07B8DE">
            <w:pPr>
              <w:spacing w:after="0" w:line="240" w:lineRule="auto"/>
              <w:ind w:firstLine="0"/>
              <w:jc w:val="center"/>
            </w:pPr>
            <w:r>
              <w:rPr>
                <w:rFonts w:ascii="Arial" w:hAnsi="Arial" w:eastAsia="宋体"/>
                <w:b w:val="0"/>
                <w:color w:val="000000"/>
                <w:sz w:val="21"/>
              </w:rPr>
              <w:t>1</w:t>
            </w:r>
          </w:p>
        </w:tc>
        <w:tc>
          <w:tcPr>
            <w:tcW w:w="2608" w:type="dxa"/>
            <w:vAlign w:val="center"/>
          </w:tcPr>
          <w:p w14:paraId="588A553F">
            <w:pPr>
              <w:spacing w:after="0" w:line="240" w:lineRule="auto"/>
              <w:ind w:firstLine="0"/>
              <w:jc w:val="center"/>
            </w:pPr>
            <w:r>
              <w:rPr>
                <w:rFonts w:ascii="Arial" w:hAnsi="Arial" w:eastAsia="宋体"/>
                <w:b w:val="0"/>
                <w:color w:val="000000"/>
                <w:sz w:val="21"/>
              </w:rPr>
              <w:t>O(n/ε²)</w:t>
            </w:r>
          </w:p>
        </w:tc>
      </w:tr>
      <w:tr w14:paraId="7B1C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vAlign w:val="center"/>
          </w:tcPr>
          <w:p w14:paraId="19DD2761">
            <w:pPr>
              <w:spacing w:after="0" w:line="240" w:lineRule="auto"/>
              <w:ind w:firstLine="0"/>
              <w:jc w:val="left"/>
            </w:pPr>
            <w:r>
              <w:rPr>
                <w:rFonts w:ascii="Arial" w:hAnsi="Arial" w:eastAsia="宋体"/>
                <w:b w:val="0"/>
                <w:color w:val="000000"/>
                <w:sz w:val="21"/>
              </w:rPr>
              <w:t>Privelet（小波变换）</w:t>
            </w:r>
          </w:p>
        </w:tc>
        <w:tc>
          <w:tcPr>
            <w:tcW w:w="1701" w:type="dxa"/>
            <w:vAlign w:val="center"/>
          </w:tcPr>
          <w:p w14:paraId="4A91ABA2">
            <w:pPr>
              <w:spacing w:after="0" w:line="240" w:lineRule="auto"/>
              <w:ind w:firstLine="0"/>
              <w:jc w:val="center"/>
            </w:pPr>
            <w:r>
              <w:rPr>
                <w:rFonts w:ascii="Arial" w:hAnsi="Arial" w:eastAsia="宋体"/>
                <w:b w:val="0"/>
                <w:color w:val="000000"/>
                <w:sz w:val="21"/>
              </w:rPr>
              <w:t>log n + 1</w:t>
            </w:r>
          </w:p>
        </w:tc>
        <w:tc>
          <w:tcPr>
            <w:tcW w:w="2608" w:type="dxa"/>
            <w:vAlign w:val="center"/>
          </w:tcPr>
          <w:p w14:paraId="78505D1B">
            <w:pPr>
              <w:spacing w:after="0" w:line="240" w:lineRule="auto"/>
              <w:ind w:firstLine="0"/>
              <w:jc w:val="left"/>
            </w:pPr>
            <w:r>
              <w:rPr>
                <w:rFonts w:ascii="Arial" w:hAnsi="Arial" w:eastAsia="宋体"/>
                <w:b w:val="0"/>
                <w:color w:val="000000"/>
                <w:sz w:val="21"/>
              </w:rPr>
              <w:t>O((log n)²/ε²)</w:t>
            </w:r>
          </w:p>
        </w:tc>
      </w:tr>
      <w:tr w14:paraId="2B609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vAlign w:val="center"/>
          </w:tcPr>
          <w:p w14:paraId="6CA0D2EF">
            <w:pPr>
              <w:spacing w:after="0" w:line="240" w:lineRule="auto"/>
              <w:ind w:firstLine="0"/>
              <w:jc w:val="center"/>
            </w:pPr>
            <w:r>
              <w:rPr>
                <w:rFonts w:ascii="Arial" w:hAnsi="Arial" w:eastAsia="宋体"/>
                <w:b w:val="0"/>
                <w:color w:val="000000"/>
                <w:sz w:val="21"/>
              </w:rPr>
              <w:t>层次查询（层次树）</w:t>
            </w:r>
          </w:p>
        </w:tc>
        <w:tc>
          <w:tcPr>
            <w:tcW w:w="1701" w:type="dxa"/>
            <w:vAlign w:val="center"/>
          </w:tcPr>
          <w:p w14:paraId="2ECECCB1">
            <w:pPr>
              <w:spacing w:after="0" w:line="240" w:lineRule="auto"/>
              <w:ind w:firstLine="0"/>
              <w:jc w:val="center"/>
            </w:pPr>
            <w:r>
              <w:rPr>
                <w:rFonts w:ascii="Arial" w:hAnsi="Arial" w:eastAsia="宋体"/>
                <w:b w:val="0"/>
                <w:color w:val="000000"/>
                <w:sz w:val="21"/>
              </w:rPr>
              <w:t>log n + 1</w:t>
            </w:r>
          </w:p>
        </w:tc>
        <w:tc>
          <w:tcPr>
            <w:tcW w:w="2608" w:type="dxa"/>
            <w:vAlign w:val="center"/>
          </w:tcPr>
          <w:p w14:paraId="5C47AFC8">
            <w:pPr>
              <w:spacing w:after="0" w:line="240" w:lineRule="auto"/>
              <w:ind w:firstLine="0"/>
              <w:jc w:val="left"/>
            </w:pPr>
            <w:r>
              <w:rPr>
                <w:rFonts w:ascii="Arial" w:hAnsi="Arial" w:eastAsia="宋体"/>
                <w:b w:val="0"/>
                <w:color w:val="000000"/>
                <w:sz w:val="21"/>
              </w:rPr>
              <w:t>O((log n)²/ε²)</w:t>
            </w:r>
          </w:p>
        </w:tc>
      </w:tr>
    </w:tbl>
    <w:p w14:paraId="4E0CCAD8">
      <w:pPr>
        <w:keepNext w:val="0"/>
        <w:spacing w:before="0" w:after="0" w:line="360" w:lineRule="auto"/>
        <w:ind w:firstLine="0"/>
        <w:jc w:val="center"/>
      </w:pPr>
      <w:r>
        <w:rPr>
          <w:rFonts w:ascii="Arial" w:hAnsi="Arial" w:eastAsia="宋体"/>
          <w:b w:val="0"/>
          <w:color w:val="000000"/>
          <w:sz w:val="21"/>
        </w:rPr>
        <w:t>表 4  批查询的敏感度与噪声方差对比（A3 表 4）</w:t>
      </w:r>
    </w:p>
    <w:p w14:paraId="0DD402C8">
      <w:pPr>
        <w:keepNext w:val="0"/>
        <w:spacing w:before="0" w:after="0" w:line="360" w:lineRule="auto"/>
        <w:ind w:firstLine="480"/>
        <w:jc w:val="both"/>
      </w:pPr>
      <w:r>
        <w:rPr>
          <w:rFonts w:ascii="Arial" w:hAnsi="Arial" w:eastAsia="宋体"/>
          <w:b w:val="0"/>
          <w:color w:val="000000"/>
          <w:sz w:val="24"/>
        </w:rPr>
        <w:t>列联表（列表）发布有两类做法：对每个单元格加噪（保持边缘频数一致性但噪声大）或对边缘频数直接加噪（噪声小但可能破坏一致性）；Barak 等提出傅里叶域加噪的整体方案以兼顾准确性与一致性。</w:t>
      </w:r>
    </w:p>
    <w:p w14:paraId="52277B69">
      <w:pPr>
        <w:pStyle w:val="4"/>
      </w:pPr>
      <w:bookmarkStart w:id="15" w:name="_Toc9298"/>
      <w:r>
        <w:rPr>
          <w:rFonts w:ascii="Arial" w:hAnsi="Arial" w:eastAsia="黑体"/>
          <w:b/>
          <w:color w:val="000000"/>
          <w:sz w:val="28"/>
        </w:rPr>
        <w:t>3.5  分组发布与净化数据集</w:t>
      </w:r>
      <w:bookmarkEnd w:id="15"/>
    </w:p>
    <w:p w14:paraId="4A7F1424">
      <w:pPr>
        <w:keepNext w:val="0"/>
        <w:spacing w:before="0" w:after="0" w:line="360" w:lineRule="auto"/>
        <w:ind w:firstLine="480"/>
        <w:jc w:val="both"/>
      </w:pPr>
      <w:r>
        <w:rPr>
          <w:rFonts w:ascii="Arial" w:hAnsi="Arial" w:eastAsia="宋体"/>
          <w:b w:val="0"/>
          <w:color w:val="000000"/>
          <w:sz w:val="24"/>
        </w:rPr>
        <w:t>分组发布把 k-匿名思想与 DP 结合：安全 k-匿名模型通过对原始数据随机抽样增加不确定性，理论证明当抽样函数满足 ε-DP 时可提供 (ε,δ)-DP；DiffGen 采用“自顶向下、逐步细分”策略，用指数机制选择细分方案生成满足 DP 的决策树（A3）。</w:t>
      </w:r>
    </w:p>
    <w:p w14:paraId="182F4B03">
      <w:pPr>
        <w:keepNext w:val="0"/>
        <w:spacing w:before="0" w:after="0" w:line="360" w:lineRule="auto"/>
        <w:ind w:firstLine="480"/>
        <w:jc w:val="both"/>
      </w:pPr>
      <w:r>
        <w:rPr>
          <w:rFonts w:ascii="Arial" w:hAnsi="Arial" w:eastAsia="宋体"/>
          <w:b w:val="0"/>
          <w:color w:val="000000"/>
          <w:sz w:val="24"/>
        </w:rPr>
        <w:t>净化数据集发布指直接发布加噪后的数据集供任意查询，是公认难题（A3 引 Dinur–Nissim：精确回答超过线性个查询即可高概率还原数据集）。学习理论给出了突破：Kasiviswanathan 等定义差分隐私 PAC 学习并证明——无隐私可学的概念类在 DP 下同样可学；Blum 等证明用指数机制遍历数据域可找到满足 DP 的净化数据集。但此类方法计算复杂度为超多项式，难以实用。</w:t>
      </w:r>
    </w:p>
    <w:p w14:paraId="7B62729C">
      <w:pPr>
        <w:pStyle w:val="4"/>
      </w:pPr>
      <w:bookmarkStart w:id="16" w:name="_Toc30127"/>
      <w:r>
        <w:rPr>
          <w:rFonts w:ascii="Arial" w:hAnsi="Arial" w:eastAsia="黑体"/>
          <w:b/>
          <w:color w:val="000000"/>
          <w:sz w:val="28"/>
        </w:rPr>
        <w:t>3.6  基于划分的发布</w:t>
      </w:r>
      <w:bookmarkEnd w:id="16"/>
    </w:p>
    <w:p w14:paraId="4CADC5A9">
      <w:pPr>
        <w:keepNext w:val="0"/>
        <w:spacing w:before="0" w:after="0" w:line="360" w:lineRule="auto"/>
        <w:ind w:firstLine="480"/>
        <w:jc w:val="both"/>
      </w:pPr>
      <w:r>
        <w:rPr>
          <w:rFonts w:ascii="Arial" w:hAnsi="Arial" w:eastAsia="宋体"/>
          <w:b w:val="0"/>
          <w:color w:val="000000"/>
          <w:sz w:val="24"/>
        </w:rPr>
        <w:t>A4 系统梳理了基于树结构与网格结构的划分发布方法，两类都需区分数据依赖划分（划分结构本身可能泄露隐私）与数据独立划分。</w:t>
      </w:r>
    </w:p>
    <w:p w14:paraId="1EAF18A9">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树划分：Quad-Post（完全四分树，预算均匀/几何分配，利用序列+并行组合性质）；kd-standard（指数机制保护中位数分割线，预算两份：选分割点+计数加噪）；DiffPart（分类树分割，Laplace 扰动非叶节点计数，自适应预算分配，用二项分布控制空节点）；另有 kd-noisemean、DP-tree、n-gram、Hybrid-Bus 等。</w:t>
      </w:r>
    </w:p>
    <w:p w14:paraId="40009C22">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网格划分：UG 均匀划分 m×m 格，均衡噪声误差 √(2rm/ε) 与均匀假设误差 √(rN/mc₀)，取 m=√(N/c)；AG 自适应两层划分，先用 αε 粗分、再对稠密单元细分，避免过稀（噪声大）与过密（均匀假设误差大）问题。</w:t>
      </w:r>
    </w:p>
    <w:p w14:paraId="6E01E6F2">
      <w:pPr>
        <w:keepNext w:val="0"/>
        <w:spacing w:before="0" w:after="0" w:line="360" w:lineRule="auto"/>
        <w:ind w:firstLine="480"/>
        <w:jc w:val="both"/>
      </w:pPr>
      <w:r>
        <w:rPr>
          <w:rFonts w:ascii="Arial" w:hAnsi="Arial" w:eastAsia="宋体"/>
          <w:b w:val="0"/>
          <w:color w:val="000000"/>
          <w:sz w:val="24"/>
        </w:rPr>
        <w:t>共同挑战：树划分的停止条件、高维扩展、动态数据支持；网格划分的启发式稠密/稀疏边界判定。</w:t>
      </w:r>
    </w:p>
    <w:p w14:paraId="534B3C4C">
      <w:pPr>
        <w:pStyle w:val="4"/>
      </w:pPr>
      <w:bookmarkStart w:id="17" w:name="_Toc29078"/>
      <w:r>
        <w:rPr>
          <w:rFonts w:ascii="Arial" w:hAnsi="Arial" w:eastAsia="黑体"/>
          <w:b/>
          <w:color w:val="000000"/>
          <w:sz w:val="28"/>
        </w:rPr>
        <w:t>3.7  发布技术小结</w:t>
      </w:r>
      <w:bookmarkEnd w:id="17"/>
    </w:p>
    <w:p w14:paraId="2033B568">
      <w:pPr>
        <w:keepNext w:val="0"/>
        <w:spacing w:before="0" w:after="0" w:line="360" w:lineRule="auto"/>
        <w:ind w:firstLine="480"/>
        <w:jc w:val="both"/>
      </w:pPr>
      <w:r>
        <w:rPr>
          <w:rFonts w:ascii="Arial" w:hAnsi="Arial" w:eastAsia="宋体"/>
          <w:b w:val="0"/>
          <w:color w:val="000000"/>
          <w:sz w:val="24"/>
        </w:rPr>
        <w:t>发布技术的主线是“在隐私与可用性之间权衡”：降低敏感度（转换、压缩、分区）与合理分配预算（组合性质、自适应策略）是两大抓手；后置处理（一致性约束、最小二乘）是普遍有效的精度提升手段。</w:t>
      </w:r>
    </w:p>
    <w:p w14:paraId="5CD2B17F">
      <w:pPr>
        <w:pStyle w:val="3"/>
      </w:pPr>
      <w:bookmarkStart w:id="18" w:name="_Toc27095"/>
      <w:r>
        <w:rPr>
          <w:rFonts w:ascii="Arial" w:hAnsi="Arial" w:eastAsia="黑体"/>
          <w:b/>
          <w:color w:val="000000"/>
          <w:sz w:val="32"/>
        </w:rPr>
        <w:t>4  差分隐私数据挖掘与机器学习</w:t>
      </w:r>
      <w:bookmarkEnd w:id="18"/>
    </w:p>
    <w:p w14:paraId="69E7672E">
      <w:pPr>
        <w:pStyle w:val="4"/>
      </w:pPr>
      <w:bookmarkStart w:id="19" w:name="_Toc18790"/>
      <w:r>
        <w:rPr>
          <w:rFonts w:ascii="Arial" w:hAnsi="Arial" w:eastAsia="黑体"/>
          <w:b/>
          <w:color w:val="000000"/>
          <w:sz w:val="28"/>
        </w:rPr>
        <w:t>4.1  两种实现模式</w:t>
      </w:r>
      <w:bookmarkEnd w:id="19"/>
    </w:p>
    <w:p w14:paraId="29C6C2D6">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接口模式：数据管理者不发布原始数据，仅提供加噪查询接口（SuLQ、PINQ），挖掘者无需掌握 DP 知识，查询数受预算限制。</w:t>
      </w:r>
    </w:p>
    <w:p w14:paraId="7056A914">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完全访问模式：挖掘者可信、可直接访问数据，但需改造算法使其满足 DP（随机决策树、差分逻辑回归、FIM 等）。</w:t>
      </w:r>
    </w:p>
    <w:p w14:paraId="26C0C94E">
      <w:pPr>
        <w:keepNext w:val="0"/>
        <w:spacing w:before="0" w:after="0" w:line="360" w:lineRule="auto"/>
        <w:ind w:firstLine="480"/>
        <w:jc w:val="both"/>
      </w:pPr>
      <w:r>
        <w:rPr>
          <w:rFonts w:ascii="Arial" w:hAnsi="Arial" w:eastAsia="宋体"/>
          <w:b w:val="0"/>
          <w:color w:val="000000"/>
          <w:sz w:val="24"/>
        </w:rPr>
        <w:t>SuLQ 框架把布尔查询定义为查询原语，并扩展到连续数据与 k-means、ID3 等复杂算法；PINQ 基于 LINQ 语言，其 Partition 算子利用并行组合性提高预算利用率。</w:t>
      </w:r>
    </w:p>
    <w:p w14:paraId="4399AA81">
      <w:pPr>
        <w:pStyle w:val="4"/>
      </w:pPr>
      <w:bookmarkStart w:id="20" w:name="_Toc27960"/>
      <w:r>
        <w:rPr>
          <w:rFonts w:ascii="Arial" w:hAnsi="Arial" w:eastAsia="黑体"/>
          <w:b/>
          <w:color w:val="000000"/>
          <w:sz w:val="28"/>
        </w:rPr>
        <w:t>4.2  分类算法</w:t>
      </w:r>
      <w:bookmarkEnd w:id="2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907"/>
        <w:gridCol w:w="1474"/>
        <w:gridCol w:w="3288"/>
      </w:tblGrid>
      <w:tr w14:paraId="07E0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D9D9"/>
            <w:vAlign w:val="center"/>
          </w:tcPr>
          <w:p w14:paraId="50832F4A">
            <w:pPr>
              <w:spacing w:after="0" w:line="240" w:lineRule="auto"/>
              <w:ind w:firstLine="0"/>
              <w:jc w:val="center"/>
            </w:pPr>
            <w:r>
              <w:rPr>
                <w:rFonts w:ascii="Arial" w:hAnsi="Arial" w:eastAsia="宋体"/>
                <w:b/>
                <w:color w:val="000000"/>
                <w:sz w:val="21"/>
              </w:rPr>
              <w:t>算法</w:t>
            </w:r>
          </w:p>
        </w:tc>
        <w:tc>
          <w:tcPr>
            <w:tcW w:w="1701" w:type="dxa"/>
            <w:shd w:val="clear" w:color="auto" w:fill="D9D9D9"/>
            <w:vAlign w:val="center"/>
          </w:tcPr>
          <w:p w14:paraId="5602A049">
            <w:pPr>
              <w:spacing w:after="0" w:line="240" w:lineRule="auto"/>
              <w:ind w:firstLine="0"/>
              <w:jc w:val="center"/>
            </w:pPr>
            <w:r>
              <w:rPr>
                <w:rFonts w:ascii="Arial" w:hAnsi="Arial" w:eastAsia="宋体"/>
                <w:b/>
                <w:color w:val="000000"/>
                <w:sz w:val="21"/>
              </w:rPr>
              <w:t>实现机制</w:t>
            </w:r>
          </w:p>
        </w:tc>
        <w:tc>
          <w:tcPr>
            <w:tcW w:w="907" w:type="dxa"/>
            <w:shd w:val="clear" w:color="auto" w:fill="D9D9D9"/>
            <w:vAlign w:val="center"/>
          </w:tcPr>
          <w:p w14:paraId="0361A05C">
            <w:pPr>
              <w:spacing w:after="0" w:line="240" w:lineRule="auto"/>
              <w:ind w:firstLine="0"/>
              <w:jc w:val="center"/>
            </w:pPr>
            <w:r>
              <w:rPr>
                <w:rFonts w:ascii="Arial" w:hAnsi="Arial" w:eastAsia="宋体"/>
                <w:b/>
                <w:color w:val="000000"/>
                <w:sz w:val="21"/>
              </w:rPr>
              <w:t>噪声</w:t>
            </w:r>
          </w:p>
        </w:tc>
        <w:tc>
          <w:tcPr>
            <w:tcW w:w="1474" w:type="dxa"/>
            <w:shd w:val="clear" w:color="auto" w:fill="D9D9D9"/>
            <w:vAlign w:val="center"/>
          </w:tcPr>
          <w:p w14:paraId="2A667BE6">
            <w:pPr>
              <w:spacing w:after="0" w:line="240" w:lineRule="auto"/>
              <w:ind w:firstLine="0"/>
              <w:jc w:val="center"/>
            </w:pPr>
            <w:r>
              <w:rPr>
                <w:rFonts w:ascii="Arial" w:hAnsi="Arial" w:eastAsia="宋体"/>
                <w:b/>
                <w:color w:val="000000"/>
                <w:sz w:val="21"/>
              </w:rPr>
              <w:t>数据类型</w:t>
            </w:r>
          </w:p>
        </w:tc>
        <w:tc>
          <w:tcPr>
            <w:tcW w:w="3288" w:type="dxa"/>
            <w:shd w:val="clear" w:color="auto" w:fill="D9D9D9"/>
            <w:vAlign w:val="center"/>
          </w:tcPr>
          <w:p w14:paraId="04405280">
            <w:pPr>
              <w:spacing w:after="0" w:line="240" w:lineRule="auto"/>
              <w:ind w:firstLine="0"/>
              <w:jc w:val="center"/>
            </w:pPr>
            <w:r>
              <w:rPr>
                <w:rFonts w:ascii="Arial" w:hAnsi="Arial" w:eastAsia="宋体"/>
                <w:b/>
                <w:color w:val="000000"/>
                <w:sz w:val="21"/>
              </w:rPr>
              <w:t>特点</w:t>
            </w:r>
          </w:p>
        </w:tc>
      </w:tr>
      <w:tr w14:paraId="2AAE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E2BDFFD">
            <w:pPr>
              <w:spacing w:after="0" w:line="240" w:lineRule="auto"/>
              <w:ind w:firstLine="0"/>
              <w:jc w:val="left"/>
            </w:pPr>
            <w:r>
              <w:rPr>
                <w:rFonts w:ascii="Arial" w:hAnsi="Arial" w:eastAsia="宋体"/>
                <w:b w:val="0"/>
                <w:color w:val="000000"/>
                <w:sz w:val="21"/>
              </w:rPr>
              <w:t>SuLQ-based ID3</w:t>
            </w:r>
          </w:p>
        </w:tc>
        <w:tc>
          <w:tcPr>
            <w:tcW w:w="1701" w:type="dxa"/>
            <w:vAlign w:val="center"/>
          </w:tcPr>
          <w:p w14:paraId="5F29B5CE">
            <w:pPr>
              <w:spacing w:after="0" w:line="240" w:lineRule="auto"/>
              <w:ind w:firstLine="0"/>
              <w:jc w:val="center"/>
            </w:pPr>
            <w:r>
              <w:rPr>
                <w:rFonts w:ascii="Arial" w:hAnsi="Arial" w:eastAsia="宋体"/>
                <w:b w:val="0"/>
                <w:color w:val="000000"/>
                <w:sz w:val="21"/>
              </w:rPr>
              <w:t>Laplace 机制</w:t>
            </w:r>
          </w:p>
        </w:tc>
        <w:tc>
          <w:tcPr>
            <w:tcW w:w="907" w:type="dxa"/>
            <w:vAlign w:val="center"/>
          </w:tcPr>
          <w:p w14:paraId="6C549656">
            <w:pPr>
              <w:spacing w:after="0" w:line="240" w:lineRule="auto"/>
              <w:ind w:firstLine="0"/>
              <w:jc w:val="center"/>
            </w:pPr>
            <w:r>
              <w:rPr>
                <w:rFonts w:ascii="Arial" w:hAnsi="Arial" w:eastAsia="宋体"/>
                <w:b w:val="0"/>
                <w:color w:val="000000"/>
                <w:sz w:val="21"/>
              </w:rPr>
              <w:t>高</w:t>
            </w:r>
          </w:p>
        </w:tc>
        <w:tc>
          <w:tcPr>
            <w:tcW w:w="1474" w:type="dxa"/>
            <w:vAlign w:val="center"/>
          </w:tcPr>
          <w:p w14:paraId="51839266">
            <w:pPr>
              <w:spacing w:after="0" w:line="240" w:lineRule="auto"/>
              <w:ind w:firstLine="0"/>
              <w:jc w:val="center"/>
            </w:pPr>
            <w:r>
              <w:rPr>
                <w:rFonts w:ascii="Arial" w:hAnsi="Arial" w:eastAsia="宋体"/>
                <w:b w:val="0"/>
                <w:color w:val="000000"/>
                <w:sz w:val="21"/>
              </w:rPr>
              <w:t>离散</w:t>
            </w:r>
          </w:p>
        </w:tc>
        <w:tc>
          <w:tcPr>
            <w:tcW w:w="3288" w:type="dxa"/>
            <w:vAlign w:val="center"/>
          </w:tcPr>
          <w:p w14:paraId="23AC421E">
            <w:pPr>
              <w:spacing w:after="0" w:line="240" w:lineRule="auto"/>
              <w:ind w:firstLine="0"/>
              <w:jc w:val="left"/>
            </w:pPr>
            <w:r>
              <w:rPr>
                <w:rFonts w:ascii="Arial" w:hAnsi="Arial" w:eastAsia="宋体"/>
                <w:b w:val="0"/>
                <w:color w:val="000000"/>
                <w:sz w:val="21"/>
              </w:rPr>
              <w:t>逐计数加噪算信息增益；ε&lt;1 时准确率较无隐私 ID3 降约 30%</w:t>
            </w:r>
          </w:p>
        </w:tc>
      </w:tr>
      <w:tr w14:paraId="569CD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3E1FC5F">
            <w:pPr>
              <w:spacing w:after="0" w:line="240" w:lineRule="auto"/>
              <w:ind w:firstLine="0"/>
              <w:jc w:val="left"/>
            </w:pPr>
            <w:r>
              <w:rPr>
                <w:rFonts w:ascii="Arial" w:hAnsi="Arial" w:eastAsia="宋体"/>
                <w:b w:val="0"/>
                <w:color w:val="000000"/>
                <w:sz w:val="21"/>
              </w:rPr>
              <w:t>PINQ-based ID3</w:t>
            </w:r>
          </w:p>
        </w:tc>
        <w:tc>
          <w:tcPr>
            <w:tcW w:w="1701" w:type="dxa"/>
            <w:vAlign w:val="center"/>
          </w:tcPr>
          <w:p w14:paraId="34509CCD">
            <w:pPr>
              <w:spacing w:after="0" w:line="240" w:lineRule="auto"/>
              <w:ind w:firstLine="0"/>
              <w:jc w:val="center"/>
            </w:pPr>
            <w:r>
              <w:rPr>
                <w:rFonts w:ascii="Arial" w:hAnsi="Arial" w:eastAsia="宋体"/>
                <w:b w:val="0"/>
                <w:color w:val="000000"/>
                <w:sz w:val="21"/>
              </w:rPr>
              <w:t>Laplace 机制</w:t>
            </w:r>
          </w:p>
        </w:tc>
        <w:tc>
          <w:tcPr>
            <w:tcW w:w="907" w:type="dxa"/>
            <w:vAlign w:val="center"/>
          </w:tcPr>
          <w:p w14:paraId="2C036E14">
            <w:pPr>
              <w:spacing w:after="0" w:line="240" w:lineRule="auto"/>
              <w:ind w:firstLine="0"/>
              <w:jc w:val="center"/>
            </w:pPr>
            <w:r>
              <w:rPr>
                <w:rFonts w:ascii="Arial" w:hAnsi="Arial" w:eastAsia="宋体"/>
                <w:b w:val="0"/>
                <w:color w:val="000000"/>
                <w:sz w:val="21"/>
              </w:rPr>
              <w:t>高</w:t>
            </w:r>
          </w:p>
        </w:tc>
        <w:tc>
          <w:tcPr>
            <w:tcW w:w="1474" w:type="dxa"/>
            <w:vAlign w:val="center"/>
          </w:tcPr>
          <w:p w14:paraId="4A5A71B1">
            <w:pPr>
              <w:spacing w:after="0" w:line="240" w:lineRule="auto"/>
              <w:ind w:firstLine="0"/>
              <w:jc w:val="center"/>
            </w:pPr>
            <w:r>
              <w:rPr>
                <w:rFonts w:ascii="Arial" w:hAnsi="Arial" w:eastAsia="宋体"/>
                <w:b w:val="0"/>
                <w:color w:val="000000"/>
                <w:sz w:val="21"/>
              </w:rPr>
              <w:t>离散</w:t>
            </w:r>
          </w:p>
        </w:tc>
        <w:tc>
          <w:tcPr>
            <w:tcW w:w="3288" w:type="dxa"/>
            <w:vAlign w:val="center"/>
          </w:tcPr>
          <w:p w14:paraId="29BD09E1">
            <w:pPr>
              <w:spacing w:after="0" w:line="240" w:lineRule="auto"/>
              <w:ind w:firstLine="0"/>
              <w:jc w:val="left"/>
            </w:pPr>
            <w:r>
              <w:rPr>
                <w:rFonts w:ascii="Arial" w:hAnsi="Arial" w:eastAsia="宋体"/>
                <w:b w:val="0"/>
                <w:color w:val="000000"/>
                <w:sz w:val="21"/>
              </w:rPr>
              <w:t>Partition 算子分割数据，但每属性须单独预算，噪声仍大</w:t>
            </w:r>
          </w:p>
        </w:tc>
      </w:tr>
      <w:tr w14:paraId="2219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7B0705B">
            <w:pPr>
              <w:spacing w:after="0" w:line="240" w:lineRule="auto"/>
              <w:ind w:firstLine="0"/>
              <w:jc w:val="center"/>
            </w:pPr>
            <w:r>
              <w:rPr>
                <w:rFonts w:ascii="Arial" w:hAnsi="Arial" w:eastAsia="宋体"/>
                <w:b w:val="0"/>
                <w:color w:val="000000"/>
                <w:sz w:val="21"/>
              </w:rPr>
              <w:t>DiffPID3</w:t>
            </w:r>
          </w:p>
        </w:tc>
        <w:tc>
          <w:tcPr>
            <w:tcW w:w="1701" w:type="dxa"/>
            <w:vAlign w:val="center"/>
          </w:tcPr>
          <w:p w14:paraId="52508B20">
            <w:pPr>
              <w:spacing w:after="0" w:line="240" w:lineRule="auto"/>
              <w:ind w:firstLine="0"/>
              <w:jc w:val="center"/>
            </w:pPr>
            <w:r>
              <w:rPr>
                <w:rFonts w:ascii="Arial" w:hAnsi="Arial" w:eastAsia="宋体"/>
                <w:b w:val="0"/>
                <w:color w:val="000000"/>
                <w:sz w:val="21"/>
              </w:rPr>
              <w:t>Laplace+指数机制</w:t>
            </w:r>
          </w:p>
        </w:tc>
        <w:tc>
          <w:tcPr>
            <w:tcW w:w="907" w:type="dxa"/>
            <w:vAlign w:val="center"/>
          </w:tcPr>
          <w:p w14:paraId="69F44689">
            <w:pPr>
              <w:spacing w:after="0" w:line="240" w:lineRule="auto"/>
              <w:ind w:firstLine="0"/>
              <w:jc w:val="center"/>
            </w:pPr>
            <w:r>
              <w:rPr>
                <w:rFonts w:ascii="Arial" w:hAnsi="Arial" w:eastAsia="宋体"/>
                <w:b w:val="0"/>
                <w:color w:val="000000"/>
                <w:sz w:val="21"/>
              </w:rPr>
              <w:t>低</w:t>
            </w:r>
          </w:p>
        </w:tc>
        <w:tc>
          <w:tcPr>
            <w:tcW w:w="1474" w:type="dxa"/>
            <w:vAlign w:val="center"/>
          </w:tcPr>
          <w:p w14:paraId="3D3F7E9E">
            <w:pPr>
              <w:spacing w:after="0" w:line="240" w:lineRule="auto"/>
              <w:ind w:firstLine="0"/>
              <w:jc w:val="center"/>
            </w:pPr>
            <w:r>
              <w:rPr>
                <w:rFonts w:ascii="Arial" w:hAnsi="Arial" w:eastAsia="宋体"/>
                <w:b w:val="0"/>
                <w:color w:val="000000"/>
                <w:sz w:val="21"/>
              </w:rPr>
              <w:t>离散</w:t>
            </w:r>
          </w:p>
        </w:tc>
        <w:tc>
          <w:tcPr>
            <w:tcW w:w="3288" w:type="dxa"/>
            <w:vAlign w:val="center"/>
          </w:tcPr>
          <w:p w14:paraId="3793AAFA">
            <w:pPr>
              <w:spacing w:after="0" w:line="240" w:lineRule="auto"/>
              <w:ind w:firstLine="0"/>
              <w:jc w:val="left"/>
            </w:pPr>
            <w:r>
              <w:rPr>
                <w:rFonts w:ascii="Arial" w:hAnsi="Arial" w:eastAsia="宋体"/>
                <w:b w:val="0"/>
                <w:color w:val="000000"/>
                <w:sz w:val="21"/>
              </w:rPr>
              <w:t>一次指数机制评估全部属性，单次分裂只耗一次预算</w:t>
            </w:r>
          </w:p>
        </w:tc>
      </w:tr>
      <w:tr w14:paraId="0305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8E58C56">
            <w:pPr>
              <w:spacing w:after="0" w:line="240" w:lineRule="auto"/>
              <w:ind w:firstLine="0"/>
              <w:jc w:val="center"/>
            </w:pPr>
            <w:r>
              <w:rPr>
                <w:rFonts w:ascii="Arial" w:hAnsi="Arial" w:eastAsia="宋体"/>
                <w:b w:val="0"/>
                <w:color w:val="000000"/>
                <w:sz w:val="21"/>
              </w:rPr>
              <w:t>DiffP-C4.5</w:t>
            </w:r>
          </w:p>
        </w:tc>
        <w:tc>
          <w:tcPr>
            <w:tcW w:w="1701" w:type="dxa"/>
            <w:vAlign w:val="center"/>
          </w:tcPr>
          <w:p w14:paraId="07E59415">
            <w:pPr>
              <w:spacing w:after="0" w:line="240" w:lineRule="auto"/>
              <w:ind w:firstLine="0"/>
              <w:jc w:val="center"/>
            </w:pPr>
            <w:r>
              <w:rPr>
                <w:rFonts w:ascii="Arial" w:hAnsi="Arial" w:eastAsia="宋体"/>
                <w:b w:val="0"/>
                <w:color w:val="000000"/>
                <w:sz w:val="21"/>
              </w:rPr>
              <w:t>Laplace+指数机制</w:t>
            </w:r>
          </w:p>
        </w:tc>
        <w:tc>
          <w:tcPr>
            <w:tcW w:w="907" w:type="dxa"/>
            <w:vAlign w:val="center"/>
          </w:tcPr>
          <w:p w14:paraId="7F9372B7">
            <w:pPr>
              <w:spacing w:after="0" w:line="240" w:lineRule="auto"/>
              <w:ind w:firstLine="0"/>
              <w:jc w:val="center"/>
            </w:pPr>
            <w:r>
              <w:rPr>
                <w:rFonts w:ascii="Arial" w:hAnsi="Arial" w:eastAsia="宋体"/>
                <w:b w:val="0"/>
                <w:color w:val="000000"/>
                <w:sz w:val="21"/>
              </w:rPr>
              <w:t>低</w:t>
            </w:r>
          </w:p>
        </w:tc>
        <w:tc>
          <w:tcPr>
            <w:tcW w:w="1474" w:type="dxa"/>
            <w:vAlign w:val="center"/>
          </w:tcPr>
          <w:p w14:paraId="6B63356E">
            <w:pPr>
              <w:spacing w:after="0" w:line="240" w:lineRule="auto"/>
              <w:ind w:firstLine="0"/>
              <w:jc w:val="center"/>
            </w:pPr>
            <w:r>
              <w:rPr>
                <w:rFonts w:ascii="Arial" w:hAnsi="Arial" w:eastAsia="宋体"/>
                <w:b w:val="0"/>
                <w:color w:val="000000"/>
                <w:sz w:val="21"/>
              </w:rPr>
              <w:t>离散或连续</w:t>
            </w:r>
          </w:p>
        </w:tc>
        <w:tc>
          <w:tcPr>
            <w:tcW w:w="3288" w:type="dxa"/>
            <w:vAlign w:val="center"/>
          </w:tcPr>
          <w:p w14:paraId="66E7FC28">
            <w:pPr>
              <w:spacing w:after="0" w:line="240" w:lineRule="auto"/>
              <w:ind w:firstLine="0"/>
              <w:jc w:val="left"/>
            </w:pPr>
            <w:r>
              <w:rPr>
                <w:rFonts w:ascii="Arial" w:hAnsi="Arial" w:eastAsia="宋体"/>
                <w:b w:val="0"/>
                <w:color w:val="000000"/>
                <w:sz w:val="21"/>
              </w:rPr>
              <w:t>连续属性先选分裂点再选分裂方案，每次迭代调用两次指数机制</w:t>
            </w:r>
          </w:p>
        </w:tc>
      </w:tr>
    </w:tbl>
    <w:p w14:paraId="04D71FCF">
      <w:pPr>
        <w:keepNext w:val="0"/>
        <w:spacing w:before="0" w:after="0" w:line="360" w:lineRule="auto"/>
        <w:ind w:firstLine="0"/>
        <w:jc w:val="center"/>
      </w:pPr>
      <w:r>
        <w:rPr>
          <w:rFonts w:ascii="Arial" w:hAnsi="Arial" w:eastAsia="宋体"/>
          <w:b w:val="0"/>
          <w:color w:val="000000"/>
          <w:sz w:val="21"/>
        </w:rPr>
        <w:t>表 5  基于接口模式的分类算法比较（A3 表 6）</w:t>
      </w:r>
    </w:p>
    <w:p w14:paraId="77F6DAA6">
      <w:pPr>
        <w:keepNext w:val="0"/>
        <w:spacing w:before="0" w:after="0" w:line="360" w:lineRule="auto"/>
        <w:ind w:firstLine="480"/>
        <w:jc w:val="both"/>
      </w:pPr>
      <w:r>
        <w:rPr>
          <w:rFonts w:ascii="Arial" w:hAnsi="Arial" w:eastAsia="宋体"/>
          <w:b w:val="0"/>
          <w:color w:val="000000"/>
          <w:sz w:val="24"/>
        </w:rPr>
        <w:t>完全访问模式下，Jagannathan 等的随机决策树方法先随机构建树结构（与数据无关），再对叶节点类标签计数向量 V（敏感度为 1）加 Lap(1/ε) 噪声，在 UCI 三个数据集上平均分类准确率超过 85%。Chaudhuri 等提出差分隐私逻辑回归：把噪声加入目标函数而非直接加在模型输出上，且正则化参数越大敏感度越低、所需噪声越小。</w:t>
      </w:r>
    </w:p>
    <w:p w14:paraId="7A59D8FD">
      <w:pPr>
        <w:pStyle w:val="4"/>
      </w:pPr>
      <w:bookmarkStart w:id="21" w:name="_Toc10228"/>
      <w:r>
        <w:rPr>
          <w:rFonts w:ascii="Arial" w:hAnsi="Arial" w:eastAsia="黑体"/>
          <w:b/>
          <w:color w:val="000000"/>
          <w:sz w:val="28"/>
        </w:rPr>
        <w:t>4.3  聚类算法</w:t>
      </w:r>
      <w:bookmarkEnd w:id="21"/>
    </w:p>
    <w:p w14:paraId="591E131B">
      <w:pPr>
        <w:keepNext w:val="0"/>
        <w:spacing w:before="0" w:after="0" w:line="360" w:lineRule="auto"/>
        <w:ind w:firstLine="480"/>
        <w:jc w:val="both"/>
      </w:pPr>
      <w:r>
        <w:rPr>
          <w:rFonts w:ascii="Arial" w:hAnsi="Arial" w:eastAsia="宋体"/>
          <w:b w:val="0"/>
          <w:color w:val="000000"/>
          <w:sz w:val="24"/>
        </w:rPr>
        <w:t>SuLQ 框架下的差分 k-means 通过发布加噪的质心与计数满足隐私，但质心查询的敏感度是聚类最大直径，噪声过大。改进路线有三条：</w:t>
      </w:r>
    </w:p>
    <w:p w14:paraId="657A7D26">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局部敏感度+抽样聚合框架（Nissim）：随机抽样 m 个子集分别求中间结果，聚合后按平滑敏感度加噪。</w:t>
      </w:r>
    </w:p>
    <w:p w14:paraId="428F4E75">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核心集（Coreset，Feldman）：构造容量 O(kd^{−1}log n) 的加权点集替代原数据，输出满足 (1+α)-近似，实现差分 k-median/k-means。</w:t>
      </w:r>
    </w:p>
    <w:p w14:paraId="46657BED">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预算分配（Dwork）：迭代次数已知时每轮预算 ε/u；未知时首次 ε/2、之后逐轮减半。</w:t>
      </w:r>
    </w:p>
    <w:p w14:paraId="212D108A">
      <w:pPr>
        <w:pStyle w:val="4"/>
      </w:pPr>
      <w:bookmarkStart w:id="22" w:name="_Toc31772"/>
      <w:r>
        <w:rPr>
          <w:rFonts w:ascii="Arial" w:hAnsi="Arial" w:eastAsia="黑体"/>
          <w:b/>
          <w:color w:val="000000"/>
          <w:sz w:val="28"/>
        </w:rPr>
        <w:t>4.4  频繁项集挖掘</w:t>
      </w:r>
      <w:bookmarkEnd w:id="22"/>
    </w:p>
    <w:p w14:paraId="18114081">
      <w:pPr>
        <w:keepNext w:val="0"/>
        <w:spacing w:before="0" w:after="0" w:line="360" w:lineRule="auto"/>
        <w:ind w:firstLine="480"/>
        <w:jc w:val="both"/>
      </w:pPr>
      <w:r>
        <w:rPr>
          <w:rFonts w:ascii="Arial" w:hAnsi="Arial" w:eastAsia="宋体"/>
          <w:b w:val="0"/>
          <w:color w:val="000000"/>
          <w:sz w:val="24"/>
        </w:rPr>
        <w:t>频繁项集本身及其频度可能泄露用户信息。代表方法：</w:t>
      </w:r>
    </w:p>
    <w:p w14:paraId="340D0B7B">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FIM（截断支持度）：先用传统算法得到 l-项集，定义截断支持度 ŝ=max(s, sₖ−γ) 避免遍历全部项集，再分别用指数机制（K 次调用选 K 个项集）或 Laplace 机制（对 ŝ 加噪取 Top-K）输出，最后对真实支持度加噪。K 较大（如 &gt;100）时性能与准确性显著下降。</w:t>
      </w:r>
    </w:p>
    <w:p w14:paraId="04C9590C">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PrivBasis：利用“频繁项集的子集必频繁”性质，用极大团构造 θ-基集覆盖所有高频项集，再统计 1-、2-项集支持度重构，避免遍历指数级候选，适合高维数据。</w:t>
      </w:r>
    </w:p>
    <w:p w14:paraId="17217E10">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TF（截断频率）与 SmartTrunc：TF 以概率 Pr(p)∝exp(εnf′(p)/4k) 从候选中选模式；SmartTrunc 通过截断长事务记录降低查询敏感性，但只对短事务占多数的数据集有效。</w:t>
      </w:r>
    </w:p>
    <w:p w14:paraId="5426B0F4">
      <w:pPr>
        <w:pStyle w:val="4"/>
      </w:pPr>
      <w:bookmarkStart w:id="23" w:name="_Toc19902"/>
      <w:r>
        <w:rPr>
          <w:rFonts w:ascii="Arial" w:hAnsi="Arial" w:eastAsia="黑体"/>
          <w:b/>
          <w:color w:val="000000"/>
          <w:sz w:val="28"/>
        </w:rPr>
        <w:t>4.5  回归分析</w:t>
      </w:r>
      <w:bookmarkEnd w:id="23"/>
    </w:p>
    <w:p w14:paraId="773F3D60">
      <w:pPr>
        <w:keepNext w:val="0"/>
        <w:spacing w:before="0" w:after="0" w:line="360" w:lineRule="auto"/>
        <w:ind w:firstLine="480"/>
        <w:jc w:val="both"/>
      </w:pPr>
      <w:r>
        <w:rPr>
          <w:rFonts w:ascii="Arial" w:hAnsi="Arial" w:eastAsia="宋体"/>
          <w:b w:val="0"/>
          <w:color w:val="000000"/>
          <w:sz w:val="24"/>
        </w:rPr>
        <w:t>回归分析的目标是学习权重向量 w* = argmin Σ f(t_i, w)，直接发布 w* 会泄露数据。A4 比较了四类方法：</w:t>
      </w:r>
    </w:p>
    <w:p w14:paraId="0257CEF1">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LPLog：对 w* 直接加 Laplace 噪声，但因输入 x_i 与预测 ρ(x_i) 强关联，w* 敏感性计算代价高、预测精度低。</w:t>
      </w:r>
    </w:p>
    <w:p w14:paraId="2FFCDF63">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ObjectivePerb：对目标函数均值加噪（f̃_D(w)=Σf/n + b^T w/n）再求 w*，噪声由 w* 敏感度决定，仅适用于强约束凸双可微目标函数，标准逻辑回归（布尔 y）下失效。</w:t>
      </w:r>
    </w:p>
    <w:p w14:paraId="78786A99">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FM 函数机制：把目标函数展开为多项式 Σλ_ji φ_j(w)，噪声量由目标函数自身敏感性决定（‖f_D−f_D′‖₁≤2max Σ‖λ_ji‖₁），绕过 w* 敏感性；逻辑回归目标函数用截断泰勒展开近似为多项式。</w:t>
      </w:r>
    </w:p>
    <w:p w14:paraId="5C763499">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DPME：用直方图技术生成加噪训练集再回归，绕开 w* 敏感性分析，但仅适合低维训练集。</w:t>
      </w:r>
    </w:p>
    <w:p w14:paraId="1ADC8E3A">
      <w:pPr>
        <w:pStyle w:val="4"/>
      </w:pPr>
      <w:bookmarkStart w:id="24" w:name="_Toc7421"/>
      <w:r>
        <w:rPr>
          <w:rFonts w:ascii="Arial" w:hAnsi="Arial" w:eastAsia="黑体"/>
          <w:b/>
          <w:color w:val="000000"/>
          <w:sz w:val="28"/>
        </w:rPr>
        <w:t>4.6  支持向量机</w:t>
      </w:r>
      <w:bookmarkEnd w:id="24"/>
    </w:p>
    <w:p w14:paraId="069C5E88">
      <w:pPr>
        <w:keepNext w:val="0"/>
        <w:spacing w:before="0" w:after="0" w:line="360" w:lineRule="auto"/>
        <w:ind w:firstLine="480"/>
        <w:jc w:val="both"/>
      </w:pPr>
      <w:r>
        <w:rPr>
          <w:rFonts w:ascii="Arial" w:hAnsi="Arial" w:eastAsia="宋体"/>
          <w:b w:val="0"/>
          <w:color w:val="000000"/>
          <w:sz w:val="24"/>
        </w:rPr>
        <w:t>PrivateSVM 对法向量 w* 加 Laplace 噪声（w*+Lap(λ)），因 w* 敏感性过高导致噪声大、分类精度低；ObjectiveSVM 对风险函数 f_D(w) 加噪后再优化，精度更高，但要求目标函数凸且双可微。设计通用的扰动机制是开放问题。</w:t>
      </w:r>
    </w:p>
    <w:p w14:paraId="66F0E88A">
      <w:pPr>
        <w:pStyle w:val="4"/>
      </w:pPr>
      <w:bookmarkStart w:id="25" w:name="_Toc6015"/>
      <w:r>
        <w:rPr>
          <w:rFonts w:ascii="Arial" w:hAnsi="Arial" w:eastAsia="黑体"/>
          <w:b/>
          <w:color w:val="000000"/>
          <w:sz w:val="28"/>
        </w:rPr>
        <w:t>4.7  原型系统</w:t>
      </w:r>
      <w:bookmarkEnd w:id="2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082"/>
        <w:gridCol w:w="1020"/>
        <w:gridCol w:w="1020"/>
        <w:gridCol w:w="1020"/>
      </w:tblGrid>
      <w:tr w14:paraId="5FB0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D9D9"/>
            <w:vAlign w:val="center"/>
          </w:tcPr>
          <w:p w14:paraId="14C317E2">
            <w:pPr>
              <w:spacing w:after="0" w:line="240" w:lineRule="auto"/>
              <w:ind w:firstLine="0"/>
              <w:jc w:val="center"/>
            </w:pPr>
            <w:r>
              <w:rPr>
                <w:rFonts w:ascii="Arial" w:hAnsi="Arial" w:eastAsia="宋体"/>
                <w:b/>
                <w:color w:val="000000"/>
                <w:sz w:val="21"/>
              </w:rPr>
              <w:t>系统</w:t>
            </w:r>
          </w:p>
        </w:tc>
        <w:tc>
          <w:tcPr>
            <w:tcW w:w="4082" w:type="dxa"/>
            <w:shd w:val="clear" w:color="auto" w:fill="D9D9D9"/>
            <w:vAlign w:val="center"/>
          </w:tcPr>
          <w:p w14:paraId="27041CC8">
            <w:pPr>
              <w:spacing w:after="0" w:line="240" w:lineRule="auto"/>
              <w:ind w:firstLine="0"/>
              <w:jc w:val="center"/>
            </w:pPr>
            <w:r>
              <w:rPr>
                <w:rFonts w:ascii="Arial" w:hAnsi="Arial" w:eastAsia="宋体"/>
                <w:b/>
                <w:color w:val="000000"/>
                <w:sz w:val="21"/>
              </w:rPr>
              <w:t>架构特点</w:t>
            </w:r>
          </w:p>
        </w:tc>
        <w:tc>
          <w:tcPr>
            <w:tcW w:w="1020" w:type="dxa"/>
            <w:shd w:val="clear" w:color="auto" w:fill="D9D9D9"/>
            <w:vAlign w:val="center"/>
          </w:tcPr>
          <w:p w14:paraId="736CE52E">
            <w:pPr>
              <w:spacing w:after="0" w:line="240" w:lineRule="auto"/>
              <w:ind w:firstLine="0"/>
              <w:jc w:val="center"/>
            </w:pPr>
            <w:r>
              <w:rPr>
                <w:rFonts w:ascii="Arial" w:hAnsi="Arial" w:eastAsia="宋体"/>
                <w:b/>
                <w:color w:val="000000"/>
                <w:sz w:val="21"/>
              </w:rPr>
              <w:t>状态攻击</w:t>
            </w:r>
          </w:p>
        </w:tc>
        <w:tc>
          <w:tcPr>
            <w:tcW w:w="1020" w:type="dxa"/>
            <w:shd w:val="clear" w:color="auto" w:fill="D9D9D9"/>
            <w:vAlign w:val="center"/>
          </w:tcPr>
          <w:p w14:paraId="398F606D">
            <w:pPr>
              <w:spacing w:after="0" w:line="240" w:lineRule="auto"/>
              <w:ind w:firstLine="0"/>
              <w:jc w:val="center"/>
            </w:pPr>
            <w:r>
              <w:rPr>
                <w:rFonts w:ascii="Arial" w:hAnsi="Arial" w:eastAsia="宋体"/>
                <w:b/>
                <w:color w:val="000000"/>
                <w:sz w:val="21"/>
              </w:rPr>
              <w:t>预算攻击</w:t>
            </w:r>
          </w:p>
        </w:tc>
        <w:tc>
          <w:tcPr>
            <w:tcW w:w="1020" w:type="dxa"/>
            <w:shd w:val="clear" w:color="auto" w:fill="D9D9D9"/>
            <w:vAlign w:val="center"/>
          </w:tcPr>
          <w:p w14:paraId="7F60C155">
            <w:pPr>
              <w:spacing w:after="0" w:line="240" w:lineRule="auto"/>
              <w:ind w:firstLine="0"/>
              <w:jc w:val="center"/>
            </w:pPr>
            <w:r>
              <w:rPr>
                <w:rFonts w:ascii="Arial" w:hAnsi="Arial" w:eastAsia="宋体"/>
                <w:b/>
                <w:color w:val="000000"/>
                <w:sz w:val="21"/>
              </w:rPr>
              <w:t>定时攻击</w:t>
            </w:r>
          </w:p>
        </w:tc>
      </w:tr>
      <w:tr w14:paraId="1B8F4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BE9C96C">
            <w:pPr>
              <w:spacing w:after="0" w:line="240" w:lineRule="auto"/>
              <w:ind w:firstLine="0"/>
              <w:jc w:val="center"/>
            </w:pPr>
            <w:r>
              <w:rPr>
                <w:rFonts w:ascii="Arial" w:hAnsi="Arial" w:eastAsia="宋体"/>
                <w:b w:val="0"/>
                <w:color w:val="000000"/>
                <w:sz w:val="21"/>
              </w:rPr>
              <w:t>PINQ（微软）</w:t>
            </w:r>
          </w:p>
        </w:tc>
        <w:tc>
          <w:tcPr>
            <w:tcW w:w="4082" w:type="dxa"/>
            <w:vAlign w:val="center"/>
          </w:tcPr>
          <w:p w14:paraId="76F90FBE">
            <w:pPr>
              <w:spacing w:after="0" w:line="240" w:lineRule="auto"/>
              <w:ind w:firstLine="0"/>
              <w:jc w:val="left"/>
            </w:pPr>
            <w:r>
              <w:rPr>
                <w:rFonts w:ascii="Arial" w:hAnsi="Arial" w:eastAsia="宋体"/>
                <w:b w:val="0"/>
                <w:color w:val="000000"/>
                <w:sz w:val="21"/>
              </w:rPr>
              <w:t>最早交互式 DP 分析系统，LINQ API</w:t>
            </w:r>
          </w:p>
        </w:tc>
        <w:tc>
          <w:tcPr>
            <w:tcW w:w="1020" w:type="dxa"/>
            <w:vAlign w:val="center"/>
          </w:tcPr>
          <w:p w14:paraId="35FC29FD">
            <w:pPr>
              <w:spacing w:after="0" w:line="240" w:lineRule="auto"/>
              <w:ind w:firstLine="0"/>
              <w:jc w:val="center"/>
            </w:pPr>
            <w:r>
              <w:rPr>
                <w:rFonts w:ascii="Arial" w:hAnsi="Arial" w:eastAsia="宋体"/>
                <w:b w:val="0"/>
                <w:color w:val="000000"/>
                <w:sz w:val="21"/>
              </w:rPr>
              <w:t>否</w:t>
            </w:r>
          </w:p>
        </w:tc>
        <w:tc>
          <w:tcPr>
            <w:tcW w:w="1020" w:type="dxa"/>
            <w:vAlign w:val="center"/>
          </w:tcPr>
          <w:p w14:paraId="0A60ABBC">
            <w:pPr>
              <w:spacing w:after="0" w:line="240" w:lineRule="auto"/>
              <w:ind w:firstLine="0"/>
              <w:jc w:val="center"/>
            </w:pPr>
            <w:r>
              <w:rPr>
                <w:rFonts w:ascii="Arial" w:hAnsi="Arial" w:eastAsia="宋体"/>
                <w:b w:val="0"/>
                <w:color w:val="000000"/>
                <w:sz w:val="21"/>
              </w:rPr>
              <w:t>否</w:t>
            </w:r>
          </w:p>
        </w:tc>
        <w:tc>
          <w:tcPr>
            <w:tcW w:w="1020" w:type="dxa"/>
            <w:vAlign w:val="center"/>
          </w:tcPr>
          <w:p w14:paraId="7C74ECD6">
            <w:pPr>
              <w:spacing w:after="0" w:line="240" w:lineRule="auto"/>
              <w:ind w:firstLine="0"/>
              <w:jc w:val="center"/>
            </w:pPr>
            <w:r>
              <w:rPr>
                <w:rFonts w:ascii="Arial" w:hAnsi="Arial" w:eastAsia="宋体"/>
                <w:b w:val="0"/>
                <w:color w:val="000000"/>
                <w:sz w:val="21"/>
              </w:rPr>
              <w:t>否</w:t>
            </w:r>
          </w:p>
        </w:tc>
      </w:tr>
      <w:tr w14:paraId="34FD0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535D260">
            <w:pPr>
              <w:spacing w:after="0" w:line="240" w:lineRule="auto"/>
              <w:ind w:firstLine="0"/>
              <w:jc w:val="center"/>
            </w:pPr>
            <w:r>
              <w:rPr>
                <w:rFonts w:ascii="Arial" w:hAnsi="Arial" w:eastAsia="宋体"/>
                <w:b w:val="0"/>
                <w:color w:val="000000"/>
                <w:sz w:val="21"/>
              </w:rPr>
              <w:t>GUPT（伯克利）</w:t>
            </w:r>
          </w:p>
        </w:tc>
        <w:tc>
          <w:tcPr>
            <w:tcW w:w="4082" w:type="dxa"/>
            <w:vAlign w:val="center"/>
          </w:tcPr>
          <w:p w14:paraId="136302AC">
            <w:pPr>
              <w:spacing w:after="0" w:line="240" w:lineRule="auto"/>
              <w:ind w:firstLine="0"/>
              <w:jc w:val="left"/>
            </w:pPr>
            <w:r>
              <w:rPr>
                <w:rFonts w:ascii="Arial" w:hAnsi="Arial" w:eastAsia="宋体"/>
                <w:b w:val="0"/>
                <w:color w:val="000000"/>
                <w:sz w:val="21"/>
              </w:rPr>
              <w:t>抽样-聚合框架扩展，强制访问控制 MAC，按数据时效自动设预算</w:t>
            </w:r>
          </w:p>
        </w:tc>
        <w:tc>
          <w:tcPr>
            <w:tcW w:w="1020" w:type="dxa"/>
            <w:vAlign w:val="center"/>
          </w:tcPr>
          <w:p w14:paraId="73907FAA">
            <w:pPr>
              <w:spacing w:after="0" w:line="240" w:lineRule="auto"/>
              <w:ind w:firstLine="0"/>
              <w:jc w:val="center"/>
            </w:pPr>
            <w:r>
              <w:rPr>
                <w:rFonts w:ascii="Arial" w:hAnsi="Arial" w:eastAsia="宋体"/>
                <w:b w:val="0"/>
                <w:color w:val="000000"/>
                <w:sz w:val="21"/>
              </w:rPr>
              <w:t>是</w:t>
            </w:r>
          </w:p>
        </w:tc>
        <w:tc>
          <w:tcPr>
            <w:tcW w:w="1020" w:type="dxa"/>
            <w:vAlign w:val="center"/>
          </w:tcPr>
          <w:p w14:paraId="2989BA82">
            <w:pPr>
              <w:spacing w:after="0" w:line="240" w:lineRule="auto"/>
              <w:ind w:firstLine="0"/>
              <w:jc w:val="center"/>
            </w:pPr>
            <w:r>
              <w:rPr>
                <w:rFonts w:ascii="Arial" w:hAnsi="Arial" w:eastAsia="宋体"/>
                <w:b w:val="0"/>
                <w:color w:val="000000"/>
                <w:sz w:val="21"/>
              </w:rPr>
              <w:t>是</w:t>
            </w:r>
          </w:p>
        </w:tc>
        <w:tc>
          <w:tcPr>
            <w:tcW w:w="1020" w:type="dxa"/>
            <w:vAlign w:val="center"/>
          </w:tcPr>
          <w:p w14:paraId="58A6075D">
            <w:pPr>
              <w:spacing w:after="0" w:line="240" w:lineRule="auto"/>
              <w:ind w:firstLine="0"/>
              <w:jc w:val="center"/>
            </w:pPr>
            <w:r>
              <w:rPr>
                <w:rFonts w:ascii="Arial" w:hAnsi="Arial" w:eastAsia="宋体"/>
                <w:b w:val="0"/>
                <w:color w:val="000000"/>
                <w:sz w:val="21"/>
              </w:rPr>
              <w:t>是</w:t>
            </w:r>
          </w:p>
        </w:tc>
      </w:tr>
      <w:tr w14:paraId="1BC5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091502B">
            <w:pPr>
              <w:spacing w:after="0" w:line="240" w:lineRule="auto"/>
              <w:ind w:firstLine="0"/>
              <w:jc w:val="left"/>
            </w:pPr>
            <w:r>
              <w:rPr>
                <w:rFonts w:ascii="Arial" w:hAnsi="Arial" w:eastAsia="宋体"/>
                <w:b w:val="0"/>
                <w:color w:val="000000"/>
                <w:sz w:val="21"/>
              </w:rPr>
              <w:t>Airavat（德州大学）</w:t>
            </w:r>
          </w:p>
        </w:tc>
        <w:tc>
          <w:tcPr>
            <w:tcW w:w="4082" w:type="dxa"/>
            <w:vAlign w:val="center"/>
          </w:tcPr>
          <w:p w14:paraId="33212085">
            <w:pPr>
              <w:spacing w:after="0" w:line="240" w:lineRule="auto"/>
              <w:ind w:firstLine="0"/>
              <w:jc w:val="left"/>
            </w:pPr>
            <w:r>
              <w:rPr>
                <w:rFonts w:ascii="Arial" w:hAnsi="Arial" w:eastAsia="宋体"/>
                <w:b w:val="0"/>
                <w:color w:val="000000"/>
                <w:sz w:val="21"/>
              </w:rPr>
              <w:t>MapReduce 框架，Mapper 用 MAC、Reducer 加噪</w:t>
            </w:r>
          </w:p>
        </w:tc>
        <w:tc>
          <w:tcPr>
            <w:tcW w:w="1020" w:type="dxa"/>
            <w:vAlign w:val="center"/>
          </w:tcPr>
          <w:p w14:paraId="21BB4031">
            <w:pPr>
              <w:spacing w:after="0" w:line="240" w:lineRule="auto"/>
              <w:ind w:firstLine="0"/>
              <w:jc w:val="center"/>
            </w:pPr>
            <w:r>
              <w:rPr>
                <w:rFonts w:ascii="Arial" w:hAnsi="Arial" w:eastAsia="宋体"/>
                <w:b w:val="0"/>
                <w:color w:val="000000"/>
                <w:sz w:val="21"/>
              </w:rPr>
              <w:t>否</w:t>
            </w:r>
          </w:p>
        </w:tc>
        <w:tc>
          <w:tcPr>
            <w:tcW w:w="1020" w:type="dxa"/>
            <w:vAlign w:val="center"/>
          </w:tcPr>
          <w:p w14:paraId="33FBBC80">
            <w:pPr>
              <w:spacing w:after="0" w:line="240" w:lineRule="auto"/>
              <w:ind w:firstLine="0"/>
              <w:jc w:val="center"/>
            </w:pPr>
            <w:r>
              <w:rPr>
                <w:rFonts w:ascii="Arial" w:hAnsi="Arial" w:eastAsia="宋体"/>
                <w:b w:val="0"/>
                <w:color w:val="000000"/>
                <w:sz w:val="21"/>
              </w:rPr>
              <w:t>是</w:t>
            </w:r>
          </w:p>
        </w:tc>
        <w:tc>
          <w:tcPr>
            <w:tcW w:w="1020" w:type="dxa"/>
            <w:vAlign w:val="center"/>
          </w:tcPr>
          <w:p w14:paraId="2ECEE58B">
            <w:pPr>
              <w:spacing w:after="0" w:line="240" w:lineRule="auto"/>
              <w:ind w:firstLine="0"/>
              <w:jc w:val="center"/>
            </w:pPr>
            <w:r>
              <w:rPr>
                <w:rFonts w:ascii="Arial" w:hAnsi="Arial" w:eastAsia="宋体"/>
                <w:b w:val="0"/>
                <w:color w:val="000000"/>
                <w:sz w:val="21"/>
              </w:rPr>
              <w:t>否</w:t>
            </w:r>
          </w:p>
        </w:tc>
      </w:tr>
      <w:tr w14:paraId="16E7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6FBA034">
            <w:pPr>
              <w:spacing w:after="0" w:line="240" w:lineRule="auto"/>
              <w:ind w:firstLine="0"/>
              <w:jc w:val="left"/>
            </w:pPr>
            <w:r>
              <w:rPr>
                <w:rFonts w:ascii="Arial" w:hAnsi="Arial" w:eastAsia="宋体"/>
                <w:b w:val="0"/>
                <w:color w:val="000000"/>
                <w:sz w:val="21"/>
              </w:rPr>
              <w:t>Pioneer（新加坡 ADS）</w:t>
            </w:r>
          </w:p>
        </w:tc>
        <w:tc>
          <w:tcPr>
            <w:tcW w:w="4082" w:type="dxa"/>
            <w:vAlign w:val="center"/>
          </w:tcPr>
          <w:p w14:paraId="5DB4023C">
            <w:pPr>
              <w:spacing w:after="0" w:line="240" w:lineRule="auto"/>
              <w:ind w:firstLine="0"/>
              <w:jc w:val="left"/>
            </w:pPr>
            <w:r>
              <w:rPr>
                <w:rFonts w:ascii="Arial" w:hAnsi="Arial" w:eastAsia="宋体"/>
                <w:b w:val="0"/>
                <w:color w:val="000000"/>
                <w:sz w:val="21"/>
              </w:rPr>
              <w:t>查询优化器选择最省预算的执行计划</w:t>
            </w:r>
          </w:p>
        </w:tc>
        <w:tc>
          <w:tcPr>
            <w:tcW w:w="1020" w:type="dxa"/>
            <w:vAlign w:val="center"/>
          </w:tcPr>
          <w:p w14:paraId="45B82E6F">
            <w:pPr>
              <w:spacing w:after="0" w:line="240" w:lineRule="auto"/>
              <w:ind w:firstLine="0"/>
              <w:jc w:val="center"/>
            </w:pPr>
            <w:r>
              <w:rPr>
                <w:rFonts w:ascii="Arial" w:hAnsi="Arial" w:eastAsia="宋体"/>
                <w:b w:val="0"/>
                <w:color w:val="000000"/>
                <w:sz w:val="21"/>
              </w:rPr>
              <w:t>否</w:t>
            </w:r>
          </w:p>
        </w:tc>
        <w:tc>
          <w:tcPr>
            <w:tcW w:w="1020" w:type="dxa"/>
            <w:vAlign w:val="center"/>
          </w:tcPr>
          <w:p w14:paraId="5B7EA22A">
            <w:pPr>
              <w:spacing w:after="0" w:line="240" w:lineRule="auto"/>
              <w:ind w:firstLine="0"/>
              <w:jc w:val="center"/>
            </w:pPr>
            <w:r>
              <w:rPr>
                <w:rFonts w:ascii="Arial" w:hAnsi="Arial" w:eastAsia="宋体"/>
                <w:b w:val="0"/>
                <w:color w:val="000000"/>
                <w:sz w:val="21"/>
              </w:rPr>
              <w:t>是</w:t>
            </w:r>
          </w:p>
        </w:tc>
        <w:tc>
          <w:tcPr>
            <w:tcW w:w="1020" w:type="dxa"/>
            <w:vAlign w:val="center"/>
          </w:tcPr>
          <w:p w14:paraId="2B3B2D43">
            <w:pPr>
              <w:spacing w:after="0" w:line="240" w:lineRule="auto"/>
              <w:ind w:firstLine="0"/>
              <w:jc w:val="center"/>
            </w:pPr>
            <w:r>
              <w:rPr>
                <w:rFonts w:ascii="Arial" w:hAnsi="Arial" w:eastAsia="宋体"/>
                <w:b w:val="0"/>
                <w:color w:val="000000"/>
                <w:sz w:val="21"/>
              </w:rPr>
              <w:t>否</w:t>
            </w:r>
          </w:p>
        </w:tc>
      </w:tr>
    </w:tbl>
    <w:p w14:paraId="371F2263">
      <w:pPr>
        <w:keepNext w:val="0"/>
        <w:spacing w:before="0" w:after="0" w:line="360" w:lineRule="auto"/>
        <w:ind w:firstLine="0"/>
        <w:jc w:val="center"/>
      </w:pPr>
      <w:r>
        <w:rPr>
          <w:rFonts w:ascii="Arial" w:hAnsi="Arial" w:eastAsia="宋体"/>
          <w:b w:val="0"/>
          <w:color w:val="000000"/>
          <w:sz w:val="21"/>
        </w:rPr>
        <w:t>表 6  四种原型系统及其对三类攻击的防御（A4 表 9）</w:t>
      </w:r>
    </w:p>
    <w:p w14:paraId="65331DFA">
      <w:pPr>
        <w:keepNext w:val="0"/>
        <w:spacing w:before="0" w:after="0" w:line="360" w:lineRule="auto"/>
        <w:ind w:firstLine="480"/>
        <w:jc w:val="both"/>
      </w:pPr>
      <w:r>
        <w:rPr>
          <w:rFonts w:ascii="Arial" w:hAnsi="Arial" w:eastAsia="宋体"/>
          <w:b w:val="0"/>
          <w:color w:val="000000"/>
          <w:sz w:val="24"/>
        </w:rPr>
        <w:t>A4 总结了差分隐私原型系统可能面临的三种攻击：状态攻击（修改系统静态变量）、隐私预算攻击（耗尽预算）、定时攻击（无限请求同一任务）。PINQ 由不可信分析者管理预算导致浪费；GUPT 在三种攻击下防御最好。</w:t>
      </w:r>
    </w:p>
    <w:p w14:paraId="1AB5929B">
      <w:pPr>
        <w:pStyle w:val="4"/>
      </w:pPr>
      <w:bookmarkStart w:id="26" w:name="_Toc4393"/>
      <w:r>
        <w:rPr>
          <w:rFonts w:ascii="Arial" w:hAnsi="Arial" w:eastAsia="黑体"/>
          <w:b/>
          <w:color w:val="000000"/>
          <w:sz w:val="28"/>
        </w:rPr>
        <w:t>4.8  数据挖掘小结</w:t>
      </w:r>
      <w:bookmarkEnd w:id="26"/>
    </w:p>
    <w:p w14:paraId="087C75FE">
      <w:pPr>
        <w:keepNext w:val="0"/>
        <w:spacing w:before="0" w:after="0" w:line="360" w:lineRule="auto"/>
        <w:ind w:firstLine="480"/>
        <w:jc w:val="both"/>
      </w:pPr>
      <w:r>
        <w:rPr>
          <w:rFonts w:ascii="Arial" w:hAnsi="Arial" w:eastAsia="宋体"/>
          <w:b w:val="0"/>
          <w:color w:val="000000"/>
          <w:sz w:val="24"/>
        </w:rPr>
        <w:t>接口模式让数据挖掘者无需理解隐私，但查询次数与预算受限；完全访问模式灵活但要求算法改造。总体上，指数机制常优于直接 Laplace（预算利用率更高、噪声更小）；“扰动目标函数而非输出”是回归与 SVM 领域的主流改进思路；高维数据（大 K、长序列、多属性）仍是各类方法共同的性能瓶颈。</w:t>
      </w:r>
    </w:p>
    <w:p w14:paraId="226FDD51">
      <w:pPr>
        <w:pStyle w:val="3"/>
      </w:pPr>
      <w:bookmarkStart w:id="27" w:name="_Toc17096"/>
      <w:r>
        <w:rPr>
          <w:rFonts w:ascii="Arial" w:hAnsi="Arial" w:eastAsia="黑体"/>
          <w:b/>
          <w:color w:val="000000"/>
          <w:sz w:val="32"/>
        </w:rPr>
        <w:t>5  前沿案例精读：拆分学习+差分隐私的智能电网负荷预测</w:t>
      </w:r>
      <w:bookmarkEnd w:id="27"/>
    </w:p>
    <w:p w14:paraId="1155AAE5">
      <w:pPr>
        <w:keepNext w:val="0"/>
        <w:spacing w:before="0" w:after="0" w:line="360" w:lineRule="auto"/>
        <w:ind w:firstLine="480"/>
        <w:jc w:val="both"/>
      </w:pPr>
      <w:r>
        <w:rPr>
          <w:rFonts w:ascii="Arial" w:hAnsi="Arial" w:eastAsia="宋体"/>
          <w:b w:val="0"/>
          <w:color w:val="000000"/>
          <w:sz w:val="24"/>
        </w:rPr>
        <w:t>A1（Iqbal 等，IEEE TDSC 2025）是四份材料中唯一的工程落地论文，完整示范了“差分隐私概念→算法设计→隐私量化→开销分析”的研究闭环，也是理解 A2–A4 理论如何被实际调用的最佳案例。</w:t>
      </w:r>
    </w:p>
    <w:p w14:paraId="312D651D">
      <w:pPr>
        <w:pStyle w:val="4"/>
      </w:pPr>
      <w:bookmarkStart w:id="28" w:name="_Toc900"/>
      <w:r>
        <w:rPr>
          <w:rFonts w:ascii="Arial" w:hAnsi="Arial" w:eastAsia="黑体"/>
          <w:b/>
          <w:color w:val="000000"/>
          <w:sz w:val="28"/>
        </w:rPr>
        <w:t>5.1  背景与问题</w:t>
      </w:r>
      <w:bookmarkEnd w:id="28"/>
    </w:p>
    <w:p w14:paraId="55730664">
      <w:pPr>
        <w:keepNext w:val="0"/>
        <w:spacing w:before="0" w:after="0" w:line="360" w:lineRule="auto"/>
        <w:ind w:firstLine="480"/>
        <w:jc w:val="both"/>
      </w:pPr>
      <w:r>
        <w:rPr>
          <w:rFonts w:ascii="Arial" w:hAnsi="Arial" w:eastAsia="宋体"/>
          <w:b w:val="0"/>
          <w:color w:val="000000"/>
          <w:sz w:val="24"/>
        </w:rPr>
        <w:t>智能电表高分辨率负荷数据可泄露用户隐私：何时在家、日常作息、特定电器乃至医疗设备使用情况均可被推断，受 GDPR 等法规约束。传统集中式训练需要把数据汇聚到中心服务器，通信开销大且隐私风险高；联邦学习（FL）让客户端训练整个模型，对计算能力有限的智能电表不现实；单客户端独立建模又因客户数量大而不经济。论文提出用拆分学习（SL）在“全局单模型”与“每客户端单模型”之间取得平衡。</w:t>
      </w:r>
    </w:p>
    <w:p w14:paraId="22E41E00">
      <w:pPr>
        <w:pStyle w:val="4"/>
      </w:pPr>
      <w:bookmarkStart w:id="29" w:name="_Toc27705"/>
      <w:r>
        <w:rPr>
          <w:rFonts w:ascii="Arial" w:hAnsi="Arial" w:eastAsia="黑体"/>
          <w:b/>
          <w:color w:val="000000"/>
          <w:sz w:val="28"/>
        </w:rPr>
        <w:t>5.2  方法：双层拆分学习框架</w:t>
      </w:r>
      <w:bookmarkEnd w:id="29"/>
    </w:p>
    <w:p w14:paraId="4024ADAC">
      <w:pPr>
        <w:keepNext w:val="0"/>
        <w:spacing w:before="0" w:after="0" w:line="360" w:lineRule="auto"/>
        <w:ind w:firstLine="480"/>
        <w:jc w:val="both"/>
      </w:pPr>
      <w:r>
        <w:rPr>
          <w:rFonts w:ascii="Arial" w:hAnsi="Arial" w:eastAsia="宋体"/>
          <w:b w:val="0"/>
          <w:color w:val="000000"/>
          <w:sz w:val="24"/>
        </w:rPr>
        <w:t>系统模型为三层四实体：服务提供商（SP）→ 多个电网站点（GS，各管一个邻域）→ 智能电表客户端。网络采用 FEDformer（频域增强分解 Transformer）并双拆分：Split-1（数据嵌入、前两个编码器内部块与部分解码器）部署在 GS，Split-2（其余编码器块+完整编码器块+其余解码器块）部署在 SP。</w:t>
      </w:r>
    </w:p>
    <w:p w14:paraId="485C9B6E">
      <w:pPr>
        <w:keepNext w:val="0"/>
        <w:spacing w:before="0" w:after="0" w:line="360" w:lineRule="auto"/>
        <w:ind w:firstLine="480"/>
        <w:jc w:val="both"/>
      </w:pPr>
      <w:r>
        <w:rPr>
          <w:rFonts w:ascii="Arial" w:hAnsi="Arial" w:eastAsia="宋体"/>
          <w:b w:val="0"/>
          <w:color w:val="000000"/>
          <w:sz w:val="24"/>
        </w:rPr>
        <w:t>关键设计：智能电表只用自己的数据做 Split-1 前向传播、计算损失并发起反向传播；GS 负责 Split-1 的反向传播与参数更新；SP 维护 Split-2。这样既大幅降低客户端计算负担，又因 Split-1 保持输入-输出间复杂非线性关系而天然降低信息泄露（相比过度简化的客户端子网）。FEDformer 的频域增强块（FEB/FEA）用离散傅里叶变换+随机模式选择实现线性复杂度注意力。</w:t>
      </w:r>
    </w:p>
    <w:p w14:paraId="100525B0">
      <w:pPr>
        <w:keepNext w:val="0"/>
        <w:spacing w:before="0" w:after="0" w:line="360" w:lineRule="auto"/>
        <w:ind w:firstLine="480"/>
        <w:jc w:val="both"/>
      </w:pPr>
      <w:r>
        <w:rPr>
          <w:rFonts w:ascii="Arial" w:hAnsi="Arial" w:eastAsia="宋体"/>
          <w:b w:val="0"/>
          <w:color w:val="000000"/>
          <w:sz w:val="24"/>
        </w:rPr>
        <w:t>训练采用两种策略：SplitGlobal（每个 GS 有各自个性化 Split-1，SP 训练一个全局 Split-2）与 SplitPersonal（SP 为每个 GS 训练个性化 Split-2）。训练以 7 个步骤为一个回合：GS 下发 Split-1 权重→客户端前向并上传激活→GS 拼接激活发给 SP→SP 前向→输出经 GS 送回客户端算损失→梯度回传→SP/GS 更新参数（训练全程标签不离开客户端）。</w:t>
      </w:r>
    </w:p>
    <w:p w14:paraId="08F7C928">
      <w:pPr>
        <w:pStyle w:val="4"/>
      </w:pPr>
      <w:bookmarkStart w:id="30" w:name="_Toc28234"/>
      <w:r>
        <w:rPr>
          <w:rFonts w:ascii="Arial" w:hAnsi="Arial" w:eastAsia="黑体"/>
          <w:b/>
          <w:color w:val="000000"/>
          <w:sz w:val="28"/>
        </w:rPr>
        <w:t>5.3  实验设置与结果</w:t>
      </w:r>
      <w:bookmarkEnd w:id="30"/>
    </w:p>
    <w:p w14:paraId="1CF42CDB">
      <w:pPr>
        <w:keepNext w:val="0"/>
        <w:spacing w:before="0" w:after="0" w:line="360" w:lineRule="auto"/>
        <w:ind w:firstLine="480"/>
        <w:jc w:val="both"/>
      </w:pPr>
      <w:r>
        <w:rPr>
          <w:rFonts w:ascii="Arial" w:hAnsi="Arial" w:eastAsia="宋体"/>
          <w:b w:val="0"/>
          <w:color w:val="000000"/>
          <w:sz w:val="24"/>
        </w:rPr>
        <w:t>数据集：Electricity 数据集（320 个智能电表 2016-07 至 2019-07 小时级负荷），取前 17,566 条训练，归一化后用凝聚聚类分为 3 个邻域（54/201/65 个客户端）。设置：输入长度 L=96 小时、预测视界 O=96 小时，模型维度 D=512，每邻域 K=10 个客户端，评价指标 MAE/MSE/R²，训练 10 epoch+早停。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984"/>
        <w:gridCol w:w="1871"/>
        <w:gridCol w:w="1871"/>
        <w:gridCol w:w="1871"/>
      </w:tblGrid>
      <w:tr w14:paraId="557F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D9D9"/>
            <w:vAlign w:val="center"/>
          </w:tcPr>
          <w:p w14:paraId="496E407C">
            <w:pPr>
              <w:spacing w:after="0" w:line="240" w:lineRule="auto"/>
              <w:ind w:firstLine="0"/>
              <w:jc w:val="center"/>
            </w:pPr>
            <w:r>
              <w:rPr>
                <w:rFonts w:ascii="Arial" w:hAnsi="Arial" w:eastAsia="宋体"/>
                <w:b/>
                <w:color w:val="000000"/>
                <w:sz w:val="21"/>
              </w:rPr>
              <w:t>模型</w:t>
            </w:r>
          </w:p>
        </w:tc>
        <w:tc>
          <w:tcPr>
            <w:tcW w:w="1984" w:type="dxa"/>
            <w:shd w:val="clear" w:color="auto" w:fill="D9D9D9"/>
            <w:vAlign w:val="center"/>
          </w:tcPr>
          <w:p w14:paraId="74852C9B">
            <w:pPr>
              <w:spacing w:after="0" w:line="240" w:lineRule="auto"/>
              <w:ind w:firstLine="0"/>
              <w:jc w:val="center"/>
            </w:pPr>
            <w:r>
              <w:rPr>
                <w:rFonts w:ascii="Arial" w:hAnsi="Arial" w:eastAsia="宋体"/>
                <w:b/>
                <w:color w:val="000000"/>
                <w:sz w:val="21"/>
              </w:rPr>
              <w:t>GS1 (MAE/MSE/R²)</w:t>
            </w:r>
          </w:p>
        </w:tc>
        <w:tc>
          <w:tcPr>
            <w:tcW w:w="1871" w:type="dxa"/>
            <w:shd w:val="clear" w:color="auto" w:fill="D9D9D9"/>
            <w:vAlign w:val="center"/>
          </w:tcPr>
          <w:p w14:paraId="5057B125">
            <w:pPr>
              <w:spacing w:after="0" w:line="240" w:lineRule="auto"/>
              <w:ind w:firstLine="0"/>
              <w:jc w:val="center"/>
            </w:pPr>
            <w:r>
              <w:rPr>
                <w:rFonts w:ascii="Arial" w:hAnsi="Arial" w:eastAsia="宋体"/>
                <w:b/>
                <w:color w:val="000000"/>
                <w:sz w:val="21"/>
              </w:rPr>
              <w:t>GS2 (MAE/MSE/R²)</w:t>
            </w:r>
          </w:p>
        </w:tc>
        <w:tc>
          <w:tcPr>
            <w:tcW w:w="1871" w:type="dxa"/>
            <w:shd w:val="clear" w:color="auto" w:fill="D9D9D9"/>
            <w:vAlign w:val="center"/>
          </w:tcPr>
          <w:p w14:paraId="672E43C8">
            <w:pPr>
              <w:spacing w:after="0" w:line="240" w:lineRule="auto"/>
              <w:ind w:firstLine="0"/>
              <w:jc w:val="center"/>
            </w:pPr>
            <w:r>
              <w:rPr>
                <w:rFonts w:ascii="Arial" w:hAnsi="Arial" w:eastAsia="宋体"/>
                <w:b/>
                <w:color w:val="000000"/>
                <w:sz w:val="21"/>
              </w:rPr>
              <w:t>GS3 (MAE/MSE/R²)</w:t>
            </w:r>
          </w:p>
        </w:tc>
        <w:tc>
          <w:tcPr>
            <w:tcW w:w="1871" w:type="dxa"/>
            <w:shd w:val="clear" w:color="auto" w:fill="D9D9D9"/>
            <w:vAlign w:val="center"/>
          </w:tcPr>
          <w:p w14:paraId="1F689C6E">
            <w:pPr>
              <w:spacing w:after="0" w:line="240" w:lineRule="auto"/>
              <w:ind w:firstLine="0"/>
              <w:jc w:val="center"/>
            </w:pPr>
            <w:r>
              <w:rPr>
                <w:rFonts w:ascii="Arial" w:hAnsi="Arial" w:eastAsia="宋体"/>
                <w:b/>
                <w:color w:val="000000"/>
                <w:sz w:val="21"/>
              </w:rPr>
              <w:t>均值 (MAE/MSE/R²)</w:t>
            </w:r>
          </w:p>
        </w:tc>
      </w:tr>
      <w:tr w14:paraId="6EDE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581E7F7">
            <w:pPr>
              <w:spacing w:after="0" w:line="240" w:lineRule="auto"/>
              <w:ind w:firstLine="0"/>
              <w:jc w:val="center"/>
            </w:pPr>
            <w:r>
              <w:rPr>
                <w:rFonts w:ascii="Arial" w:hAnsi="Arial" w:eastAsia="宋体"/>
                <w:b w:val="0"/>
                <w:color w:val="000000"/>
                <w:sz w:val="21"/>
              </w:rPr>
              <w:t>SplitGlobal</w:t>
            </w:r>
          </w:p>
        </w:tc>
        <w:tc>
          <w:tcPr>
            <w:tcW w:w="1984" w:type="dxa"/>
            <w:vAlign w:val="center"/>
          </w:tcPr>
          <w:p w14:paraId="2EC8356F">
            <w:pPr>
              <w:spacing w:after="0" w:line="240" w:lineRule="auto"/>
              <w:ind w:firstLine="0"/>
              <w:jc w:val="left"/>
            </w:pPr>
            <w:r>
              <w:rPr>
                <w:rFonts w:ascii="Arial" w:hAnsi="Arial" w:eastAsia="宋体"/>
                <w:b w:val="0"/>
                <w:color w:val="000000"/>
                <w:sz w:val="21"/>
              </w:rPr>
              <w:t>0.451 / 0.387 / 0.396</w:t>
            </w:r>
          </w:p>
        </w:tc>
        <w:tc>
          <w:tcPr>
            <w:tcW w:w="1871" w:type="dxa"/>
            <w:vAlign w:val="center"/>
          </w:tcPr>
          <w:p w14:paraId="43D04543">
            <w:pPr>
              <w:spacing w:after="0" w:line="240" w:lineRule="auto"/>
              <w:ind w:firstLine="0"/>
              <w:jc w:val="left"/>
            </w:pPr>
            <w:r>
              <w:rPr>
                <w:rFonts w:ascii="Arial" w:hAnsi="Arial" w:eastAsia="宋体"/>
                <w:b w:val="0"/>
                <w:color w:val="000000"/>
                <w:sz w:val="21"/>
              </w:rPr>
              <w:t>0.256 / 0.133 / 0.863</w:t>
            </w:r>
          </w:p>
        </w:tc>
        <w:tc>
          <w:tcPr>
            <w:tcW w:w="1871" w:type="dxa"/>
            <w:vAlign w:val="center"/>
          </w:tcPr>
          <w:p w14:paraId="47FF2B6E">
            <w:pPr>
              <w:spacing w:after="0" w:line="240" w:lineRule="auto"/>
              <w:ind w:firstLine="0"/>
              <w:jc w:val="left"/>
            </w:pPr>
            <w:r>
              <w:rPr>
                <w:rFonts w:ascii="Arial" w:hAnsi="Arial" w:eastAsia="宋体"/>
                <w:b w:val="0"/>
                <w:color w:val="000000"/>
                <w:sz w:val="21"/>
              </w:rPr>
              <w:t>0.372 / 0.256 / 0.663</w:t>
            </w:r>
          </w:p>
        </w:tc>
        <w:tc>
          <w:tcPr>
            <w:tcW w:w="1871" w:type="dxa"/>
            <w:vAlign w:val="center"/>
          </w:tcPr>
          <w:p w14:paraId="6F38134F">
            <w:pPr>
              <w:spacing w:after="0" w:line="240" w:lineRule="auto"/>
              <w:ind w:firstLine="0"/>
              <w:jc w:val="left"/>
            </w:pPr>
            <w:r>
              <w:rPr>
                <w:rFonts w:ascii="Arial" w:hAnsi="Arial" w:eastAsia="宋体"/>
                <w:b w:val="0"/>
                <w:color w:val="000000"/>
                <w:sz w:val="21"/>
              </w:rPr>
              <w:t>0.360 / 0.259 / 0.641</w:t>
            </w:r>
          </w:p>
        </w:tc>
      </w:tr>
      <w:tr w14:paraId="3353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21DDC9C">
            <w:pPr>
              <w:spacing w:after="0" w:line="240" w:lineRule="auto"/>
              <w:ind w:firstLine="0"/>
              <w:jc w:val="left"/>
            </w:pPr>
            <w:r>
              <w:rPr>
                <w:rFonts w:ascii="Arial" w:hAnsi="Arial" w:eastAsia="宋体"/>
                <w:b w:val="0"/>
                <w:color w:val="000000"/>
                <w:sz w:val="21"/>
              </w:rPr>
              <w:t>SplitPersonal</w:t>
            </w:r>
          </w:p>
        </w:tc>
        <w:tc>
          <w:tcPr>
            <w:tcW w:w="1984" w:type="dxa"/>
            <w:vAlign w:val="center"/>
          </w:tcPr>
          <w:p w14:paraId="7ECC9A78">
            <w:pPr>
              <w:spacing w:after="0" w:line="240" w:lineRule="auto"/>
              <w:ind w:firstLine="0"/>
              <w:jc w:val="left"/>
            </w:pPr>
            <w:r>
              <w:rPr>
                <w:rFonts w:ascii="Arial" w:hAnsi="Arial" w:eastAsia="宋体"/>
                <w:b w:val="0"/>
                <w:color w:val="000000"/>
                <w:sz w:val="21"/>
              </w:rPr>
              <w:t>0.453 / 0.383 / 0.405</w:t>
            </w:r>
          </w:p>
        </w:tc>
        <w:tc>
          <w:tcPr>
            <w:tcW w:w="1871" w:type="dxa"/>
            <w:vAlign w:val="center"/>
          </w:tcPr>
          <w:p w14:paraId="015ED625">
            <w:pPr>
              <w:spacing w:after="0" w:line="240" w:lineRule="auto"/>
              <w:ind w:firstLine="0"/>
              <w:jc w:val="left"/>
            </w:pPr>
            <w:r>
              <w:rPr>
                <w:rFonts w:ascii="Arial" w:hAnsi="Arial" w:eastAsia="宋体"/>
                <w:b w:val="0"/>
                <w:color w:val="000000"/>
                <w:sz w:val="21"/>
              </w:rPr>
              <w:t>0.253 / 0.130 / 0.868</w:t>
            </w:r>
          </w:p>
        </w:tc>
        <w:tc>
          <w:tcPr>
            <w:tcW w:w="1871" w:type="dxa"/>
            <w:vAlign w:val="center"/>
          </w:tcPr>
          <w:p w14:paraId="761BC5A5">
            <w:pPr>
              <w:spacing w:after="0" w:line="240" w:lineRule="auto"/>
              <w:ind w:firstLine="0"/>
              <w:jc w:val="left"/>
            </w:pPr>
            <w:r>
              <w:rPr>
                <w:rFonts w:ascii="Arial" w:hAnsi="Arial" w:eastAsia="宋体"/>
                <w:b w:val="0"/>
                <w:color w:val="000000"/>
                <w:sz w:val="21"/>
              </w:rPr>
              <w:t>0.361 / 0.241 / 0.687</w:t>
            </w:r>
          </w:p>
        </w:tc>
        <w:tc>
          <w:tcPr>
            <w:tcW w:w="1871" w:type="dxa"/>
            <w:vAlign w:val="center"/>
          </w:tcPr>
          <w:p w14:paraId="13F71BFD">
            <w:pPr>
              <w:spacing w:after="0" w:line="240" w:lineRule="auto"/>
              <w:ind w:firstLine="0"/>
              <w:jc w:val="left"/>
            </w:pPr>
            <w:r>
              <w:rPr>
                <w:rFonts w:ascii="Arial" w:hAnsi="Arial" w:eastAsia="宋体"/>
                <w:b w:val="0"/>
                <w:color w:val="000000"/>
                <w:sz w:val="21"/>
              </w:rPr>
              <w:t>0.356 / 0.251 / 0.653</w:t>
            </w:r>
          </w:p>
        </w:tc>
      </w:tr>
      <w:tr w14:paraId="3F355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455E5B7">
            <w:pPr>
              <w:spacing w:after="0" w:line="240" w:lineRule="auto"/>
              <w:ind w:firstLine="0"/>
              <w:jc w:val="center"/>
            </w:pPr>
            <w:r>
              <w:rPr>
                <w:rFonts w:ascii="Arial" w:hAnsi="Arial" w:eastAsia="宋体"/>
                <w:b w:val="0"/>
                <w:color w:val="000000"/>
                <w:sz w:val="21"/>
              </w:rPr>
              <w:t>集中式 Central</w:t>
            </w:r>
          </w:p>
        </w:tc>
        <w:tc>
          <w:tcPr>
            <w:tcW w:w="1984" w:type="dxa"/>
            <w:vAlign w:val="center"/>
          </w:tcPr>
          <w:p w14:paraId="7880E848">
            <w:pPr>
              <w:spacing w:after="0" w:line="240" w:lineRule="auto"/>
              <w:ind w:firstLine="0"/>
              <w:jc w:val="left"/>
            </w:pPr>
            <w:r>
              <w:rPr>
                <w:rFonts w:ascii="Arial" w:hAnsi="Arial" w:eastAsia="宋体"/>
                <w:b w:val="0"/>
                <w:color w:val="000000"/>
                <w:sz w:val="21"/>
              </w:rPr>
              <w:t>0.513 / 0.540 / 0.346</w:t>
            </w:r>
          </w:p>
        </w:tc>
        <w:tc>
          <w:tcPr>
            <w:tcW w:w="1871" w:type="dxa"/>
            <w:vAlign w:val="center"/>
          </w:tcPr>
          <w:p w14:paraId="79B0F4BD">
            <w:pPr>
              <w:spacing w:after="0" w:line="240" w:lineRule="auto"/>
              <w:ind w:firstLine="0"/>
              <w:jc w:val="left"/>
            </w:pPr>
            <w:r>
              <w:rPr>
                <w:rFonts w:ascii="Arial" w:hAnsi="Arial" w:eastAsia="宋体"/>
                <w:b w:val="0"/>
                <w:color w:val="000000"/>
                <w:sz w:val="21"/>
              </w:rPr>
              <w:t>0.246 / 0.133 / 0.855</w:t>
            </w:r>
          </w:p>
        </w:tc>
        <w:tc>
          <w:tcPr>
            <w:tcW w:w="1871" w:type="dxa"/>
            <w:vAlign w:val="center"/>
          </w:tcPr>
          <w:p w14:paraId="30962FE4">
            <w:pPr>
              <w:spacing w:after="0" w:line="240" w:lineRule="auto"/>
              <w:ind w:firstLine="0"/>
              <w:jc w:val="left"/>
            </w:pPr>
            <w:r>
              <w:rPr>
                <w:rFonts w:ascii="Arial" w:hAnsi="Arial" w:eastAsia="宋体"/>
                <w:b w:val="0"/>
                <w:color w:val="000000"/>
                <w:sz w:val="21"/>
              </w:rPr>
              <w:t>0.355 / 0.252 / 0.671</w:t>
            </w:r>
          </w:p>
        </w:tc>
        <w:tc>
          <w:tcPr>
            <w:tcW w:w="1871" w:type="dxa"/>
            <w:vAlign w:val="center"/>
          </w:tcPr>
          <w:p w14:paraId="15C21C88">
            <w:pPr>
              <w:spacing w:after="0" w:line="240" w:lineRule="auto"/>
              <w:ind w:firstLine="0"/>
              <w:jc w:val="left"/>
            </w:pPr>
            <w:r>
              <w:rPr>
                <w:rFonts w:ascii="Arial" w:hAnsi="Arial" w:eastAsia="宋体"/>
                <w:b w:val="0"/>
                <w:color w:val="000000"/>
                <w:sz w:val="21"/>
              </w:rPr>
              <w:t>0.371 / 0.308 / 0.624</w:t>
            </w:r>
          </w:p>
        </w:tc>
      </w:tr>
      <w:tr w14:paraId="3236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5ECD381">
            <w:pPr>
              <w:spacing w:after="0" w:line="240" w:lineRule="auto"/>
              <w:ind w:firstLine="0"/>
              <w:jc w:val="center"/>
            </w:pPr>
            <w:r>
              <w:rPr>
                <w:rFonts w:ascii="Arial" w:hAnsi="Arial" w:eastAsia="宋体"/>
                <w:b w:val="0"/>
                <w:color w:val="000000"/>
                <w:sz w:val="21"/>
              </w:rPr>
              <w:t>FedAvg</w:t>
            </w:r>
          </w:p>
        </w:tc>
        <w:tc>
          <w:tcPr>
            <w:tcW w:w="1984" w:type="dxa"/>
            <w:vAlign w:val="center"/>
          </w:tcPr>
          <w:p w14:paraId="193B8C86">
            <w:pPr>
              <w:spacing w:after="0" w:line="240" w:lineRule="auto"/>
              <w:ind w:firstLine="0"/>
              <w:jc w:val="left"/>
            </w:pPr>
            <w:r>
              <w:rPr>
                <w:rFonts w:ascii="Arial" w:hAnsi="Arial" w:eastAsia="宋体"/>
                <w:b w:val="0"/>
                <w:color w:val="000000"/>
                <w:sz w:val="21"/>
              </w:rPr>
              <w:t>0.535 / 0.554 / 0.342</w:t>
            </w:r>
          </w:p>
        </w:tc>
        <w:tc>
          <w:tcPr>
            <w:tcW w:w="1871" w:type="dxa"/>
            <w:vAlign w:val="center"/>
          </w:tcPr>
          <w:p w14:paraId="5B3BBB69">
            <w:pPr>
              <w:spacing w:after="0" w:line="240" w:lineRule="auto"/>
              <w:ind w:firstLine="0"/>
              <w:jc w:val="left"/>
            </w:pPr>
            <w:r>
              <w:rPr>
                <w:rFonts w:ascii="Arial" w:hAnsi="Arial" w:eastAsia="宋体"/>
                <w:b w:val="0"/>
                <w:color w:val="000000"/>
                <w:sz w:val="21"/>
              </w:rPr>
              <w:t>0.268 / 0.142 / 0.838</w:t>
            </w:r>
          </w:p>
        </w:tc>
        <w:tc>
          <w:tcPr>
            <w:tcW w:w="1871" w:type="dxa"/>
            <w:vAlign w:val="center"/>
          </w:tcPr>
          <w:p w14:paraId="58BE3FB9">
            <w:pPr>
              <w:spacing w:after="0" w:line="240" w:lineRule="auto"/>
              <w:ind w:firstLine="0"/>
              <w:jc w:val="left"/>
            </w:pPr>
            <w:r>
              <w:rPr>
                <w:rFonts w:ascii="Arial" w:hAnsi="Arial" w:eastAsia="宋体"/>
                <w:b w:val="0"/>
                <w:color w:val="000000"/>
                <w:sz w:val="21"/>
              </w:rPr>
              <w:t>0.359 / 0.273 / 0.641</w:t>
            </w:r>
          </w:p>
        </w:tc>
        <w:tc>
          <w:tcPr>
            <w:tcW w:w="1871" w:type="dxa"/>
            <w:vAlign w:val="center"/>
          </w:tcPr>
          <w:p w14:paraId="5B116413">
            <w:pPr>
              <w:spacing w:after="0" w:line="240" w:lineRule="auto"/>
              <w:ind w:firstLine="0"/>
              <w:jc w:val="left"/>
            </w:pPr>
            <w:r>
              <w:rPr>
                <w:rFonts w:ascii="Arial" w:hAnsi="Arial" w:eastAsia="宋体"/>
                <w:b w:val="0"/>
                <w:color w:val="000000"/>
                <w:sz w:val="21"/>
              </w:rPr>
              <w:t>0.387 / 0.323 / 0.607</w:t>
            </w:r>
          </w:p>
        </w:tc>
      </w:tr>
    </w:tbl>
    <w:p w14:paraId="06AAF4A3">
      <w:pPr>
        <w:keepNext w:val="0"/>
        <w:spacing w:before="0" w:after="0" w:line="360" w:lineRule="auto"/>
        <w:ind w:firstLine="0"/>
        <w:jc w:val="center"/>
      </w:pPr>
      <w:r>
        <w:rPr>
          <w:rFonts w:ascii="Arial" w:hAnsi="Arial" w:eastAsia="宋体"/>
          <w:b w:val="0"/>
          <w:color w:val="000000"/>
          <w:sz w:val="21"/>
        </w:rPr>
        <w:t>表 7  各模型测试集分数（A1 表 II）</w:t>
      </w:r>
    </w:p>
    <w:p w14:paraId="135825B9">
      <w:pPr>
        <w:keepNext w:val="0"/>
        <w:spacing w:before="0" w:after="0" w:line="360" w:lineRule="auto"/>
        <w:ind w:firstLine="480"/>
        <w:jc w:val="both"/>
      </w:pPr>
      <w:r>
        <w:rPr>
          <w:rFonts w:ascii="Arial" w:hAnsi="Arial" w:eastAsia="宋体"/>
          <w:b w:val="0"/>
          <w:color w:val="000000"/>
          <w:sz w:val="24"/>
        </w:rPr>
        <w:t>结论：所提模型整体达到或超过集中式模型，SplitPersonal 均值最优；在负荷模式最多样、最难预测的邻域 1，集中式模型明显更差，说明“一个全局模型覆盖所有分布”不可行。集中式模型训练误差最低但验证/测试误差最高，存在过拟合。跨邻域预测中 SplitGlobal 泛化更好（其全局 Split-2 见过所有邻域数据）；对完全未见过的客户端，邻域 1 误差上升约 66%，追加 5 个 epoch 训练后降至约 35%；每轮随机选取客户端训练比固定客户端泛化更好。单 epoch 耗时：SL 模型约 20 分钟、集中式 40 分钟、FL 28 分钟。</w:t>
      </w:r>
    </w:p>
    <w:p w14:paraId="4DC64089">
      <w:pPr>
        <w:pStyle w:val="4"/>
      </w:pPr>
      <w:bookmarkStart w:id="31" w:name="_Toc15543"/>
      <w:r>
        <w:rPr>
          <w:rFonts w:ascii="Arial" w:hAnsi="Arial" w:eastAsia="黑体"/>
          <w:b/>
          <w:color w:val="000000"/>
          <w:sz w:val="28"/>
        </w:rPr>
        <w:t>5.4  隐私分析：互信息与差分隐私</w:t>
      </w:r>
      <w:bookmarkEnd w:id="31"/>
    </w:p>
    <w:p w14:paraId="595E0095">
      <w:pPr>
        <w:keepNext w:val="0"/>
        <w:spacing w:before="0" w:after="0" w:line="360" w:lineRule="auto"/>
        <w:ind w:firstLine="480"/>
        <w:jc w:val="both"/>
      </w:pPr>
      <w:r>
        <w:rPr>
          <w:rFonts w:ascii="Arial" w:hAnsi="Arial" w:eastAsia="宋体"/>
          <w:b w:val="0"/>
          <w:color w:val="000000"/>
          <w:sz w:val="24"/>
        </w:rPr>
        <w:t>隐私泄露定量化：用互信息神经估计（MINE，3 层全连接网络 100/50/1 神经元、ELU 激活）估计输入与 Split-1 激活间的互信息。基线：输入与自身的 MI 约 9.12（理论上界），输入与纯 Laplace 噪声的 MI 约 1.83（下界）；干净激活的 MI 约 3.32，加噪激活约 2.6。结论：由于 Split-1 保持了输入-激活间的复杂非线性关系，即使不加噪声泄露也很有限，且客户端可实时估算 MI 决定是否安全上传当前批次激活。</w:t>
      </w:r>
    </w:p>
    <w:p w14:paraId="64538DEC">
      <w:pPr>
        <w:keepNext w:val="0"/>
        <w:spacing w:before="0" w:after="0" w:line="360" w:lineRule="auto"/>
        <w:ind w:firstLine="480"/>
        <w:jc w:val="both"/>
      </w:pPr>
      <w:r>
        <w:rPr>
          <w:rFonts w:ascii="Arial" w:hAnsi="Arial" w:eastAsia="宋体"/>
          <w:b w:val="0"/>
          <w:color w:val="000000"/>
          <w:sz w:val="24"/>
        </w:rPr>
        <w:t>差分隐私实验：对 Split-1 激活施加 Laplace 机制（ε-DP）与高斯机制（(ε,δ)-DP）。ε=0.5 时 MI 降至 1.86（接近纯噪声水平），代价是 MAE 比无 DP 高约 36%；ε=2.5（中等隐私）时 MAE/MSE 仅高 16%/26%；ε≥5 时 MI 停滞在约 3.3、误差与无 DP 相当。固定 ε=1.0 改变 δ∈[0.001,0.1] 时，MI 与误差几乎不变，印证 δ 主要控制最坏情形而非平均隐私损失。</w:t>
      </w:r>
    </w:p>
    <w:p w14:paraId="5F6AC9AF">
      <w:pPr>
        <w:keepNext w:val="0"/>
        <w:spacing w:before="0" w:after="0" w:line="360" w:lineRule="auto"/>
        <w:ind w:firstLine="480"/>
        <w:jc w:val="both"/>
      </w:pPr>
      <w:r>
        <w:rPr>
          <w:rFonts w:ascii="Arial" w:hAnsi="Arial" w:eastAsia="宋体"/>
          <w:b w:val="0"/>
          <w:color w:val="000000"/>
          <w:sz w:val="24"/>
        </w:rPr>
        <w:t>抗攻击验证：在比诚实好奇更强的最坏假设下，用特征空间劫持攻击（FSHA）从激活重建原始数据。无 DP 时攻击收敛快、重建 MSE 低至 0.241（且框架本身仍有约 0.305 的重建下限，说明结构设计提供了天然防护）；施加 DP（ε=3.0, δ=0.005）后攻击显著变难，重建 MSE 升至 0.328。代价是训练时间从约 200 分钟增至约 454 分钟（约 2.54 倍，主要来自 Diffprivlib 噪声计算）。</w:t>
      </w:r>
    </w:p>
    <w:p w14:paraId="217446AD">
      <w:pPr>
        <w:pStyle w:val="4"/>
      </w:pPr>
      <w:bookmarkStart w:id="32" w:name="_Toc30725"/>
      <w:r>
        <w:rPr>
          <w:rFonts w:ascii="Arial" w:hAnsi="Arial" w:eastAsia="黑体"/>
          <w:b/>
          <w:color w:val="000000"/>
          <w:sz w:val="28"/>
        </w:rPr>
        <w:t>5.5  计算与通信开销</w:t>
      </w:r>
      <w:bookmarkEnd w:id="32"/>
    </w:p>
    <w:p w14:paraId="1B10F7DE">
      <w:pPr>
        <w:keepNext w:val="0"/>
        <w:spacing w:before="0" w:after="0" w:line="360" w:lineRule="auto"/>
        <w:ind w:firstLine="480"/>
        <w:jc w:val="both"/>
      </w:pPr>
      <w:r>
        <w:rPr>
          <w:rFonts w:ascii="Arial" w:hAnsi="Arial" w:eastAsia="宋体"/>
          <w:b w:val="0"/>
          <w:color w:val="000000"/>
          <w:sz w:val="24"/>
        </w:rPr>
        <w:t>客户端每轮上传约 6.3 MB 激活、接收约 3 KB 预测输出，反向传播仅回传 3 KB 梯度；重负载的约 63 MB 梯度张量在 GS 与 SP 之间交换，客户端通信量仅占约 4.55%。计算方面，客户端只承担约 12.66% 的前向操作（完整更新轮中约 5%），反向传播与参数更新全部由 GS/SP 完成；延迟方面客户端约占端到端的约 21%。论文指出 SplitPersonal 相对集中式基线获得 18.5% 的性能提升，同时把能耗负担转移给电力公司侧基础设施，适合智能电表等资源受限设备。</w:t>
      </w:r>
    </w:p>
    <w:p w14:paraId="059837A2">
      <w:pPr>
        <w:pStyle w:val="4"/>
      </w:pPr>
      <w:bookmarkStart w:id="33" w:name="_Toc9484"/>
      <w:r>
        <w:rPr>
          <w:rFonts w:ascii="Arial" w:hAnsi="Arial" w:eastAsia="黑体"/>
          <w:b/>
          <w:color w:val="000000"/>
          <w:sz w:val="28"/>
        </w:rPr>
        <w:t>5.6  论文启示</w:t>
      </w:r>
      <w:bookmarkEnd w:id="33"/>
    </w:p>
    <w:p w14:paraId="1AA0229B">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DP 落地存在清晰权衡曲线：ε≥5 时隐私增强几乎不损失精度，ε=2.5 时以 16%~26% 的误差增幅换取显著隐私提升——工程上应结合合规要求选择预算。</w:t>
      </w:r>
    </w:p>
    <w:p w14:paraId="440589AE">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结构设计本身也是隐私机制：通过保持 Split-1 输入-输出非线性复杂度，框架在无噪声情况下已具备一定抗重建能力，DP 是叠加的“额外安全层”。</w:t>
      </w:r>
    </w:p>
    <w:p w14:paraId="5BFFD215">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量化工具（MINE 互信息）让隐私保护从“定性声明”变为“可在线决策的度量”，客户端可按需决定是否上传，是值得借鉴的隐私工程思路。</w:t>
      </w:r>
    </w:p>
    <w:p w14:paraId="0559E6A3">
      <w:pPr>
        <w:pStyle w:val="3"/>
      </w:pPr>
      <w:bookmarkStart w:id="34" w:name="_Toc18708"/>
      <w:r>
        <w:rPr>
          <w:rFonts w:ascii="Arial" w:hAnsi="Arial" w:eastAsia="黑体"/>
          <w:b/>
          <w:color w:val="000000"/>
          <w:sz w:val="32"/>
        </w:rPr>
        <w:t>6  研究展望与开放问题</w:t>
      </w:r>
      <w:bookmarkEnd w:id="34"/>
    </w:p>
    <w:p w14:paraId="6A1C8556">
      <w:pPr>
        <w:keepNext w:val="0"/>
        <w:spacing w:before="0" w:after="0" w:line="360" w:lineRule="auto"/>
        <w:ind w:firstLine="480"/>
        <w:jc w:val="both"/>
      </w:pPr>
      <w:r>
        <w:rPr>
          <w:rFonts w:ascii="Arial" w:hAnsi="Arial" w:eastAsia="宋体"/>
          <w:b w:val="0"/>
          <w:color w:val="000000"/>
          <w:sz w:val="24"/>
        </w:rPr>
        <w:t>综合 A4 的总结与 A1 的讨论，差分隐私当前与未来的主要挑战可归纳如下。</w:t>
      </w:r>
    </w:p>
    <w:p w14:paraId="50B1C768">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动态数据发布：现有方法多针对静态快照；数据流（滑动窗口下的直方图发布）、增量更新（集值数据反复添加/删除记录）会导致噪声累积与预算耗尽，需要合理的更新边界与预算分配策略。</w:t>
      </w:r>
    </w:p>
    <w:p w14:paraId="0DF4BE8C">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图数据发布：社交网络等图数据稀疏，边-差分隐私下的 triangle、k-stars 等查询敏感度大、可用性低；邻接矩阵+双聚类挖掘密集区域是可行的探索方向。</w:t>
      </w:r>
    </w:p>
    <w:p w14:paraId="449C84A6">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分布式差分隐私：云数据库等分布式环境中，站点可能与云服务商串通导致密钥泄露；需要 DP 与加密技术结合，防止聚集信息泄露，并支持分布式数据挖掘（如 Heavy hitter）。</w:t>
      </w:r>
    </w:p>
    <w:p w14:paraId="5EB6DAB9">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大数据分析：个性化推荐、社交网络分析等场景要求流式采样、直方图与图概要技术与 DP 结合，同时控制可预测性带来的隐私风险。</w:t>
      </w:r>
    </w:p>
    <w:p w14:paraId="6EE28B8A">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理论难点：ε 的定量度量困难、普通用户难以选择合适的预算；DP 假设记录相互独立，对家庭、社交关系等关联数据保护不足。</w:t>
      </w:r>
    </w:p>
    <w:p w14:paraId="1C68CE61">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工程部署（A1）：实际电力系统部署面临通信延迟、设备异构、同步问题与安全数据交换等挑战，是规模化落地的关键障碍。</w:t>
      </w:r>
    </w:p>
    <w:p w14:paraId="67EE2AD2">
      <w:pPr>
        <w:pStyle w:val="3"/>
      </w:pPr>
      <w:bookmarkStart w:id="35" w:name="_Toc17366"/>
      <w:r>
        <w:rPr>
          <w:rFonts w:ascii="Arial" w:hAnsi="Arial" w:eastAsia="黑体"/>
          <w:b/>
          <w:color w:val="000000"/>
          <w:sz w:val="32"/>
        </w:rPr>
        <w:t>7  学习收获与下一步建议</w:t>
      </w:r>
      <w:bookmarkEnd w:id="35"/>
    </w:p>
    <w:p w14:paraId="1BA93719">
      <w:pPr>
        <w:pStyle w:val="4"/>
      </w:pPr>
      <w:bookmarkStart w:id="36" w:name="_Toc9839"/>
      <w:r>
        <w:rPr>
          <w:rFonts w:ascii="Arial" w:hAnsi="Arial" w:eastAsia="黑体"/>
          <w:b/>
          <w:color w:val="000000"/>
          <w:sz w:val="28"/>
        </w:rPr>
        <w:t>7.1  关键公式速查表</w:t>
      </w:r>
      <w:bookmarkEnd w:id="3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742"/>
        <w:gridCol w:w="2608"/>
      </w:tblGrid>
      <w:tr w14:paraId="33F8B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4" w:type="dxa"/>
            <w:shd w:val="clear" w:color="auto" w:fill="D9D9D9"/>
            <w:vAlign w:val="center"/>
          </w:tcPr>
          <w:p w14:paraId="69D88132">
            <w:pPr>
              <w:spacing w:after="0" w:line="240" w:lineRule="auto"/>
              <w:ind w:firstLine="0"/>
              <w:jc w:val="center"/>
            </w:pPr>
            <w:r>
              <w:rPr>
                <w:rFonts w:ascii="Arial" w:hAnsi="Arial" w:eastAsia="宋体"/>
                <w:b/>
                <w:color w:val="000000"/>
                <w:sz w:val="21"/>
              </w:rPr>
              <w:t>名称</w:t>
            </w:r>
          </w:p>
        </w:tc>
        <w:tc>
          <w:tcPr>
            <w:tcW w:w="3742" w:type="dxa"/>
            <w:shd w:val="clear" w:color="auto" w:fill="D9D9D9"/>
            <w:vAlign w:val="center"/>
          </w:tcPr>
          <w:p w14:paraId="02CAAE9C">
            <w:pPr>
              <w:spacing w:after="0" w:line="240" w:lineRule="auto"/>
              <w:ind w:firstLine="0"/>
              <w:jc w:val="center"/>
            </w:pPr>
            <w:r>
              <w:rPr>
                <w:rFonts w:ascii="Arial" w:hAnsi="Arial" w:eastAsia="宋体"/>
                <w:b/>
                <w:color w:val="000000"/>
                <w:sz w:val="21"/>
              </w:rPr>
              <w:t>公式</w:t>
            </w:r>
          </w:p>
        </w:tc>
        <w:tc>
          <w:tcPr>
            <w:tcW w:w="2608" w:type="dxa"/>
            <w:shd w:val="clear" w:color="auto" w:fill="D9D9D9"/>
            <w:vAlign w:val="center"/>
          </w:tcPr>
          <w:p w14:paraId="648445C7">
            <w:pPr>
              <w:spacing w:after="0" w:line="240" w:lineRule="auto"/>
              <w:ind w:firstLine="0"/>
              <w:jc w:val="center"/>
            </w:pPr>
            <w:r>
              <w:rPr>
                <w:rFonts w:ascii="Arial" w:hAnsi="Arial" w:eastAsia="宋体"/>
                <w:b/>
                <w:color w:val="000000"/>
                <w:sz w:val="21"/>
              </w:rPr>
              <w:t>说明</w:t>
            </w:r>
          </w:p>
        </w:tc>
      </w:tr>
      <w:tr w14:paraId="0801D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FEB27D5">
            <w:pPr>
              <w:spacing w:after="0" w:line="240" w:lineRule="auto"/>
              <w:ind w:firstLine="0"/>
              <w:jc w:val="center"/>
            </w:pPr>
            <w:r>
              <w:rPr>
                <w:rFonts w:ascii="Arial" w:hAnsi="Arial" w:eastAsia="宋体"/>
                <w:b w:val="0"/>
                <w:color w:val="000000"/>
                <w:sz w:val="21"/>
              </w:rPr>
              <w:t>ε-差分隐私</w:t>
            </w:r>
          </w:p>
        </w:tc>
        <w:tc>
          <w:tcPr>
            <w:tcW w:w="3742" w:type="dxa"/>
            <w:vAlign w:val="center"/>
          </w:tcPr>
          <w:p w14:paraId="64635299">
            <w:pPr>
              <w:spacing w:after="0" w:line="240" w:lineRule="auto"/>
              <w:ind w:firstLine="0"/>
              <w:jc w:val="left"/>
            </w:pPr>
            <w:r>
              <w:rPr>
                <w:rFonts w:ascii="Arial" w:hAnsi="Arial" w:eastAsia="宋体"/>
                <w:b w:val="0"/>
                <w:color w:val="000000"/>
                <w:sz w:val="21"/>
              </w:rPr>
              <w:t>Pr[M(D)∈S] ≤ e^ε·Pr[M(D′)∈S]</w:t>
            </w:r>
          </w:p>
        </w:tc>
        <w:tc>
          <w:tcPr>
            <w:tcW w:w="2608" w:type="dxa"/>
            <w:vAlign w:val="center"/>
          </w:tcPr>
          <w:p w14:paraId="0C49A0D1">
            <w:pPr>
              <w:spacing w:after="0" w:line="240" w:lineRule="auto"/>
              <w:ind w:firstLine="0"/>
              <w:jc w:val="left"/>
            </w:pPr>
            <w:r>
              <w:rPr>
                <w:rFonts w:ascii="Arial" w:hAnsi="Arial" w:eastAsia="宋体"/>
                <w:b w:val="0"/>
                <w:color w:val="000000"/>
                <w:sz w:val="21"/>
              </w:rPr>
              <w:t>D、D′ 为邻近数据集（差一条记录）</w:t>
            </w:r>
          </w:p>
        </w:tc>
      </w:tr>
      <w:tr w14:paraId="14DA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FFC16C0">
            <w:pPr>
              <w:spacing w:after="0" w:line="240" w:lineRule="auto"/>
              <w:ind w:firstLine="0"/>
              <w:jc w:val="center"/>
            </w:pPr>
            <w:r>
              <w:rPr>
                <w:rFonts w:ascii="Arial" w:hAnsi="Arial" w:eastAsia="宋体"/>
                <w:b w:val="0"/>
                <w:color w:val="000000"/>
                <w:sz w:val="21"/>
              </w:rPr>
              <w:t>(ε,δ)-差分隐私</w:t>
            </w:r>
          </w:p>
        </w:tc>
        <w:tc>
          <w:tcPr>
            <w:tcW w:w="3742" w:type="dxa"/>
            <w:vAlign w:val="center"/>
          </w:tcPr>
          <w:p w14:paraId="41D11461">
            <w:pPr>
              <w:spacing w:after="0" w:line="240" w:lineRule="auto"/>
              <w:ind w:firstLine="0"/>
              <w:jc w:val="left"/>
            </w:pPr>
            <w:r>
              <w:rPr>
                <w:rFonts w:ascii="Arial" w:hAnsi="Arial" w:eastAsia="宋体"/>
                <w:b w:val="0"/>
                <w:color w:val="000000"/>
                <w:sz w:val="21"/>
              </w:rPr>
              <w:t>Pr[M(x)∈S] ≤ e^ε·Pr[M(y)∈S] + δ</w:t>
            </w:r>
          </w:p>
        </w:tc>
        <w:tc>
          <w:tcPr>
            <w:tcW w:w="2608" w:type="dxa"/>
            <w:vAlign w:val="center"/>
          </w:tcPr>
          <w:p w14:paraId="06EA61AA">
            <w:pPr>
              <w:spacing w:after="0" w:line="240" w:lineRule="auto"/>
              <w:ind w:firstLine="0"/>
              <w:jc w:val="center"/>
            </w:pPr>
            <w:r>
              <w:rPr>
                <w:rFonts w:ascii="Arial" w:hAnsi="Arial" w:eastAsia="宋体"/>
                <w:b w:val="0"/>
                <w:color w:val="000000"/>
                <w:sz w:val="21"/>
              </w:rPr>
              <w:t>δ 控制最坏情形违约概率</w:t>
            </w:r>
          </w:p>
        </w:tc>
      </w:tr>
      <w:tr w14:paraId="67FF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8EFB7BD">
            <w:pPr>
              <w:spacing w:after="0" w:line="240" w:lineRule="auto"/>
              <w:ind w:firstLine="0"/>
              <w:jc w:val="center"/>
            </w:pPr>
            <w:r>
              <w:rPr>
                <w:rFonts w:ascii="Arial" w:hAnsi="Arial" w:eastAsia="宋体"/>
                <w:b w:val="0"/>
                <w:color w:val="000000"/>
                <w:sz w:val="21"/>
              </w:rPr>
              <w:t>全局敏感度</w:t>
            </w:r>
          </w:p>
        </w:tc>
        <w:tc>
          <w:tcPr>
            <w:tcW w:w="3742" w:type="dxa"/>
            <w:vAlign w:val="center"/>
          </w:tcPr>
          <w:p w14:paraId="4BFB5FFF">
            <w:pPr>
              <w:spacing w:after="0" w:line="240" w:lineRule="auto"/>
              <w:ind w:firstLine="0"/>
              <w:jc w:val="left"/>
            </w:pPr>
            <w:r>
              <w:rPr>
                <w:rFonts w:ascii="Arial" w:hAnsi="Arial" w:eastAsia="宋体"/>
                <w:b w:val="0"/>
                <w:color w:val="000000"/>
                <w:sz w:val="21"/>
              </w:rPr>
              <w:t>GS_f = max ‖f(D)−f(D′)‖₁</w:t>
            </w:r>
          </w:p>
        </w:tc>
        <w:tc>
          <w:tcPr>
            <w:tcW w:w="2608" w:type="dxa"/>
            <w:vAlign w:val="center"/>
          </w:tcPr>
          <w:p w14:paraId="1874773D">
            <w:pPr>
              <w:spacing w:after="0" w:line="240" w:lineRule="auto"/>
              <w:ind w:firstLine="0"/>
              <w:jc w:val="left"/>
            </w:pPr>
            <w:r>
              <w:rPr>
                <w:rFonts w:ascii="Arial" w:hAnsi="Arial" w:eastAsia="宋体"/>
                <w:b w:val="0"/>
                <w:color w:val="000000"/>
                <w:sz w:val="21"/>
              </w:rPr>
              <w:t>决定噪声规模；计数查询为 1</w:t>
            </w:r>
          </w:p>
        </w:tc>
      </w:tr>
      <w:tr w14:paraId="122D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3DF0BFC">
            <w:pPr>
              <w:spacing w:after="0" w:line="240" w:lineRule="auto"/>
              <w:ind w:firstLine="0"/>
              <w:jc w:val="center"/>
            </w:pPr>
            <w:r>
              <w:rPr>
                <w:rFonts w:ascii="Arial" w:hAnsi="Arial" w:eastAsia="宋体"/>
                <w:b w:val="0"/>
                <w:color w:val="000000"/>
                <w:sz w:val="21"/>
              </w:rPr>
              <w:t>Laplace 机制</w:t>
            </w:r>
          </w:p>
        </w:tc>
        <w:tc>
          <w:tcPr>
            <w:tcW w:w="3742" w:type="dxa"/>
            <w:vAlign w:val="center"/>
          </w:tcPr>
          <w:p w14:paraId="0C63EB72">
            <w:pPr>
              <w:spacing w:after="0" w:line="240" w:lineRule="auto"/>
              <w:ind w:firstLine="0"/>
              <w:jc w:val="left"/>
            </w:pPr>
            <w:r>
              <w:rPr>
                <w:rFonts w:ascii="Arial" w:hAnsi="Arial" w:eastAsia="宋体"/>
                <w:b w:val="0"/>
                <w:color w:val="000000"/>
                <w:sz w:val="21"/>
              </w:rPr>
              <w:t>M(D)=f(D)+Lap(Δf/ε)</w:t>
            </w:r>
          </w:p>
        </w:tc>
        <w:tc>
          <w:tcPr>
            <w:tcW w:w="2608" w:type="dxa"/>
            <w:vAlign w:val="center"/>
          </w:tcPr>
          <w:p w14:paraId="7D02A9E3">
            <w:pPr>
              <w:spacing w:after="0" w:line="240" w:lineRule="auto"/>
              <w:ind w:firstLine="0"/>
              <w:jc w:val="left"/>
            </w:pPr>
            <w:r>
              <w:rPr>
                <w:rFonts w:ascii="Arial" w:hAnsi="Arial" w:eastAsia="宋体"/>
                <w:b w:val="0"/>
                <w:color w:val="000000"/>
                <w:sz w:val="21"/>
              </w:rPr>
              <w:t>数值型；方差 2(Δf)²/ε²</w:t>
            </w:r>
          </w:p>
        </w:tc>
      </w:tr>
      <w:tr w14:paraId="3ADE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8C2BDBE">
            <w:pPr>
              <w:spacing w:after="0" w:line="240" w:lineRule="auto"/>
              <w:ind w:firstLine="0"/>
              <w:jc w:val="center"/>
            </w:pPr>
            <w:r>
              <w:rPr>
                <w:rFonts w:ascii="Arial" w:hAnsi="Arial" w:eastAsia="宋体"/>
                <w:b w:val="0"/>
                <w:color w:val="000000"/>
                <w:sz w:val="21"/>
              </w:rPr>
              <w:t>指数机制</w:t>
            </w:r>
          </w:p>
        </w:tc>
        <w:tc>
          <w:tcPr>
            <w:tcW w:w="3742" w:type="dxa"/>
            <w:vAlign w:val="center"/>
          </w:tcPr>
          <w:p w14:paraId="4FC8D2CD">
            <w:pPr>
              <w:spacing w:after="0" w:line="240" w:lineRule="auto"/>
              <w:ind w:firstLine="0"/>
              <w:jc w:val="left"/>
            </w:pPr>
            <w:r>
              <w:rPr>
                <w:rFonts w:ascii="Arial" w:hAnsi="Arial" w:eastAsia="宋体"/>
                <w:b w:val="0"/>
                <w:color w:val="000000"/>
                <w:sz w:val="21"/>
              </w:rPr>
              <w:t>Pr[r] ∝ exp(εq(D,r)/(2Δq))</w:t>
            </w:r>
          </w:p>
        </w:tc>
        <w:tc>
          <w:tcPr>
            <w:tcW w:w="2608" w:type="dxa"/>
            <w:vAlign w:val="center"/>
          </w:tcPr>
          <w:p w14:paraId="456FCCE3">
            <w:pPr>
              <w:spacing w:after="0" w:line="240" w:lineRule="auto"/>
              <w:ind w:firstLine="0"/>
              <w:jc w:val="left"/>
            </w:pPr>
            <w:r>
              <w:rPr>
                <w:rFonts w:ascii="Arial" w:hAnsi="Arial" w:eastAsia="宋体"/>
                <w:b w:val="0"/>
                <w:color w:val="000000"/>
                <w:sz w:val="21"/>
              </w:rPr>
              <w:t>非数值型；q 为可用性函数</w:t>
            </w:r>
          </w:p>
        </w:tc>
      </w:tr>
      <w:tr w14:paraId="69CF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878034A">
            <w:pPr>
              <w:spacing w:after="0" w:line="240" w:lineRule="auto"/>
              <w:ind w:firstLine="0"/>
              <w:jc w:val="center"/>
            </w:pPr>
            <w:r>
              <w:rPr>
                <w:rFonts w:ascii="Arial" w:hAnsi="Arial" w:eastAsia="宋体"/>
                <w:b w:val="0"/>
                <w:color w:val="000000"/>
                <w:sz w:val="21"/>
              </w:rPr>
              <w:t>高斯机制</w:t>
            </w:r>
          </w:p>
        </w:tc>
        <w:tc>
          <w:tcPr>
            <w:tcW w:w="3742" w:type="dxa"/>
            <w:vAlign w:val="center"/>
          </w:tcPr>
          <w:p w14:paraId="18D06A5B">
            <w:pPr>
              <w:spacing w:after="0" w:line="240" w:lineRule="auto"/>
              <w:ind w:firstLine="0"/>
              <w:jc w:val="left"/>
            </w:pPr>
            <w:r>
              <w:rPr>
                <w:rFonts w:ascii="Arial" w:hAnsi="Arial" w:eastAsia="宋体"/>
                <w:b w:val="0"/>
                <w:color w:val="000000"/>
                <w:sz w:val="21"/>
              </w:rPr>
              <w:t>M(D)=f(D)+N(0, 2s²/ε²·log(2/δ))</w:t>
            </w:r>
          </w:p>
        </w:tc>
        <w:tc>
          <w:tcPr>
            <w:tcW w:w="2608" w:type="dxa"/>
            <w:vAlign w:val="center"/>
          </w:tcPr>
          <w:p w14:paraId="3BC22A0D">
            <w:pPr>
              <w:spacing w:after="0" w:line="240" w:lineRule="auto"/>
              <w:ind w:firstLine="0"/>
              <w:jc w:val="left"/>
            </w:pPr>
            <w:r>
              <w:rPr>
                <w:rFonts w:ascii="Arial" w:hAnsi="Arial" w:eastAsia="宋体"/>
                <w:b w:val="0"/>
                <w:color w:val="000000"/>
                <w:sz w:val="21"/>
              </w:rPr>
              <w:t>(ε,δ)-DP；支持高级组合</w:t>
            </w:r>
          </w:p>
        </w:tc>
      </w:tr>
      <w:tr w14:paraId="1447C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5F4F6F4">
            <w:pPr>
              <w:spacing w:after="0" w:line="240" w:lineRule="auto"/>
              <w:ind w:firstLine="0"/>
              <w:jc w:val="center"/>
            </w:pPr>
            <w:r>
              <w:rPr>
                <w:rFonts w:ascii="Arial" w:hAnsi="Arial" w:eastAsia="宋体"/>
                <w:b w:val="0"/>
                <w:color w:val="000000"/>
                <w:sz w:val="21"/>
              </w:rPr>
              <w:t>序列组合</w:t>
            </w:r>
          </w:p>
        </w:tc>
        <w:tc>
          <w:tcPr>
            <w:tcW w:w="3742" w:type="dxa"/>
            <w:vAlign w:val="center"/>
          </w:tcPr>
          <w:p w14:paraId="4997E23D">
            <w:pPr>
              <w:spacing w:after="0" w:line="240" w:lineRule="auto"/>
              <w:ind w:firstLine="0"/>
              <w:jc w:val="center"/>
            </w:pPr>
            <w:r>
              <w:rPr>
                <w:rFonts w:ascii="Arial" w:hAnsi="Arial" w:eastAsia="宋体"/>
                <w:b w:val="0"/>
                <w:color w:val="000000"/>
                <w:sz w:val="21"/>
              </w:rPr>
              <w:t>ε = Σε_i</w:t>
            </w:r>
          </w:p>
        </w:tc>
        <w:tc>
          <w:tcPr>
            <w:tcW w:w="2608" w:type="dxa"/>
            <w:vAlign w:val="center"/>
          </w:tcPr>
          <w:p w14:paraId="31219FD1">
            <w:pPr>
              <w:spacing w:after="0" w:line="240" w:lineRule="auto"/>
              <w:ind w:firstLine="0"/>
              <w:jc w:val="center"/>
            </w:pPr>
            <w:r>
              <w:rPr>
                <w:rFonts w:ascii="Arial" w:hAnsi="Arial" w:eastAsia="宋体"/>
                <w:b w:val="0"/>
                <w:color w:val="000000"/>
                <w:sz w:val="21"/>
              </w:rPr>
              <w:t>同一数据集多次调用</w:t>
            </w:r>
          </w:p>
        </w:tc>
      </w:tr>
      <w:tr w14:paraId="7E5D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34B1D5DE">
            <w:pPr>
              <w:spacing w:after="0" w:line="240" w:lineRule="auto"/>
              <w:ind w:firstLine="0"/>
              <w:jc w:val="center"/>
            </w:pPr>
            <w:r>
              <w:rPr>
                <w:rFonts w:ascii="Arial" w:hAnsi="Arial" w:eastAsia="宋体"/>
                <w:b w:val="0"/>
                <w:color w:val="000000"/>
                <w:sz w:val="21"/>
              </w:rPr>
              <w:t>并行组合</w:t>
            </w:r>
          </w:p>
        </w:tc>
        <w:tc>
          <w:tcPr>
            <w:tcW w:w="3742" w:type="dxa"/>
            <w:vAlign w:val="center"/>
          </w:tcPr>
          <w:p w14:paraId="3C3EE172">
            <w:pPr>
              <w:spacing w:after="0" w:line="240" w:lineRule="auto"/>
              <w:ind w:firstLine="0"/>
              <w:jc w:val="center"/>
            </w:pPr>
            <w:r>
              <w:rPr>
                <w:rFonts w:ascii="Arial" w:hAnsi="Arial" w:eastAsia="宋体"/>
                <w:b w:val="0"/>
                <w:color w:val="000000"/>
                <w:sz w:val="21"/>
              </w:rPr>
              <w:t>ε = max ε_i</w:t>
            </w:r>
          </w:p>
        </w:tc>
        <w:tc>
          <w:tcPr>
            <w:tcW w:w="2608" w:type="dxa"/>
            <w:vAlign w:val="center"/>
          </w:tcPr>
          <w:p w14:paraId="604A0ED8">
            <w:pPr>
              <w:spacing w:after="0" w:line="240" w:lineRule="auto"/>
              <w:ind w:firstLine="0"/>
              <w:jc w:val="center"/>
            </w:pPr>
            <w:r>
              <w:rPr>
                <w:rFonts w:ascii="Arial" w:hAnsi="Arial" w:eastAsia="宋体"/>
                <w:b w:val="0"/>
                <w:color w:val="000000"/>
                <w:sz w:val="21"/>
              </w:rPr>
              <w:t>不相交数据集分别调用</w:t>
            </w:r>
          </w:p>
        </w:tc>
      </w:tr>
      <w:tr w14:paraId="3792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63A282F">
            <w:pPr>
              <w:spacing w:after="0" w:line="240" w:lineRule="auto"/>
              <w:ind w:firstLine="0"/>
              <w:jc w:val="center"/>
            </w:pPr>
            <w:r>
              <w:rPr>
                <w:rFonts w:ascii="Arial" w:hAnsi="Arial" w:eastAsia="宋体"/>
                <w:b w:val="0"/>
                <w:color w:val="000000"/>
                <w:sz w:val="21"/>
              </w:rPr>
              <w:t>R²（A1）</w:t>
            </w:r>
          </w:p>
        </w:tc>
        <w:tc>
          <w:tcPr>
            <w:tcW w:w="3742" w:type="dxa"/>
            <w:vAlign w:val="center"/>
          </w:tcPr>
          <w:p w14:paraId="1809D2EC">
            <w:pPr>
              <w:spacing w:after="0" w:line="240" w:lineRule="auto"/>
              <w:ind w:firstLine="0"/>
              <w:jc w:val="left"/>
            </w:pPr>
            <w:r>
              <w:rPr>
                <w:rFonts w:ascii="Arial" w:hAnsi="Arial" w:eastAsia="宋体"/>
                <w:b w:val="0"/>
                <w:color w:val="000000"/>
                <w:sz w:val="21"/>
              </w:rPr>
              <w:t>R² = 1 − Σ(y_i−ŷ_i)²/Σ(y_i−E[y_i])²</w:t>
            </w:r>
          </w:p>
        </w:tc>
        <w:tc>
          <w:tcPr>
            <w:tcW w:w="2608" w:type="dxa"/>
            <w:vAlign w:val="center"/>
          </w:tcPr>
          <w:p w14:paraId="11B8CCED">
            <w:pPr>
              <w:spacing w:after="0" w:line="240" w:lineRule="auto"/>
              <w:ind w:firstLine="0"/>
              <w:jc w:val="center"/>
            </w:pPr>
            <w:r>
              <w:rPr>
                <w:rFonts w:ascii="Arial" w:hAnsi="Arial" w:eastAsia="宋体"/>
                <w:b w:val="0"/>
                <w:color w:val="000000"/>
                <w:sz w:val="21"/>
              </w:rPr>
              <w:t>拟合优度，越大越好</w:t>
            </w:r>
          </w:p>
        </w:tc>
      </w:tr>
      <w:tr w14:paraId="41EC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99DE6A2">
            <w:pPr>
              <w:spacing w:after="0" w:line="240" w:lineRule="auto"/>
              <w:ind w:firstLine="0"/>
              <w:jc w:val="center"/>
            </w:pPr>
            <w:r>
              <w:rPr>
                <w:rFonts w:ascii="Arial" w:hAnsi="Arial" w:eastAsia="宋体"/>
                <w:b w:val="0"/>
                <w:color w:val="000000"/>
                <w:sz w:val="21"/>
              </w:rPr>
              <w:t>互信息（A1）</w:t>
            </w:r>
          </w:p>
        </w:tc>
        <w:tc>
          <w:tcPr>
            <w:tcW w:w="3742" w:type="dxa"/>
            <w:vAlign w:val="center"/>
          </w:tcPr>
          <w:p w14:paraId="334C1155">
            <w:pPr>
              <w:spacing w:after="0" w:line="240" w:lineRule="auto"/>
              <w:ind w:firstLine="0"/>
              <w:jc w:val="left"/>
            </w:pPr>
            <w:r>
              <w:rPr>
                <w:rFonts w:ascii="Arial" w:hAnsi="Arial" w:eastAsia="宋体"/>
                <w:b w:val="0"/>
                <w:color w:val="000000"/>
                <w:sz w:val="21"/>
              </w:rPr>
              <w:t>I(X;Y)=D_KL(P_XY‖P_X⊗P_Y)</w:t>
            </w:r>
          </w:p>
        </w:tc>
        <w:tc>
          <w:tcPr>
            <w:tcW w:w="2608" w:type="dxa"/>
            <w:vAlign w:val="center"/>
          </w:tcPr>
          <w:p w14:paraId="4930F297">
            <w:pPr>
              <w:spacing w:after="0" w:line="240" w:lineRule="auto"/>
              <w:ind w:firstLine="0"/>
              <w:jc w:val="left"/>
            </w:pPr>
            <w:r>
              <w:rPr>
                <w:rFonts w:ascii="Arial" w:hAnsi="Arial" w:eastAsia="宋体"/>
                <w:b w:val="0"/>
                <w:color w:val="000000"/>
                <w:sz w:val="21"/>
              </w:rPr>
              <w:t>用神经网络估计（MINE）</w:t>
            </w:r>
          </w:p>
        </w:tc>
      </w:tr>
    </w:tbl>
    <w:p w14:paraId="1000682A">
      <w:pPr>
        <w:keepNext w:val="0"/>
        <w:spacing w:before="0" w:after="0" w:line="360" w:lineRule="auto"/>
        <w:ind w:firstLine="0"/>
        <w:jc w:val="center"/>
      </w:pPr>
      <w:r>
        <w:rPr>
          <w:rFonts w:ascii="Arial" w:hAnsi="Arial" w:eastAsia="宋体"/>
          <w:b w:val="0"/>
          <w:color w:val="000000"/>
          <w:sz w:val="21"/>
        </w:rPr>
        <w:t>表 8  关键公式速查</w:t>
      </w:r>
    </w:p>
    <w:p w14:paraId="08C20DC2">
      <w:pPr>
        <w:pStyle w:val="4"/>
      </w:pPr>
      <w:bookmarkStart w:id="37" w:name="_Toc12216"/>
      <w:r>
        <w:rPr>
          <w:rFonts w:ascii="Arial" w:hAnsi="Arial" w:eastAsia="黑体"/>
          <w:b/>
          <w:color w:val="000000"/>
          <w:sz w:val="28"/>
        </w:rPr>
        <w:t>7.2  四份材料的不可替代价值</w:t>
      </w:r>
      <w:bookmarkEnd w:id="37"/>
    </w:p>
    <w:p w14:paraId="7369B3BD">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A2（Dwork–Roth）：唯一的“定义级”材料，解释 DP 为什么成立（随机化必要性）、理论边界在哪（下界、重建攻击），并延伸到机制设计、本地模型等高级主题，是后续理论阅读的锚点。</w:t>
      </w:r>
    </w:p>
    <w:p w14:paraId="4656B17F">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A3（熊平等）：对基础概念（敏感度体系、组合性质）与两大应用线（PPDR/PPDM）的全景梳理最清晰，交互式机制对比表与接口/完全访问模式框架便于快速建立地图。</w:t>
      </w:r>
    </w:p>
    <w:p w14:paraId="008C2224">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A4（张啸剑等）：对发布技术（直方图两种策略、树/网格划分）与数据分析方法（回归、SVM、频繁项集）的分类最细致，含原型系统与三类攻击的分析，适合做方法索引。</w:t>
      </w:r>
    </w:p>
    <w:p w14:paraId="1FD4AF87">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A1（Iqbal 2025）：唯一给出“隐私量化+参数权衡+攻击验证+开销分析”完整实证的材料，展示 DP 从理论到工程的全部环节，也提示了与 FL/SL 等分布式学习结合的活跃方向。</w:t>
      </w:r>
    </w:p>
    <w:p w14:paraId="04F09E3B">
      <w:pPr>
        <w:pStyle w:val="4"/>
      </w:pPr>
      <w:bookmarkStart w:id="38" w:name="_Toc17296"/>
      <w:r>
        <w:rPr>
          <w:rFonts w:ascii="Arial" w:hAnsi="Arial" w:eastAsia="黑体"/>
          <w:b/>
          <w:color w:val="000000"/>
          <w:sz w:val="28"/>
        </w:rPr>
        <w:t>7.3  下一步学习路径建议</w:t>
      </w:r>
      <w:bookmarkEnd w:id="38"/>
    </w:p>
    <w:p w14:paraId="42922E17">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理论深化：精读 A2 第 3 章（组合定理与稀疏向量技术）、第 4–6 章（线性查询发布与提升方法）、第 8 章（下界与重建攻击）、第 11–12 章（DP 机器学习与本地模型）。</w:t>
      </w:r>
    </w:p>
    <w:p w14:paraId="5660C0DD">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工具实践：动手使用 Diffprivlib（A1 所用）、Google Opacus、TensorFlow Privacy 等库，复现 Laplace/高斯机制与 DP-SGD，把 ε 与噪声的权衡做成可交互实验。</w:t>
      </w:r>
    </w:p>
    <w:p w14:paraId="63D7EB1E">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应用方向：关注差分隐私与联邦学习/拆分学习的结合（A1 路线）、本地差分隐私（LDP，对应 A2 第 12 章）、以及推荐系统、医疗数据、智能电网等行业的合规落地案例。</w:t>
      </w:r>
    </w:p>
    <w:p w14:paraId="229D95E7">
      <w:pPr>
        <w:spacing w:line="360" w:lineRule="auto"/>
        <w:ind w:left="480" w:firstLine="0"/>
      </w:pPr>
      <w:r>
        <w:rPr>
          <w:rFonts w:ascii="Arial" w:hAnsi="Arial" w:eastAsia="宋体"/>
          <w:b/>
          <w:color w:val="000000"/>
          <w:sz w:val="24"/>
        </w:rPr>
        <w:t xml:space="preserve">• </w:t>
      </w:r>
      <w:r>
        <w:rPr>
          <w:rFonts w:ascii="Arial" w:hAnsi="Arial" w:eastAsia="宋体"/>
          <w:b w:val="0"/>
          <w:color w:val="000000"/>
          <w:sz w:val="24"/>
        </w:rPr>
        <w:t>写作与复现：以 A1 为模板练习“方法→实验→隐私分析→开销分析”的论文结构；复现 MINE 互信息估计与 FSHA 攻击，理解隐私攻击与防御的对抗逻辑。</w:t>
      </w:r>
    </w:p>
    <w:p w14:paraId="72E8D831">
      <w:r>
        <w:br w:type="page"/>
      </w:r>
    </w:p>
    <w:p w14:paraId="5811B235">
      <w:pPr>
        <w:pStyle w:val="3"/>
      </w:pPr>
      <w:bookmarkStart w:id="39" w:name="_Toc28700"/>
      <w:r>
        <w:rPr>
          <w:rFonts w:ascii="Arial" w:hAnsi="Arial" w:eastAsia="黑体"/>
          <w:b/>
          <w:color w:val="000000"/>
          <w:sz w:val="32"/>
        </w:rPr>
        <w:t>参考文献</w:t>
      </w:r>
      <w:bookmarkEnd w:id="39"/>
    </w:p>
    <w:p w14:paraId="0A9B1261">
      <w:pPr>
        <w:spacing w:after="60" w:line="360" w:lineRule="auto"/>
        <w:ind w:left="480" w:hanging="480"/>
      </w:pPr>
      <w:r>
        <w:rPr>
          <w:rFonts w:ascii="Arial" w:hAnsi="Arial" w:eastAsia="宋体"/>
          <w:b w:val="0"/>
          <w:color w:val="000000"/>
          <w:sz w:val="21"/>
        </w:rPr>
        <w:t>[1] C. Dwork, A. Roth. The Algorithmic Foundations of Differential Privacy. Foundations and Trends in Theoretical Computer Science, 2014, 9(3-4): 211-407.</w:t>
      </w:r>
    </w:p>
    <w:p w14:paraId="15B7F8AE">
      <w:pPr>
        <w:spacing w:after="60" w:line="360" w:lineRule="auto"/>
        <w:ind w:left="480" w:hanging="480"/>
      </w:pPr>
      <w:r>
        <w:rPr>
          <w:rFonts w:ascii="Arial" w:hAnsi="Arial" w:eastAsia="宋体"/>
          <w:b w:val="0"/>
          <w:color w:val="000000"/>
          <w:sz w:val="21"/>
        </w:rPr>
        <w:t>[2] 熊平, 朱天清, 王晓峰. 差分隐私保护及其应用. 计算机学报, 2014, 37(1): 101-113.</w:t>
      </w:r>
    </w:p>
    <w:p w14:paraId="668B7ECC">
      <w:pPr>
        <w:spacing w:after="60" w:line="360" w:lineRule="auto"/>
        <w:ind w:left="480" w:hanging="480"/>
      </w:pPr>
      <w:r>
        <w:rPr>
          <w:rFonts w:ascii="Arial" w:hAnsi="Arial" w:eastAsia="宋体"/>
          <w:b w:val="0"/>
          <w:color w:val="000000"/>
          <w:sz w:val="21"/>
        </w:rPr>
        <w:t>[3] 张啸剑, 孟小峰. 面向数据发布和分析的差分隐私保护. 计算机学报, 2014, 37(4): 927-949.</w:t>
      </w:r>
    </w:p>
    <w:p w14:paraId="606369D3">
      <w:pPr>
        <w:spacing w:after="60" w:line="360" w:lineRule="auto"/>
        <w:ind w:left="480" w:hanging="480"/>
      </w:pPr>
      <w:r>
        <w:rPr>
          <w:rFonts w:ascii="Arial" w:hAnsi="Arial" w:eastAsia="宋体"/>
          <w:b w:val="0"/>
          <w:color w:val="000000"/>
          <w:sz w:val="21"/>
        </w:rPr>
        <w:t>[4] A. Iqbal, P. Gope, B. Sikdar. Privacy-Preserving Collaborative Split Learning Framework for Smart Grid Load Forecasting. IEEE Transactions on Dependable and Secure Computing, 2025, 22(6): 6487-6502. DOI: 10.1109/TDSC.2025.3385297.</w:t>
      </w:r>
    </w:p>
    <w:p w14:paraId="6026D542">
      <w:pPr>
        <w:spacing w:after="60" w:line="360" w:lineRule="auto"/>
        <w:ind w:left="480" w:hanging="480"/>
      </w:pPr>
      <w:r>
        <w:rPr>
          <w:rFonts w:ascii="Arial" w:hAnsi="Arial" w:eastAsia="宋体"/>
          <w:b w:val="0"/>
          <w:color w:val="000000"/>
          <w:sz w:val="21"/>
        </w:rPr>
        <w:t>[5] C. Dwork. Differential Privacy. ICALP 2006: 1-12.</w:t>
      </w:r>
    </w:p>
    <w:p w14:paraId="641E1BF9">
      <w:pPr>
        <w:spacing w:after="60" w:line="360" w:lineRule="auto"/>
        <w:ind w:left="480" w:hanging="480"/>
      </w:pPr>
      <w:r>
        <w:rPr>
          <w:rFonts w:ascii="Arial" w:hAnsi="Arial" w:eastAsia="宋体"/>
          <w:b w:val="0"/>
          <w:color w:val="000000"/>
          <w:sz w:val="21"/>
        </w:rPr>
        <w:t>[6] C. Dwork, F. McSherry, K. Nissim, A. Smith. Calibrating Noise to Sensitivity in Private Data Analysis. TCC 2006: 363-385.</w:t>
      </w:r>
    </w:p>
    <w:p w14:paraId="1B8840A7">
      <w:pPr>
        <w:spacing w:after="60" w:line="360" w:lineRule="auto"/>
        <w:ind w:left="480" w:hanging="480"/>
      </w:pPr>
      <w:r>
        <w:rPr>
          <w:rFonts w:ascii="Arial" w:hAnsi="Arial" w:eastAsia="宋体"/>
          <w:b w:val="0"/>
          <w:color w:val="000000"/>
          <w:sz w:val="21"/>
        </w:rPr>
        <w:t>[7] F. McSherry, K. Talwar. Mechanism Design via Differential Privacy. FOCS 2007: 94-103.</w:t>
      </w:r>
    </w:p>
    <w:p w14:paraId="16F00AA8">
      <w:pPr>
        <w:spacing w:after="60" w:line="360" w:lineRule="auto"/>
        <w:ind w:left="480" w:hanging="480"/>
      </w:pPr>
      <w:r>
        <w:rPr>
          <w:rFonts w:ascii="Arial" w:hAnsi="Arial" w:eastAsia="宋体"/>
          <w:b w:val="0"/>
          <w:color w:val="000000"/>
          <w:sz w:val="21"/>
        </w:rPr>
        <w:t>[8] K. Nissim, S. Raskhodnikova, A. Smith. Smooth Sensitivity and Sampling in Private Data Analysis. STOC 2007: 75-84.</w:t>
      </w:r>
    </w:p>
    <w:p w14:paraId="59995E7A">
      <w:pPr>
        <w:spacing w:after="60" w:line="360" w:lineRule="auto"/>
        <w:ind w:left="480" w:hanging="480"/>
      </w:pPr>
      <w:r>
        <w:rPr>
          <w:rFonts w:ascii="Arial" w:hAnsi="Arial" w:eastAsia="宋体"/>
          <w:b w:val="0"/>
          <w:color w:val="000000"/>
          <w:sz w:val="21"/>
        </w:rPr>
        <w:t>[9] N. Holohan, S. Braghin, P. Mac Aonghusa, K. Levacher. Diffprivlib: The IBM Differential Privacy Library. arXiv:1907.02424, 2019.</w:t>
      </w:r>
    </w:p>
    <w:p w14:paraId="0C266254">
      <w:pPr>
        <w:spacing w:after="60" w:line="360" w:lineRule="auto"/>
        <w:ind w:left="480" w:hanging="480"/>
      </w:pPr>
      <w:r>
        <w:rPr>
          <w:rFonts w:ascii="Arial" w:hAnsi="Arial" w:eastAsia="宋体"/>
          <w:b w:val="0"/>
          <w:color w:val="000000"/>
          <w:sz w:val="21"/>
        </w:rPr>
        <w:t>[10] M. Y. S. Uddin et al. MINE: Mutual Information Neural Estimation. arXiv:1801.04062, 2018.</w:t>
      </w:r>
    </w:p>
    <w:sectPr>
      <w:footerReference r:id="rId5"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EF45A">
    <w:pPr>
      <w:pStyle w:val="24"/>
      <w:jc w:val="center"/>
    </w:pPr>
    <w:r>
      <w:rPr>
        <w:rFonts w:ascii="Arial" w:hAnsi="Arial" w:eastAsia="宋体"/>
        <w:b w:val="0"/>
        <w:color w:val="000000"/>
        <w:sz w:val="21"/>
      </w:rPr>
      <w:fldChar w:fldCharType="begin"/>
    </w:r>
    <w:r>
      <w:rPr>
        <w:rFonts w:ascii="Arial" w:hAnsi="Arial" w:eastAsia="宋体"/>
        <w:b w:val="0"/>
        <w:color w:val="000000"/>
        <w:sz w:val="21"/>
      </w:rPr>
      <w:instrText xml:space="preserve">PAGE</w:instrText>
    </w:r>
    <w:r>
      <w:rPr>
        <w:rFonts w:ascii="Arial" w:hAnsi="Arial" w:eastAsia="宋体"/>
        <w:b w:val="0"/>
        <w:color w:val="00000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019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280" w:after="12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220" w:after="10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2"/>
    <w:unhideWhenUsed/>
    <w:qFormat/>
    <w:uiPriority w:val="9"/>
    <w:pPr>
      <w:keepNext/>
      <w:keepLines/>
      <w:spacing w:before="180" w:after="80"/>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60" w:line="240" w:lineRule="auto"/>
      <w:contextualSpacing/>
      <w:jc w:val="center"/>
    </w:pPr>
    <w:rPr>
      <w:rFonts w:asciiTheme="majorHAnsi" w:hAnsiTheme="majorHAnsi" w:eastAsiaTheme="majorEastAsia" w:cstheme="majorBidi"/>
      <w:b/>
      <w:color w:val="000000"/>
      <w:spacing w:val="5"/>
      <w:kern w:val="28"/>
      <w:sz w:val="36"/>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冰</cp:lastModifiedBy>
  <dcterms:modified xsi:type="dcterms:W3CDTF">2026-09-09T00:45:55Z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0B25FD8C30BC41868FDB5D1C164DF05F_12</vt:lpwstr>
  </property>
</Properties>
</file>