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4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24"/>
              </w:rPr>
            </w:pPr>
          </w:p>
          <w:tbl>
            <w:tblPr>
              <w:tblStyle w:val="4"/>
              <w:tblpPr w:leftFromText="180" w:rightFromText="180" w:vertAnchor="text" w:horzAnchor="page" w:tblpX="86" w:tblpY="201"/>
              <w:tblOverlap w:val="never"/>
              <w:tblW w:w="4995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3"/>
              <w:gridCol w:w="708"/>
              <w:gridCol w:w="708"/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711"/>
              <w:gridCol w:w="7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07" w:type="pct"/>
                  <w:shd w:val="clear" w:color="auto" w:fill="44546A" w:themeFill="text2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U(V)</w:t>
                  </w:r>
                </w:p>
              </w:tc>
              <w:tc>
                <w:tcPr>
                  <w:tcW w:w="373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0.5</w:t>
                  </w:r>
                </w:p>
              </w:tc>
              <w:tc>
                <w:tcPr>
                  <w:tcW w:w="373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1.0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1.5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2.0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2.5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3.0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3.5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4.0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4.5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5.0</w:t>
                  </w:r>
                </w:p>
              </w:tc>
              <w:tc>
                <w:tcPr>
                  <w:tcW w:w="374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5.5</w:t>
                  </w:r>
                </w:p>
              </w:tc>
              <w:tc>
                <w:tcPr>
                  <w:tcW w:w="376" w:type="pct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6.0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07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I1(mA)</w:t>
                  </w:r>
                </w:p>
              </w:tc>
              <w:tc>
                <w:tcPr>
                  <w:tcW w:w="373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0.11</w:t>
                  </w:r>
                </w:p>
              </w:tc>
              <w:tc>
                <w:tcPr>
                  <w:tcW w:w="373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0.22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0.33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0.45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0.56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0.65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0.76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0.88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0.99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1.11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1.22</w:t>
                  </w:r>
                </w:p>
              </w:tc>
              <w:tc>
                <w:tcPr>
                  <w:tcW w:w="376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1.31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507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I2(mA)</w:t>
                  </w:r>
                </w:p>
              </w:tc>
              <w:tc>
                <w:tcPr>
                  <w:tcW w:w="373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0.08</w:t>
                  </w:r>
                </w:p>
              </w:tc>
              <w:tc>
                <w:tcPr>
                  <w:tcW w:w="373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0.17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0.26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0.35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0.44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0.52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0.61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0.71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0.80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0.89</w:t>
                  </w:r>
                </w:p>
              </w:tc>
              <w:tc>
                <w:tcPr>
                  <w:tcW w:w="374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0.99</w:t>
                  </w:r>
                </w:p>
              </w:tc>
              <w:tc>
                <w:tcPr>
                  <w:tcW w:w="376" w:type="pct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1.08</w:t>
                  </w:r>
                </w:p>
              </w:tc>
            </w:tr>
          </w:tbl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24"/>
              </w:rPr>
            </w:pPr>
            <w:bookmarkStart w:id="0" w:name="_GoBack"/>
            <w:bookmarkEnd w:id="0"/>
          </w:p>
          <w:tbl>
            <w:tblPr>
              <w:tblStyle w:val="4"/>
              <w:tblpPr w:leftFromText="180" w:rightFromText="180" w:vertAnchor="text" w:horzAnchor="page" w:tblpX="526" w:tblpY="84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5"/>
              <w:gridCol w:w="1064"/>
              <w:gridCol w:w="1064"/>
              <w:gridCol w:w="1064"/>
              <w:gridCol w:w="1064"/>
              <w:gridCol w:w="1064"/>
              <w:gridCol w:w="1064"/>
              <w:gridCol w:w="10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1185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角度</w:t>
                  </w:r>
                </w:p>
              </w:tc>
              <w:tc>
                <w:tcPr>
                  <w:tcW w:w="1064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064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1064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30</w:t>
                  </w:r>
                </w:p>
              </w:tc>
              <w:tc>
                <w:tcPr>
                  <w:tcW w:w="1064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45</w:t>
                  </w:r>
                </w:p>
              </w:tc>
              <w:tc>
                <w:tcPr>
                  <w:tcW w:w="1064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60</w:t>
                  </w:r>
                </w:p>
              </w:tc>
              <w:tc>
                <w:tcPr>
                  <w:tcW w:w="1064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75</w:t>
                  </w:r>
                </w:p>
              </w:tc>
              <w:tc>
                <w:tcPr>
                  <w:tcW w:w="1065" w:type="dxa"/>
                  <w:shd w:val="clear" w:color="auto" w:fill="44546A" w:themeFill="text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1185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1V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0.21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0.20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0.17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0.12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0.07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0.03</w:t>
                  </w:r>
                </w:p>
              </w:tc>
              <w:tc>
                <w:tcPr>
                  <w:tcW w:w="1065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1185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3V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0.65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0.62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0.52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0.38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0.23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0.10</w:t>
                  </w:r>
                </w:p>
              </w:tc>
              <w:tc>
                <w:tcPr>
                  <w:tcW w:w="1065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0.04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1185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5V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1.10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1.05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0.89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0.66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0.39</w:t>
                  </w:r>
                </w:p>
              </w:tc>
              <w:tc>
                <w:tcPr>
                  <w:tcW w:w="1064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0.17</w:t>
                  </w:r>
                </w:p>
              </w:tc>
              <w:tc>
                <w:tcPr>
                  <w:tcW w:w="1065" w:type="dxa"/>
                  <w:shd w:val="clear" w:color="auto" w:fill="D6DCE5" w:themeFill="text2" w:themeFillTint="32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0.07</w:t>
                  </w:r>
                </w:p>
              </w:tc>
            </w:tr>
          </w:tbl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hAnsi="Times New Roman" w:eastAsia="黑体" w:cs="Times New Roman"/>
                <w:b/>
                <w:sz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</w:rPr>
              <w:t>六、数据处理</w:t>
            </w: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tbl>
            <w:tblPr>
              <w:tblStyle w:val="4"/>
              <w:tblpPr w:leftFromText="180" w:rightFromText="180" w:vertAnchor="text" w:horzAnchor="page" w:tblpX="86" w:tblpY="201"/>
              <w:tblOverlap w:val="never"/>
              <w:tblW w:w="4996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3"/>
              <w:gridCol w:w="623"/>
              <w:gridCol w:w="656"/>
              <w:gridCol w:w="656"/>
              <w:gridCol w:w="658"/>
              <w:gridCol w:w="658"/>
              <w:gridCol w:w="658"/>
              <w:gridCol w:w="658"/>
              <w:gridCol w:w="658"/>
              <w:gridCol w:w="658"/>
              <w:gridCol w:w="658"/>
              <w:gridCol w:w="659"/>
              <w:gridCol w:w="660"/>
              <w:gridCol w:w="6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896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U(V)</w:t>
                  </w:r>
                </w:p>
              </w:tc>
              <w:tc>
                <w:tcPr>
                  <w:tcW w:w="659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59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0.5</w:t>
                  </w:r>
                </w:p>
              </w:tc>
              <w:tc>
                <w:tcPr>
                  <w:tcW w:w="659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1.0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1.5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2.0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2.5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3.0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3.5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4.0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4.5</w:t>
                  </w:r>
                </w:p>
              </w:tc>
              <w:tc>
                <w:tcPr>
                  <w:tcW w:w="661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5.0</w:t>
                  </w:r>
                </w:p>
              </w:tc>
              <w:tc>
                <w:tcPr>
                  <w:tcW w:w="662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5.5</w:t>
                  </w:r>
                </w:p>
              </w:tc>
              <w:tc>
                <w:tcPr>
                  <w:tcW w:w="665" w:type="dxa"/>
                  <w:shd w:val="clear" w:color="auto" w:fill="44546A" w:themeFill="text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6.0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896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I1(mA)</w:t>
                  </w:r>
                </w:p>
              </w:tc>
              <w:tc>
                <w:tcPr>
                  <w:tcW w:w="659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59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0.11</w:t>
                  </w:r>
                </w:p>
              </w:tc>
              <w:tc>
                <w:tcPr>
                  <w:tcW w:w="659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0.22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0.33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0.45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0.56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0.65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0.76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0.88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0.99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1.11</w:t>
                  </w:r>
                </w:p>
              </w:tc>
              <w:tc>
                <w:tcPr>
                  <w:tcW w:w="662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1.22</w:t>
                  </w:r>
                </w:p>
              </w:tc>
              <w:tc>
                <w:tcPr>
                  <w:tcW w:w="665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1.31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896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I2(mA)</w:t>
                  </w:r>
                </w:p>
              </w:tc>
              <w:tc>
                <w:tcPr>
                  <w:tcW w:w="659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59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0.08</w:t>
                  </w:r>
                </w:p>
              </w:tc>
              <w:tc>
                <w:tcPr>
                  <w:tcW w:w="659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0.17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0.26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0.35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0.44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0.52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0.61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0.71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0.80</w:t>
                  </w:r>
                </w:p>
              </w:tc>
              <w:tc>
                <w:tcPr>
                  <w:tcW w:w="661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0.89</w:t>
                  </w:r>
                </w:p>
              </w:tc>
              <w:tc>
                <w:tcPr>
                  <w:tcW w:w="662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0.99</w:t>
                  </w:r>
                </w:p>
              </w:tc>
              <w:tc>
                <w:tcPr>
                  <w:tcW w:w="665" w:type="dxa"/>
                  <w:shd w:val="clear" w:color="auto" w:fill="D6DCE5" w:themeFill="text2" w:themeFillTint="32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default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vertAlign w:val="baseline"/>
                      <w:lang w:val="en-US" w:eastAsia="zh-CN"/>
                    </w:rPr>
                    <w:t>1.08</w:t>
                  </w:r>
                </w:p>
              </w:tc>
            </w:tr>
          </w:tbl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sz w:val="24"/>
                <w:vertAlign w:val="baseline"/>
                <w:lang w:val="en-US" w:eastAsia="zh-CN"/>
              </w:rPr>
              <w:object>
                <v:shape id="_x0000_i1025" o:spt="75" type="#_x0000_t75" style="height:242.4pt;width:421.2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xcel.Chart.8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  <w:lang w:eastAsia="zh-CN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tbl>
            <w:tblPr>
              <w:tblStyle w:val="3"/>
              <w:tblW w:w="9176" w:type="dxa"/>
              <w:tblInd w:w="-2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7"/>
              <w:gridCol w:w="1147"/>
              <w:gridCol w:w="1147"/>
              <w:gridCol w:w="1147"/>
              <w:gridCol w:w="1147"/>
              <w:gridCol w:w="1147"/>
              <w:gridCol w:w="1147"/>
              <w:gridCol w:w="11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114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I/Io</w:t>
                  </w:r>
                </w:p>
              </w:tc>
              <w:tc>
                <w:tcPr>
                  <w:tcW w:w="114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114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0.07</w:t>
                  </w:r>
                </w:p>
              </w:tc>
              <w:tc>
                <w:tcPr>
                  <w:tcW w:w="114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0.25</w:t>
                  </w:r>
                </w:p>
              </w:tc>
              <w:tc>
                <w:tcPr>
                  <w:tcW w:w="114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0.5</w:t>
                  </w:r>
                </w:p>
              </w:tc>
              <w:tc>
                <w:tcPr>
                  <w:tcW w:w="114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0.75</w:t>
                  </w:r>
                </w:p>
              </w:tc>
              <w:tc>
                <w:tcPr>
                  <w:tcW w:w="114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0.93</w:t>
                  </w:r>
                </w:p>
              </w:tc>
              <w:tc>
                <w:tcPr>
                  <w:tcW w:w="114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1147" w:type="dxa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1V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0.01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0.03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0.07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0.12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0.17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0.21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1147" w:type="dxa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3V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0.04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0.1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0.23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0.38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0.52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0.62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0.65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</w:trPr>
              <w:tc>
                <w:tcPr>
                  <w:tcW w:w="1147" w:type="dxa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5V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0.07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0.17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0.39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0.66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0.89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1.05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1.1</w:t>
                  </w:r>
                </w:p>
              </w:tc>
            </w:tr>
          </w:tbl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4572000" cy="2758440"/>
                  <wp:effectExtent l="4445" t="4445" r="10795" b="41275"/>
                  <wp:docPr id="4" name="图表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tbl>
            <w:tblPr>
              <w:tblStyle w:val="3"/>
              <w:tblW w:w="9080" w:type="dxa"/>
              <w:tblInd w:w="-2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5"/>
              <w:gridCol w:w="1135"/>
              <w:gridCol w:w="1135"/>
              <w:gridCol w:w="1135"/>
              <w:gridCol w:w="1135"/>
              <w:gridCol w:w="1135"/>
              <w:gridCol w:w="1135"/>
              <w:gridCol w:w="1135"/>
            </w:tblGrid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5" w:hRule="atLeast"/>
              </w:trPr>
              <w:tc>
                <w:tcPr>
                  <w:tcW w:w="1135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I/Io</w:t>
                  </w:r>
                </w:p>
              </w:tc>
              <w:tc>
                <w:tcPr>
                  <w:tcW w:w="1135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0.07</w:t>
                  </w:r>
                </w:p>
              </w:tc>
              <w:tc>
                <w:tcPr>
                  <w:tcW w:w="1135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0.25</w:t>
                  </w:r>
                </w:p>
              </w:tc>
              <w:tc>
                <w:tcPr>
                  <w:tcW w:w="1135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0.5</w:t>
                  </w:r>
                </w:p>
              </w:tc>
              <w:tc>
                <w:tcPr>
                  <w:tcW w:w="1135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0.75</w:t>
                  </w:r>
                </w:p>
              </w:tc>
              <w:tc>
                <w:tcPr>
                  <w:tcW w:w="1135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0.93</w:t>
                  </w:r>
                </w:p>
              </w:tc>
              <w:tc>
                <w:tcPr>
                  <w:tcW w:w="1135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1F497D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sz w:val="24"/>
                      <w:szCs w:val="24"/>
                      <w:u w:val="none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FFFFFF" w:themeColor="background1"/>
                      <w:kern w:val="0"/>
                      <w:sz w:val="24"/>
                      <w:szCs w:val="24"/>
                      <w:u w:val="none"/>
                      <w:lang w:val="en-US" w:eastAsia="zh-CN" w:bidi="ar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5" w:hRule="atLeast"/>
              </w:trPr>
              <w:tc>
                <w:tcPr>
                  <w:tcW w:w="1135" w:type="dxa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R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(1V)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100.00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33.33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14.29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8.33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5.88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5.00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4.76 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5" w:hRule="atLeast"/>
              </w:trPr>
              <w:tc>
                <w:tcPr>
                  <w:tcW w:w="1135" w:type="dxa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R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(3V)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75.00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30.00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13.04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7.89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5.77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4.84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4.62 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0" w:hRule="atLeast"/>
              </w:trPr>
              <w:tc>
                <w:tcPr>
                  <w:tcW w:w="1135" w:type="dxa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R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(5V)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71.43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29.41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12.82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7.58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5.62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4.76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7DAF1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bCs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 xml:space="preserve">4.55 </w:t>
                  </w:r>
                </w:p>
              </w:tc>
            </w:tr>
          </w:tbl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5364480" cy="2392680"/>
                  <wp:effectExtent l="4445" t="4445" r="10795" b="41275"/>
                  <wp:docPr id="2" name="图表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ascii="黑体" w:hAnsi="Times New Roman" w:eastAsia="黑体" w:cs="Times New Roman"/>
                <w:b/>
                <w:sz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</w:rPr>
              <w:t>七、实验结果与总结</w:t>
            </w:r>
          </w:p>
          <w:p>
            <w:pPr>
              <w:rPr>
                <w:rFonts w:ascii="黑体" w:hAnsi="Times New Roman" w:eastAsia="黑体" w:cs="Times New Roman"/>
                <w:b/>
                <w:sz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</w:rPr>
              <w:t>7.1结果陈述</w:t>
            </w:r>
          </w:p>
          <w:p>
            <w:pPr>
              <w:rPr>
                <w:rFonts w:ascii="黑体" w:hAnsi="Times New Roman" w:eastAsia="黑体" w:cs="Times New Roman"/>
                <w:b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sz w:val="24"/>
                <w:vertAlign w:val="baseline"/>
                <w:lang w:val="en-US" w:eastAsia="zh-CN"/>
              </w:rPr>
              <w:object>
                <v:shape id="_x0000_i1028" o:spt="75" type="#_x0000_t75" style="height:242.4pt;width:421.2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xcel.Chart.8" ShapeID="_x0000_i1028" DrawAspect="Content" ObjectID="_1468075726" r:id="rId10">
                  <o:LockedField>false</o:LockedField>
                </o:OLEObject>
              </w:object>
            </w:r>
          </w:p>
          <w:p>
            <w:pPr>
              <w:rPr>
                <w:rFonts w:ascii="黑体" w:hAnsi="Times New Roman" w:eastAsia="黑体" w:cs="Times New Roman"/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4572000" cy="2758440"/>
                  <wp:effectExtent l="4445" t="4445" r="10795" b="41275"/>
                  <wp:docPr id="3" name="图表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>
            <w:pPr>
              <w:rPr>
                <w:rFonts w:ascii="黑体" w:hAnsi="Times New Roman" w:eastAsia="黑体" w:cs="Times New Roman"/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</w:rPr>
              <w:drawing>
                <wp:inline distT="0" distB="0" distL="114300" distR="114300">
                  <wp:extent cx="5364480" cy="2392680"/>
                  <wp:effectExtent l="4445" t="4445" r="10795" b="41275"/>
                  <wp:docPr id="1" name="图表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 New Roman" w:eastAsia="黑体" w:cs="Times New Roman"/>
                <w:b/>
                <w:sz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</w:rPr>
              <w:t>7.2、 实验总结</w:t>
            </w:r>
          </w:p>
          <w:p>
            <w:pPr>
              <w:ind w:firstLine="723" w:firstLineChars="300"/>
              <w:rPr>
                <w:rFonts w:hint="eastAsia" w:ascii="黑体" w:hAnsi="Times New Roman" w:eastAsia="黑体" w:cs="Times New Roman"/>
                <w:b/>
                <w:sz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lang w:val="en-US" w:eastAsia="zh-CN"/>
              </w:rPr>
              <w:t>这次实验数据测量较简单，但是在这之前的光路调节需要细心和耐心。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Times New Roman" w:hAnsi="Times New Roman" w:eastAsia="黑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</w:rPr>
              <w:t>八、思考题</w:t>
            </w:r>
          </w:p>
          <w:p>
            <w:pPr>
              <w:rPr>
                <w:rFonts w:hint="default" w:ascii="Times New Roman" w:hAnsi="Times New Roman" w:eastAsia="黑体" w:cs="Times New Roman"/>
                <w:b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lang w:val="en-US" w:eastAsia="zh-CN"/>
              </w:rPr>
              <w:t>1.实验中光强变化对数据测量有什么影响，你是怎样进行光强控制的？</w:t>
            </w:r>
          </w:p>
          <w:p>
            <w:pPr>
              <w:rPr>
                <w:rFonts w:hint="eastAsia" w:ascii="Times New Roman" w:hAnsi="Times New Roman" w:eastAsia="黑体" w:cs="Times New Roman"/>
                <w:b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b w:val="0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b w:val="0"/>
                <w:bCs/>
                <w:sz w:val="24"/>
              </w:rPr>
              <w:t>光强变化导致阻值变化</w:t>
            </w:r>
            <w:r>
              <w:rPr>
                <w:rFonts w:hint="eastAsia" w:ascii="Times New Roman" w:hAnsi="Times New Roman" w:eastAsia="黑体" w:cs="Times New Roman"/>
                <w:b w:val="0"/>
                <w:bCs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eastAsia="黑体" w:cs="Times New Roman"/>
                <w:b w:val="0"/>
                <w:bCs/>
                <w:sz w:val="24"/>
                <w:lang w:val="en-US" w:eastAsia="zh-CN"/>
              </w:rPr>
              <w:t>会导致测量结果有误差。尽量使用一个光源，保证</w:t>
            </w:r>
            <w:r>
              <w:rPr>
                <w:rFonts w:hint="eastAsia" w:ascii="Times New Roman" w:hAnsi="Times New Roman" w:eastAsia="黑体" w:cs="Times New Roman"/>
                <w:b w:val="0"/>
                <w:bCs/>
                <w:sz w:val="24"/>
              </w:rPr>
              <w:t>光敏电阻与光源之间始终无障碍</w:t>
            </w:r>
            <w:r>
              <w:rPr>
                <w:rFonts w:hint="eastAsia" w:ascii="Times New Roman" w:hAnsi="Times New Roman" w:eastAsia="黑体" w:cs="Times New Roman"/>
                <w:b w:val="0"/>
                <w:bCs/>
                <w:sz w:val="24"/>
                <w:lang w:eastAsia="zh-CN"/>
              </w:rPr>
              <w:t>。</w:t>
            </w:r>
          </w:p>
          <w:p>
            <w:pPr>
              <w:rPr>
                <w:rFonts w:hint="default" w:ascii="Times New Roman" w:hAnsi="Times New Roman" w:eastAsia="黑体" w:cs="Times New Roman"/>
                <w:b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lang w:val="en-US" w:eastAsia="zh-CN"/>
              </w:rPr>
              <w:t>2.光敏电阻在实际中有什么应用，举例并说明原理。</w:t>
            </w:r>
          </w:p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黑体" w:cs="Times New Roman"/>
                <w:b w:val="0"/>
                <w:bCs/>
                <w:sz w:val="24"/>
                <w:lang w:val="en-US" w:eastAsia="zh-CN"/>
              </w:rPr>
              <w:t>如路灯自动点亮。白天光强大，电阻小，电路断开；夜晚光强小，电阻大，电路闭合。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</w:rPr>
            </w:pPr>
          </w:p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成绩评定：</w:t>
            </w:r>
          </w:p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ind w:firstLine="180" w:firstLineChars="100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 w:ascii="Times New Roman" w:hAnsi="Times New Roman" w:eastAsia="宋体" w:cs="Times New Roman"/>
              </w:rPr>
            </w:pP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  <w:rFonts w:ascii="Times New Roman" w:hAnsi="Times New Roman" w:eastAsia="宋体" w:cs="Times New Roman"/>
      </w:rPr>
    </w:pPr>
    <w:r>
      <w:rPr>
        <w:rStyle w:val="6"/>
        <w:rFonts w:ascii="Times New Roman" w:hAnsi="Times New Roman" w:eastAsia="宋体" w:cs="Times New Roman"/>
      </w:rPr>
      <w:fldChar w:fldCharType="begin"/>
    </w:r>
    <w:r>
      <w:rPr>
        <w:rStyle w:val="6"/>
        <w:rFonts w:ascii="Times New Roman" w:hAnsi="Times New Roman" w:eastAsia="宋体" w:cs="Times New Roman"/>
      </w:rPr>
      <w:instrText xml:space="preserve">PAGE  </w:instrText>
    </w:r>
    <w:r>
      <w:rPr>
        <w:rStyle w:val="6"/>
        <w:rFonts w:ascii="Times New Roman" w:hAnsi="Times New Roman" w:eastAsia="宋体" w:cs="Times New Roman"/>
      </w:rPr>
      <w:fldChar w:fldCharType="separate"/>
    </w:r>
    <w:r>
      <w:rPr>
        <w:rStyle w:val="6"/>
        <w:rFonts w:ascii="Times New Roman" w:hAnsi="Times New Roman" w:eastAsia="宋体" w:cs="Times New Roman"/>
      </w:rPr>
      <w:t>4</w:t>
    </w:r>
    <w:r>
      <w:rPr>
        <w:rStyle w:val="6"/>
        <w:rFonts w:ascii="Times New Roman" w:hAnsi="Times New Roman" w:eastAsia="宋体" w:cs="Times New Roman"/>
      </w:rPr>
      <w:fldChar w:fldCharType="end"/>
    </w:r>
  </w:p>
  <w:p>
    <w:pPr>
      <w:pStyle w:val="2"/>
      <w:ind w:right="360"/>
      <w:rPr>
        <w:rFonts w:ascii="Times New Roman" w:hAnsi="Times New Roman" w:eastAsia="宋体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  <w:rFonts w:ascii="Times New Roman" w:hAnsi="Times New Roman" w:eastAsia="宋体" w:cs="Times New Roman"/>
      </w:rPr>
    </w:pPr>
    <w:r>
      <w:rPr>
        <w:rStyle w:val="6"/>
        <w:rFonts w:ascii="Times New Roman" w:hAnsi="Times New Roman" w:eastAsia="宋体" w:cs="Times New Roman"/>
      </w:rPr>
      <w:fldChar w:fldCharType="begin"/>
    </w:r>
    <w:r>
      <w:rPr>
        <w:rStyle w:val="6"/>
        <w:rFonts w:ascii="Times New Roman" w:hAnsi="Times New Roman" w:eastAsia="宋体" w:cs="Times New Roman"/>
      </w:rPr>
      <w:instrText xml:space="preserve">PAGE  </w:instrText>
    </w:r>
    <w:r>
      <w:rPr>
        <w:rStyle w:val="6"/>
        <w:rFonts w:ascii="Times New Roman" w:hAnsi="Times New Roman" w:eastAsia="宋体" w:cs="Times New Roman"/>
      </w:rPr>
      <w:fldChar w:fldCharType="end"/>
    </w:r>
  </w:p>
  <w:p>
    <w:pPr>
      <w:pStyle w:val="2"/>
      <w:ind w:right="360"/>
      <w:rPr>
        <w:rFonts w:ascii="Times New Roman" w:hAnsi="Times New Roman" w:eastAsia="宋体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A2484"/>
    <w:rsid w:val="631A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table" w:styleId="4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qFormat/>
    <w:uiPriority w:val="0"/>
  </w:style>
  <w:style w:type="paragraph" w:customStyle="1" w:styleId="7">
    <w:name w:val=" Char"/>
    <w:qFormat/>
    <w:uiPriority w:val="0"/>
    <w:pPr>
      <w:widowControl w:val="0"/>
      <w:tabs>
        <w:tab w:val="left" w:pos="432"/>
      </w:tabs>
      <w:spacing w:before="50" w:beforeLines="50" w:after="50" w:afterLines="50"/>
      <w:ind w:left="432" w:hanging="432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chart" Target="charts/chart4.xml"/><Relationship Id="rId11" Type="http://schemas.openxmlformats.org/officeDocument/2006/relationships/chart" Target="charts/chart3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4.xml"/><Relationship Id="rId3" Type="http://schemas.microsoft.com/office/2011/relationships/chartStyle" Target="style4.xml"/><Relationship Id="rId2" Type="http://schemas.openxmlformats.org/officeDocument/2006/relationships/themeOverride" Target="../theme/themeOverride4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4" Type="http://schemas.microsoft.com/office/2011/relationships/chartColorStyle" Target="colors3.xml"/><Relationship Id="rId3" Type="http://schemas.microsoft.com/office/2011/relationships/chartStyle" Target="style3.xml"/><Relationship Id="rId2" Type="http://schemas.openxmlformats.org/officeDocument/2006/relationships/themeOverride" Target="../theme/themeOverride3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光照特性</a:t>
            </a:r>
          </a:p>
          <a:p>
            <a:pPr>
              <a:defRPr lang="zh-CN" sz="14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5541894961914"/>
          <c:y val="0.261442286224604"/>
          <c:w val="0.801870907390084"/>
          <c:h val="0.590399642777406"/>
        </c:manualLayout>
      </c:layout>
      <c:lineChart>
        <c:grouping val="standard"/>
        <c:varyColors val="0"/>
        <c:ser>
          <c:idx val="0"/>
          <c:order val="0"/>
          <c:tx>
            <c:strRef>
              <c:f>[工作簿1]Sheet1!$A$7</c:f>
              <c:strCache>
                <c:ptCount val="1"/>
                <c:pt idx="0">
                  <c:v>1V</c:v>
                </c:pt>
              </c:strCache>
            </c:strRef>
          </c:tx>
          <c:spPr>
            <a:ln w="38100" cap="rnd" cmpd="dbl">
              <a:solidFill>
                <a:srgbClr val="519B37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[工作簿1]Sheet1!$B$7:$H$7</c:f>
              <c:numCache>
                <c:formatCode>General</c:formatCode>
                <c:ptCount val="7"/>
                <c:pt idx="0">
                  <c:v>0.01</c:v>
                </c:pt>
                <c:pt idx="1">
                  <c:v>0.03</c:v>
                </c:pt>
                <c:pt idx="2">
                  <c:v>0.07</c:v>
                </c:pt>
                <c:pt idx="3">
                  <c:v>0.12</c:v>
                </c:pt>
                <c:pt idx="4">
                  <c:v>0.17</c:v>
                </c:pt>
                <c:pt idx="5">
                  <c:v>0.2</c:v>
                </c:pt>
                <c:pt idx="6">
                  <c:v>0.21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[工作簿1]Sheet1!$A$8</c:f>
              <c:strCache>
                <c:ptCount val="1"/>
                <c:pt idx="0">
                  <c:v>3V</c:v>
                </c:pt>
              </c:strCache>
            </c:strRef>
          </c:tx>
          <c:spPr>
            <a:ln w="38100" cap="rnd" cmpd="dbl">
              <a:solidFill>
                <a:srgbClr val="BFCD3D"/>
              </a:solidFill>
              <a:round/>
              <a:tailEnd type="none"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[工作簿1]Sheet1!$B$8:$H$8</c:f>
              <c:numCache>
                <c:formatCode>General</c:formatCode>
                <c:ptCount val="7"/>
                <c:pt idx="0">
                  <c:v>0.04</c:v>
                </c:pt>
                <c:pt idx="1">
                  <c:v>0.1</c:v>
                </c:pt>
                <c:pt idx="2">
                  <c:v>0.23</c:v>
                </c:pt>
                <c:pt idx="3">
                  <c:v>0.38</c:v>
                </c:pt>
                <c:pt idx="4">
                  <c:v>0.52</c:v>
                </c:pt>
                <c:pt idx="5">
                  <c:v>0.62</c:v>
                </c:pt>
                <c:pt idx="6">
                  <c:v>0.65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[工作簿1]Sheet1!$A$9</c:f>
              <c:strCache>
                <c:ptCount val="1"/>
                <c:pt idx="0">
                  <c:v>5V</c:v>
                </c:pt>
              </c:strCache>
            </c:strRef>
          </c:tx>
          <c:spPr>
            <a:ln w="38100" cap="rnd" cmpd="dbl">
              <a:solidFill>
                <a:srgbClr val="1E967B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38100" cap="rnd" cmpd="dbl">
                <a:solidFill>
                  <a:srgbClr val="1E967B"/>
                </a:solidFill>
                <a:round/>
                <a:headEnd type="none"/>
                <a:tailEnd type="none"/>
              </a:ln>
              <a:effectLst/>
            </c:spPr>
          </c:dPt>
          <c:dLbls>
            <c:delete val="1"/>
          </c:dLbls>
          <c:cat>
            <c:numRef>
              <c:f>[工作簿1]Sheet1!$B$6:$H$6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[工作簿1]Sheet1!$B$9:$H$9</c:f>
              <c:numCache>
                <c:formatCode>General</c:formatCode>
                <c:ptCount val="7"/>
                <c:pt idx="0">
                  <c:v>0.07</c:v>
                </c:pt>
                <c:pt idx="1">
                  <c:v>0.17</c:v>
                </c:pt>
                <c:pt idx="2">
                  <c:v>0.39</c:v>
                </c:pt>
                <c:pt idx="3">
                  <c:v>0.66</c:v>
                </c:pt>
                <c:pt idx="4">
                  <c:v>0.89</c:v>
                </c:pt>
                <c:pt idx="5">
                  <c:v>1.05</c:v>
                </c:pt>
                <c:pt idx="6">
                  <c:v>1.1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71472574"/>
        <c:axId val="606433934"/>
      </c:lineChart>
      <c:catAx>
        <c:axId val="27147257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606433934"/>
        <c:crosses val="autoZero"/>
        <c:auto val="1"/>
        <c:lblAlgn val="ctr"/>
        <c:lblOffset val="100"/>
        <c:noMultiLvlLbl val="0"/>
      </c:catAx>
      <c:valAx>
        <c:axId val="60643393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Arial" panose="020B0604020202020204" pitchFamily="7" charset="0"/>
                <a:ea typeface="Arial" panose="020B0604020202020204" pitchFamily="7" charset="0"/>
                <a:cs typeface="Arial" panose="020B0604020202020204" pitchFamily="7" charset="0"/>
                <a:sym typeface="Arial" panose="020B0604020202020204" pitchFamily="7" charset="0"/>
              </a:defRPr>
            </a:pPr>
          </a:p>
        </c:txPr>
        <c:crossAx val="2714725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光照特性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5541894961914"/>
          <c:y val="0.261442286224604"/>
          <c:w val="0.801870907390084"/>
          <c:h val="0.590399642777406"/>
        </c:manualLayout>
      </c:layout>
      <c:lineChart>
        <c:grouping val="standard"/>
        <c:varyColors val="0"/>
        <c:ser>
          <c:idx val="0"/>
          <c:order val="0"/>
          <c:tx>
            <c:strRef>
              <c:f>[工作簿1]Sheet1!$A$23</c:f>
              <c:strCache>
                <c:ptCount val="1"/>
                <c:pt idx="0">
                  <c:v>R(1V)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[工作簿1]Sheet1!$B$22:$H$22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[工作簿1]Sheet1!$B$23:$H$23</c:f>
              <c:numCache>
                <c:formatCode>0.00_ </c:formatCode>
                <c:ptCount val="7"/>
                <c:pt idx="0">
                  <c:v>100</c:v>
                </c:pt>
                <c:pt idx="1">
                  <c:v>33.3333333333333</c:v>
                </c:pt>
                <c:pt idx="2">
                  <c:v>14.2857142857143</c:v>
                </c:pt>
                <c:pt idx="3">
                  <c:v>8.33333333333333</c:v>
                </c:pt>
                <c:pt idx="4">
                  <c:v>5.88235294117647</c:v>
                </c:pt>
                <c:pt idx="5">
                  <c:v>5</c:v>
                </c:pt>
                <c:pt idx="6">
                  <c:v>4.76190476190476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[工作簿1]Sheet1!$A$24</c:f>
              <c:strCache>
                <c:ptCount val="1"/>
                <c:pt idx="0">
                  <c:v>R(3V)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[工作簿1]Sheet1!$B$22:$H$22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[工作簿1]Sheet1!$B$24:$H$24</c:f>
              <c:numCache>
                <c:formatCode>0.00_ </c:formatCode>
                <c:ptCount val="7"/>
                <c:pt idx="0">
                  <c:v>75</c:v>
                </c:pt>
                <c:pt idx="1">
                  <c:v>30</c:v>
                </c:pt>
                <c:pt idx="2">
                  <c:v>13.0434782608696</c:v>
                </c:pt>
                <c:pt idx="3">
                  <c:v>7.89473684210526</c:v>
                </c:pt>
                <c:pt idx="4">
                  <c:v>5.76923076923077</c:v>
                </c:pt>
                <c:pt idx="5">
                  <c:v>4.83870967741935</c:v>
                </c:pt>
                <c:pt idx="6">
                  <c:v>4.61538461538461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[工作簿1]Sheet1!$A$25</c:f>
              <c:strCache>
                <c:ptCount val="1"/>
                <c:pt idx="0">
                  <c:v>R(5V)</c:v>
                </c:pt>
              </c:strCache>
            </c:strRef>
          </c:tx>
          <c:spPr>
            <a:ln w="28575" cap="rnd">
              <a:solidFill>
                <a:srgbClr val="9BBB5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BBB59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[工作簿1]Sheet1!$B$22:$H$22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[工作簿1]Sheet1!$B$25:$H$25</c:f>
              <c:numCache>
                <c:formatCode>0.00_ </c:formatCode>
                <c:ptCount val="7"/>
                <c:pt idx="0">
                  <c:v>71.4285714285714</c:v>
                </c:pt>
                <c:pt idx="1">
                  <c:v>29.4117647058824</c:v>
                </c:pt>
                <c:pt idx="2">
                  <c:v>12.8205128205128</c:v>
                </c:pt>
                <c:pt idx="3">
                  <c:v>7.57575757575758</c:v>
                </c:pt>
                <c:pt idx="4">
                  <c:v>5.61797752808989</c:v>
                </c:pt>
                <c:pt idx="5">
                  <c:v>4.76190476190476</c:v>
                </c:pt>
                <c:pt idx="6">
                  <c:v>4.54545454545454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142956"/>
        <c:axId val="641947844"/>
      </c:lineChart>
      <c:catAx>
        <c:axId val="3861429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641947844"/>
        <c:crosses val="autoZero"/>
        <c:auto val="1"/>
        <c:lblAlgn val="ctr"/>
        <c:lblOffset val="100"/>
        <c:noMultiLvlLbl val="0"/>
      </c:catAx>
      <c:valAx>
        <c:axId val="641947844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Arial" panose="020B0604020202020204" pitchFamily="7" charset="0"/>
                <a:ea typeface="Arial" panose="020B0604020202020204" pitchFamily="7" charset="0"/>
                <a:cs typeface="Arial" panose="020B0604020202020204" pitchFamily="7" charset="0"/>
                <a:sym typeface="Arial" panose="020B0604020202020204" pitchFamily="7" charset="0"/>
              </a:defRPr>
            </a:pPr>
          </a:p>
        </c:txPr>
        <c:crossAx val="3861429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光照特性</a:t>
            </a:r>
          </a:p>
          <a:p>
            <a:pPr>
              <a:defRPr lang="zh-CN" sz="14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5541894961914"/>
          <c:y val="0.261442286224604"/>
          <c:w val="0.801870907390084"/>
          <c:h val="0.590399642777406"/>
        </c:manualLayout>
      </c:layout>
      <c:lineChart>
        <c:grouping val="standard"/>
        <c:varyColors val="0"/>
        <c:ser>
          <c:idx val="0"/>
          <c:order val="0"/>
          <c:tx>
            <c:strRef>
              <c:f>[工作簿1]Sheet1!$A$7</c:f>
              <c:strCache>
                <c:ptCount val="1"/>
                <c:pt idx="0">
                  <c:v>1V</c:v>
                </c:pt>
              </c:strCache>
            </c:strRef>
          </c:tx>
          <c:spPr>
            <a:ln w="38100" cap="rnd" cmpd="dbl">
              <a:solidFill>
                <a:srgbClr val="519B37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[工作簿1]Sheet1!$B$7:$H$7</c:f>
              <c:numCache>
                <c:formatCode>General</c:formatCode>
                <c:ptCount val="7"/>
                <c:pt idx="0">
                  <c:v>0.01</c:v>
                </c:pt>
                <c:pt idx="1">
                  <c:v>0.03</c:v>
                </c:pt>
                <c:pt idx="2">
                  <c:v>0.07</c:v>
                </c:pt>
                <c:pt idx="3">
                  <c:v>0.12</c:v>
                </c:pt>
                <c:pt idx="4">
                  <c:v>0.17</c:v>
                </c:pt>
                <c:pt idx="5">
                  <c:v>0.2</c:v>
                </c:pt>
                <c:pt idx="6">
                  <c:v>0.21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[工作簿1]Sheet1!$A$8</c:f>
              <c:strCache>
                <c:ptCount val="1"/>
                <c:pt idx="0">
                  <c:v>3V</c:v>
                </c:pt>
              </c:strCache>
            </c:strRef>
          </c:tx>
          <c:spPr>
            <a:ln w="38100" cap="rnd" cmpd="dbl">
              <a:solidFill>
                <a:srgbClr val="BFCD3D"/>
              </a:solidFill>
              <a:round/>
              <a:tailEnd type="none"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[工作簿1]Sheet1!$B$8:$H$8</c:f>
              <c:numCache>
                <c:formatCode>General</c:formatCode>
                <c:ptCount val="7"/>
                <c:pt idx="0">
                  <c:v>0.04</c:v>
                </c:pt>
                <c:pt idx="1">
                  <c:v>0.1</c:v>
                </c:pt>
                <c:pt idx="2">
                  <c:v>0.23</c:v>
                </c:pt>
                <c:pt idx="3">
                  <c:v>0.38</c:v>
                </c:pt>
                <c:pt idx="4">
                  <c:v>0.52</c:v>
                </c:pt>
                <c:pt idx="5">
                  <c:v>0.62</c:v>
                </c:pt>
                <c:pt idx="6">
                  <c:v>0.65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[工作簿1]Sheet1!$A$9</c:f>
              <c:strCache>
                <c:ptCount val="1"/>
                <c:pt idx="0">
                  <c:v>5V</c:v>
                </c:pt>
              </c:strCache>
            </c:strRef>
          </c:tx>
          <c:spPr>
            <a:ln w="38100" cap="rnd" cmpd="dbl">
              <a:solidFill>
                <a:srgbClr val="1E967B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38100" cap="rnd" cmpd="dbl">
                <a:solidFill>
                  <a:srgbClr val="1E967B"/>
                </a:solidFill>
                <a:round/>
                <a:headEnd type="none"/>
                <a:tailEnd type="none"/>
              </a:ln>
              <a:effectLst/>
            </c:spPr>
          </c:dPt>
          <c:dLbls>
            <c:delete val="1"/>
          </c:dLbls>
          <c:cat>
            <c:numRef>
              <c:f>[工作簿1]Sheet1!$B$6:$H$6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[工作簿1]Sheet1!$B$9:$H$9</c:f>
              <c:numCache>
                <c:formatCode>General</c:formatCode>
                <c:ptCount val="7"/>
                <c:pt idx="0">
                  <c:v>0.07</c:v>
                </c:pt>
                <c:pt idx="1">
                  <c:v>0.17</c:v>
                </c:pt>
                <c:pt idx="2">
                  <c:v>0.39</c:v>
                </c:pt>
                <c:pt idx="3">
                  <c:v>0.66</c:v>
                </c:pt>
                <c:pt idx="4">
                  <c:v>0.89</c:v>
                </c:pt>
                <c:pt idx="5">
                  <c:v>1.05</c:v>
                </c:pt>
                <c:pt idx="6">
                  <c:v>1.1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71472574"/>
        <c:axId val="606433934"/>
      </c:lineChart>
      <c:catAx>
        <c:axId val="27147257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606433934"/>
        <c:crosses val="autoZero"/>
        <c:auto val="1"/>
        <c:lblAlgn val="ctr"/>
        <c:lblOffset val="100"/>
        <c:noMultiLvlLbl val="0"/>
      </c:catAx>
      <c:valAx>
        <c:axId val="60643393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Arial" panose="020B0604020202020204" pitchFamily="7" charset="0"/>
                <a:ea typeface="Arial" panose="020B0604020202020204" pitchFamily="7" charset="0"/>
                <a:cs typeface="Arial" panose="020B0604020202020204" pitchFamily="7" charset="0"/>
                <a:sym typeface="Arial" panose="020B0604020202020204" pitchFamily="7" charset="0"/>
              </a:defRPr>
            </a:pPr>
          </a:p>
        </c:txPr>
        <c:crossAx val="2714725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光照特性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5541894961914"/>
          <c:y val="0.261442286224604"/>
          <c:w val="0.801870907390084"/>
          <c:h val="0.590399642777406"/>
        </c:manualLayout>
      </c:layout>
      <c:lineChart>
        <c:grouping val="standard"/>
        <c:varyColors val="0"/>
        <c:ser>
          <c:idx val="0"/>
          <c:order val="0"/>
          <c:tx>
            <c:strRef>
              <c:f>[工作簿1]Sheet1!$A$23</c:f>
              <c:strCache>
                <c:ptCount val="1"/>
                <c:pt idx="0">
                  <c:v>R(1V)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[工作簿1]Sheet1!$B$22:$H$22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[工作簿1]Sheet1!$B$23:$H$23</c:f>
              <c:numCache>
                <c:formatCode>0.00_ </c:formatCode>
                <c:ptCount val="7"/>
                <c:pt idx="0">
                  <c:v>100</c:v>
                </c:pt>
                <c:pt idx="1">
                  <c:v>33.3333333333333</c:v>
                </c:pt>
                <c:pt idx="2">
                  <c:v>14.2857142857143</c:v>
                </c:pt>
                <c:pt idx="3">
                  <c:v>8.33333333333333</c:v>
                </c:pt>
                <c:pt idx="4">
                  <c:v>5.88235294117647</c:v>
                </c:pt>
                <c:pt idx="5">
                  <c:v>5</c:v>
                </c:pt>
                <c:pt idx="6">
                  <c:v>4.76190476190476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[工作簿1]Sheet1!$A$24</c:f>
              <c:strCache>
                <c:ptCount val="1"/>
                <c:pt idx="0">
                  <c:v>R(3V)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[工作簿1]Sheet1!$B$22:$H$22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[工作簿1]Sheet1!$B$24:$H$24</c:f>
              <c:numCache>
                <c:formatCode>0.00_ </c:formatCode>
                <c:ptCount val="7"/>
                <c:pt idx="0">
                  <c:v>75</c:v>
                </c:pt>
                <c:pt idx="1">
                  <c:v>30</c:v>
                </c:pt>
                <c:pt idx="2">
                  <c:v>13.0434782608696</c:v>
                </c:pt>
                <c:pt idx="3">
                  <c:v>7.89473684210526</c:v>
                </c:pt>
                <c:pt idx="4">
                  <c:v>5.76923076923077</c:v>
                </c:pt>
                <c:pt idx="5">
                  <c:v>4.83870967741935</c:v>
                </c:pt>
                <c:pt idx="6">
                  <c:v>4.61538461538461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[工作簿1]Sheet1!$A$25</c:f>
              <c:strCache>
                <c:ptCount val="1"/>
                <c:pt idx="0">
                  <c:v>R(5V)</c:v>
                </c:pt>
              </c:strCache>
            </c:strRef>
          </c:tx>
          <c:spPr>
            <a:ln w="28575" cap="rnd">
              <a:solidFill>
                <a:srgbClr val="9BBB5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BBB59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[工作簿1]Sheet1!$B$22:$H$22</c:f>
              <c:numCache>
                <c:formatCode>General</c:formatCode>
                <c:ptCount val="7"/>
                <c:pt idx="0">
                  <c:v>0</c:v>
                </c:pt>
                <c:pt idx="1">
                  <c:v>0.07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0.93</c:v>
                </c:pt>
                <c:pt idx="6">
                  <c:v>1</c:v>
                </c:pt>
              </c:numCache>
            </c:numRef>
          </c:cat>
          <c:val>
            <c:numRef>
              <c:f>[工作簿1]Sheet1!$B$25:$H$25</c:f>
              <c:numCache>
                <c:formatCode>0.00_ </c:formatCode>
                <c:ptCount val="7"/>
                <c:pt idx="0">
                  <c:v>71.4285714285714</c:v>
                </c:pt>
                <c:pt idx="1">
                  <c:v>29.4117647058824</c:v>
                </c:pt>
                <c:pt idx="2">
                  <c:v>12.8205128205128</c:v>
                </c:pt>
                <c:pt idx="3">
                  <c:v>7.57575757575758</c:v>
                </c:pt>
                <c:pt idx="4">
                  <c:v>5.61797752808989</c:v>
                </c:pt>
                <c:pt idx="5">
                  <c:v>4.76190476190476</c:v>
                </c:pt>
                <c:pt idx="6">
                  <c:v>4.54545454545454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142956"/>
        <c:axId val="641947844"/>
      </c:lineChart>
      <c:catAx>
        <c:axId val="3861429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641947844"/>
        <c:crosses val="autoZero"/>
        <c:auto val="1"/>
        <c:lblAlgn val="ctr"/>
        <c:lblOffset val="100"/>
        <c:noMultiLvlLbl val="0"/>
      </c:catAx>
      <c:valAx>
        <c:axId val="641947844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rgbClr val="808080">
                    <a:lumMod val="50000"/>
                    <a:lumOff val="50000"/>
                  </a:srgbClr>
                </a:solidFill>
                <a:latin typeface="Arial" panose="020B0604020202020204" pitchFamily="7" charset="0"/>
                <a:ea typeface="Arial" panose="020B0604020202020204" pitchFamily="7" charset="0"/>
                <a:cs typeface="Arial" panose="020B0604020202020204" pitchFamily="7" charset="0"/>
                <a:sym typeface="Arial" panose="020B0604020202020204" pitchFamily="7" charset="0"/>
              </a:defRPr>
            </a:pPr>
          </a:p>
        </c:txPr>
        <c:crossAx val="3861429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2021-05-11T13:48:00Z</dcterms:created>
  <dc:creator>WPS_1528105996</dc:creator>
  <cp:lastModifiedBy>WPS_1528105996</cp:lastModifiedBy>
  <dcterms:modified xsi:type="dcterms:W3CDTF">2021-05-11T13:49:29Z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4609FDC7F5C3444CB8C7824E30640B66</vt:lpwstr>
  </property>
</Properties>
</file>