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widowControl/>
      </w:pPr>
      <w:r>
        <w:t>附件3  信道编码、交织与译码方案及仿真分析</w:t>
      </w:r>
      <w:r>
        <w:br w:type="textWrapping"/>
      </w:r>
      <w:r>
        <w:t>面向低速电文与高速电文的编码设计</w:t>
      </w:r>
    </w:p>
    <w:p>
      <w:pPr>
        <w:pStyle w:val="3"/>
      </w:pPr>
      <w:r>
        <w:t>1. 编制目的</w:t>
      </w:r>
    </w:p>
    <w:p>
      <w:pPr>
        <w:pStyle w:val="19"/>
        <w:widowControl/>
      </w:pPr>
      <w:r>
        <w:rPr>
          <w:b w:val="0"/>
        </w:rPr>
        <w:t>本附件面向类星导航信号体制中的低速导航电文和高速导航电文，提出信道编码、交织与译码设计方案。方案以电文设计中的典型电文长度为输入，围绕BCH码、卷积码和5G NR LDPC码三类编码开展码长、码率、译码复杂度和适用场景对比，为后续全数字仿真、半实物样机实现和测试验证提供依据。</w:t>
      </w:r>
    </w:p>
    <w:p>
      <w:pPr>
        <w:pStyle w:val="19"/>
        <w:widowControl/>
      </w:pPr>
      <w:r>
        <w:rPr>
          <w:b w:val="0"/>
        </w:rPr>
        <w:t>本方案不以单一编码覆盖全部业务，而采用分场景配置思路：低速电文仅采用BCH码并重点评估不同码长设计在不同信道下的性能；高速电文采用卷积码或5G NR LDPC，重点评估两类编码在不同码长设计和不同信道下的性能。交织不作为某一种编码的固定组成部分，而作为独立测试项评估其对突发错误的改善效果。</w:t>
      </w:r>
    </w:p>
    <w:p>
      <w:pPr>
        <w:pStyle w:val="3"/>
      </w:pPr>
      <w:r>
        <w:t>2. 电文设计输入与编码约束</w:t>
      </w:r>
    </w:p>
    <w:p>
      <w:pPr>
        <w:pStyle w:val="19"/>
        <w:widowControl/>
      </w:pPr>
      <w:r>
        <w:rPr>
          <w:b w:val="0"/>
        </w:rPr>
        <w:t>根据电文设计，系统存在两类典型电文长度：一类为200 bit级电文，另一类为300 bit级电文。低速电文按照200 bit和300 bit两类长度进行BCH码长设计对比；高速电文只保留300 bit长度条件，围绕300 bit电文评估卷积码和5G NR LDPC两类方案。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54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电文类型</w:t>
            </w:r>
          </w:p>
        </w:tc>
        <w:tc>
          <w:tcPr>
            <w:tcW w:w="181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典型长度</w:t>
            </w:r>
          </w:p>
        </w:tc>
        <w:tc>
          <w:tcPr>
            <w:tcW w:w="5443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编码设计含义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短电文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约200 bit</w:t>
            </w:r>
          </w:p>
        </w:tc>
        <w:tc>
          <w:tcPr>
            <w:tcW w:w="544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可采用整块编码；在需要统一处理流程、降低单块译码复杂度或单独评估交织影响时，也可采用分块编码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中等长度电文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约300 bit</w:t>
            </w:r>
          </w:p>
        </w:tc>
        <w:tc>
          <w:tcPr>
            <w:tcW w:w="544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可采用整块编码；在实时性要求较高、编码器资源受限或需适配连续发送时，可采用分块编码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高速电文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约300 bit</w:t>
            </w:r>
          </w:p>
        </w:tc>
        <w:tc>
          <w:tcPr>
            <w:tcW w:w="544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仅保留300 bit长度条件；卷积码可根据时隙内比特长度分块并采用滑窗译码，5G NR LDPC不分块、只评估300 bit整块短码适配</w:t>
            </w:r>
          </w:p>
        </w:tc>
      </w:tr>
    </w:tbl>
    <w:p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约束项</w:t>
            </w:r>
          </w:p>
        </w:tc>
        <w:tc>
          <w:tcPr>
            <w:tcW w:w="7257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设计要求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总码长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单个编码块编码后总码长不超过1000 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码长兼容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低速电文支持约200 bit和约300 bit；高速电文只保留约300 bit长度条件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码率兼容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覆盖1/2、2/3、3/4、4/5附近码率，根据业务可靠性和吞吐需求配置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译码时延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低速电文优先稳健，高速电文优先实时；5G NR LDPC替换方案需评估迭代译码时延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仿真输出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BER、FER、译码成功率、译码时延、编码增益、交织抗突发错误改善量和复杂度评估</w:t>
            </w:r>
          </w:p>
        </w:tc>
      </w:tr>
    </w:tbl>
    <w:p/>
    <w:p>
      <w:pPr>
        <w:pStyle w:val="3"/>
      </w:pPr>
      <w:r>
        <w:t>3. 总体编码框架</w:t>
      </w:r>
    </w:p>
    <w:p>
      <w:pPr>
        <w:pStyle w:val="19"/>
        <w:widowControl/>
        <w:rPr>
          <w:b w:val="0"/>
        </w:rPr>
      </w:pPr>
      <w:r>
        <w:rPr>
          <w:b w:val="0"/>
        </w:rPr>
        <w:t>统一处理流程为：电文组帧、校验生成、码长适配、信道编码、调制映射、信道传输、软/硬判决解调、信道译码、校验判决和电文恢复。在交织影响测试中，在信道编码之后、调制映射之前插入交织环节，并在译码前执行去交织。BCH、卷积码和5G NR LDPC三种编码均纳入统一仿真框架，但业务适用范围不同：低速电文只评估BCH，高速电文评估卷积码和5G NR LDPC。</w:t>
      </w:r>
    </w:p>
    <w:p>
      <w:pPr>
        <w:spacing w:after="80" w:line="300" w:lineRule="auto"/>
        <w:ind w:firstLine="420"/>
        <w:rPr>
          <w:rFonts w:ascii="宋体" w:hAnsi="宋体" w:eastAsia="宋体"/>
          <w:b w:val="0"/>
          <w:sz w:val="21"/>
        </w:rPr>
      </w:pPr>
    </w:p>
    <w:p>
      <w:pPr>
        <w:spacing w:after="80" w:line="300" w:lineRule="auto"/>
        <w:ind w:firstLine="420"/>
        <w:rPr>
          <w:rFonts w:ascii="宋体" w:hAnsi="宋体" w:eastAsia="宋体"/>
          <w:b w:val="0"/>
          <w:sz w:val="21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41"/>
        <w:gridCol w:w="5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适配手段</w:t>
            </w:r>
          </w:p>
        </w:tc>
        <w:tc>
          <w:tcPr>
            <w:tcW w:w="204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适用编码</w:t>
            </w:r>
          </w:p>
        </w:tc>
        <w:tc>
          <w:tcPr>
            <w:tcW w:w="5329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缩短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BCH、5G NR LDPC</w:t>
            </w:r>
          </w:p>
        </w:tc>
        <w:tc>
          <w:tcPr>
            <w:tcW w:w="53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由母码生成更贴近200 bit或300 bit电文长度的短码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打孔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卷积码、5G NR LDPC</w:t>
            </w:r>
          </w:p>
        </w:tc>
        <w:tc>
          <w:tcPr>
            <w:tcW w:w="53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提高码率，支持高速电文吞吐需求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填充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三类编码均适用</w:t>
            </w:r>
          </w:p>
        </w:tc>
        <w:tc>
          <w:tcPr>
            <w:tcW w:w="53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对不足分组长度的电文补零，译码后去除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分块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BCH、卷积码</w:t>
            </w:r>
          </w:p>
        </w:tc>
        <w:tc>
          <w:tcPr>
            <w:tcW w:w="53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低速BCH用于分块主推方案与整块对比；高速卷积码可按时隙内比特长度分块并滑窗译码；5G NR LDPC不采用分块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交织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独立测试项</w:t>
            </w:r>
          </w:p>
        </w:tc>
        <w:tc>
          <w:tcPr>
            <w:tcW w:w="532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不作为编码方案的固定组成部分；用于评估块交织、行列交织、伪随机交织对突发错误的改善效果；5G NR LDPC方案不配置交织</w:t>
            </w:r>
          </w:p>
        </w:tc>
      </w:tr>
    </w:tbl>
    <w:p/>
    <w:p>
      <w:pPr>
        <w:pStyle w:val="3"/>
      </w:pPr>
      <w:r>
        <w:t>4. 低速电文BCH编码方案</w:t>
      </w:r>
    </w:p>
    <w:p>
      <w:pPr>
        <w:pStyle w:val="19"/>
        <w:widowControl/>
      </w:pPr>
      <w:r>
        <w:rPr>
          <w:b w:val="0"/>
        </w:rPr>
        <w:t>低速电文以接收稳健性、低复杂度和低实现代价为优先目标，本方案低速电文只采用BCH码。其中BCH(15,11,1)作为低速电文主推方案，原因是码长短、译码结构简单、硬件和软件实现复杂度低，适合低速电文分块保护。与此同时，为避免方案单一，本附件设置整块缩短BCH作为对比方案，通过仿真比较BCH(15,11,1)分块方案与整块BCH方案在不同信道条件下的性能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134"/>
        <w:gridCol w:w="1247"/>
        <w:gridCol w:w="1134"/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低速电文场景</w:t>
            </w:r>
          </w:p>
        </w:tc>
        <w:tc>
          <w:tcPr>
            <w:tcW w:w="198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推荐BCH码型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信息位k</w:t>
            </w:r>
          </w:p>
        </w:tc>
        <w:tc>
          <w:tcPr>
            <w:tcW w:w="1247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编码后码长n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近似码率</w:t>
            </w:r>
          </w:p>
        </w:tc>
        <w:tc>
          <w:tcPr>
            <w:tcW w:w="187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低速主推分块方案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BCH(15,11,1)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11/组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15/组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0.733</w:t>
            </w:r>
          </w:p>
        </w:tc>
        <w:tc>
          <w:tcPr>
            <w:tcW w:w="187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主推方案；实现复杂度低，适合将200 bit或300 bit电文分组保护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 bit整块对比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缩短BCH(255,207)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248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0.806</w:t>
            </w:r>
          </w:p>
        </w:tc>
        <w:tc>
          <w:tcPr>
            <w:tcW w:w="187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作为200 bit电文整块编码对比方案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 bit整块对比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缩短BCH(511,421)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390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0.769</w:t>
            </w:r>
          </w:p>
        </w:tc>
        <w:tc>
          <w:tcPr>
            <w:tcW w:w="187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作为300 bit电文整块编码对比方案</w:t>
            </w:r>
          </w:p>
        </w:tc>
      </w:tr>
    </w:tbl>
    <w:p/>
    <w:p>
      <w:pPr>
        <w:pStyle w:val="19"/>
        <w:widowControl/>
      </w:pPr>
      <w:r>
        <w:rPr>
          <w:b w:val="0"/>
        </w:rPr>
        <w:t>低速电文优先采用BCH(15,11,1)分块方案，并与整块缩短BCH方案进行对比。分块方案的优势是实现简单、译码时延低、单组纠错逻辑清晰；整块方案的优势是编码块组织更集中、冗余分配更灵活。两类方案均纳入不同信道条件下的误码率、误帧率和译码时延评估。</w:t>
      </w:r>
    </w:p>
    <w:p>
      <w:pPr>
        <w:pStyle w:val="19"/>
        <w:widowControl/>
        <w:rPr>
          <w:b w:val="0"/>
        </w:rPr>
      </w:pPr>
      <w:r>
        <w:rPr>
          <w:b w:val="0"/>
        </w:rPr>
        <w:t>BCH编码算法采用系统码结构。对每个信息块m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(x)，先根据选定BCH码型确定生成多项式g(x)和校验位长度n-k；编码时将信息多项式左移n-k位，计算x^(n-k)</w:t>
      </w:r>
      <w:r>
        <w:rPr>
          <w:rFonts w:hint="eastAsia"/>
          <w:b w:val="0"/>
          <w:lang w:val="en-US" w:eastAsia="zh-CN"/>
        </w:rPr>
        <w:t xml:space="preserve"> </w:t>
      </w:r>
      <w:bookmarkStart w:id="0" w:name="_GoBack"/>
      <w:bookmarkEnd w:id="0"/>
      <w:r>
        <w:rPr>
          <w:b w:val="0"/>
        </w:rPr>
        <w:t>m(x)除以g(x)得到余式r(x)，最终输出码字c(x)=x^(n-k)m(x)+r(x)。对于BCH(15,11,1)，生成多项式采用g(x)=x^4+x+1，信息位按11 bit分组，不足一组时补零，译码后依据原始电文长度去除填充位。</w:t>
      </w:r>
    </w:p>
    <w:p>
      <w:pPr>
        <w:pStyle w:val="19"/>
        <w:widowControl/>
        <w:rPr>
          <w:b w:val="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21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BCH编码步骤</w:t>
            </w:r>
          </w:p>
        </w:tc>
        <w:tc>
          <w:tcPr>
            <w:tcW w:w="5102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处理内容</w:t>
            </w:r>
          </w:p>
        </w:tc>
        <w:tc>
          <w:tcPr>
            <w:tcW w:w="215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 分组与填充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将低速电文按BCH信息位长度分组；BCH(15,11,1)按11 bit分组，整块BCH按200 bit或300 bit输入</w:t>
            </w:r>
          </w:p>
        </w:tc>
        <w:tc>
          <w:tcPr>
            <w:tcW w:w="215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信息块m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 多项式除法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计算x^(n-k)m(x) mod g(x)，得到校验余式r(x)</w:t>
            </w:r>
          </w:p>
        </w:tc>
        <w:tc>
          <w:tcPr>
            <w:tcW w:w="215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校验位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 系统码拼接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将原始信息位与校验位拼接，形成系统BCH码字</w:t>
            </w:r>
          </w:p>
        </w:tc>
        <w:tc>
          <w:tcPr>
            <w:tcW w:w="215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码字c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 输出记录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记录码型、填充长度、分块序号和原始电文长度</w:t>
            </w:r>
          </w:p>
        </w:tc>
        <w:tc>
          <w:tcPr>
            <w:tcW w:w="215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编码参数</w:t>
            </w:r>
          </w:p>
        </w:tc>
      </w:tr>
    </w:tbl>
    <w:p/>
    <w:p>
      <w:pPr>
        <w:pStyle w:val="19"/>
        <w:widowControl/>
      </w:pPr>
      <w:r>
        <w:rPr>
          <w:b w:val="0"/>
        </w:rPr>
        <w:t>BCH译码算法设置两类对比。对于BCH(15,11,1)短分组，优先采用综合校验查表译码：接收15 bit码字后计算伴随式/综合校验值，根据综合校验值查找对应错误图样，完成单比特纠错或无错判决。对于整块缩短BCH，采用BM/BK代数译码流程：先计算多个综合校验值，再求错误位置多项式，随后通过搜索确定错误位置并翻转纠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3628"/>
        <w:gridCol w:w="14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BCH译码算法</w:t>
            </w:r>
          </w:p>
        </w:tc>
        <w:tc>
          <w:tcPr>
            <w:tcW w:w="198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适用码型</w:t>
            </w:r>
          </w:p>
        </w:tc>
        <w:tc>
          <w:tcPr>
            <w:tcW w:w="362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主要流程</w:t>
            </w:r>
          </w:p>
        </w:tc>
        <w:tc>
          <w:tcPr>
            <w:tcW w:w="147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对比指标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综合校验查表译码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BCH(15,11,1)短分组</w:t>
            </w:r>
          </w:p>
        </w:tc>
        <w:tc>
          <w:tcPr>
            <w:tcW w:w="362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计算综合校验值；查表得到错误位置或错误图样；翻转纠错；输出11 bit信息位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查表规模、译码时延、误纠率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BM/BK代数译码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整块缩短BCH</w:t>
            </w:r>
          </w:p>
        </w:tc>
        <w:tc>
          <w:tcPr>
            <w:tcW w:w="362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计算综合校验序列；求错误位置多项式；搜索错误位置；执行纠错和校验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纠错能力、复杂度、译码时延</w:t>
            </w:r>
          </w:p>
        </w:tc>
      </w:tr>
    </w:tbl>
    <w:p/>
    <w:p>
      <w:pPr>
        <w:pStyle w:val="3"/>
      </w:pPr>
      <w:r>
        <w:t>5. 高速电文卷积码编码方案</w:t>
      </w:r>
    </w:p>
    <w:p>
      <w:pPr>
        <w:pStyle w:val="19"/>
        <w:widowControl/>
      </w:pPr>
      <w:r>
        <w:rPr>
          <w:b w:val="0"/>
        </w:rPr>
        <w:t>高速电文以实时性、连续处理能力和工程成熟度为优先目标，推荐采用卷积码。卷积码可在连续电文流中稳定工作，支持Viterbi硬判决和软判决译码，并可通过打孔实现码率兼容，是高速电文的工程基线方案。对于300 bit高速电文，可根据时隙内可承载比特长度进行分块编码，接收端采用滑窗译码方式恢复连续电文。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参数项</w:t>
            </w:r>
          </w:p>
        </w:tc>
        <w:tc>
          <w:tcPr>
            <w:tcW w:w="6803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建议配置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母码率</w:t>
            </w:r>
          </w:p>
        </w:tc>
        <w:tc>
          <w:tcPr>
            <w:tcW w:w="680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1/2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约束长度</w:t>
            </w:r>
          </w:p>
        </w:tc>
        <w:tc>
          <w:tcPr>
            <w:tcW w:w="680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K=7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生成多项式</w:t>
            </w:r>
          </w:p>
        </w:tc>
        <w:tc>
          <w:tcPr>
            <w:tcW w:w="680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G1=171(oct)，G2=133(oct)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译码方式</w:t>
            </w:r>
          </w:p>
        </w:tc>
        <w:tc>
          <w:tcPr>
            <w:tcW w:w="680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Viterbi译码，优先支持软判决输入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码率兼容</w:t>
            </w:r>
          </w:p>
        </w:tc>
        <w:tc>
          <w:tcPr>
            <w:tcW w:w="680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以1/2母码为基础，通过打孔支持2/3、3/4等码率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终止方式</w:t>
            </w:r>
          </w:p>
        </w:tc>
        <w:tc>
          <w:tcPr>
            <w:tcW w:w="6803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整块编码可采用尾比特清零；按时隙分块时采用连续编码和滑窗译码，降低分块边界带来的效率损失</w:t>
            </w:r>
          </w:p>
        </w:tc>
      </w:tr>
    </w:tbl>
    <w:p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输入信息长度</w:t>
            </w:r>
          </w:p>
        </w:tc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1/2码率输出</w:t>
            </w:r>
          </w:p>
        </w:tc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2/3码率输出</w:t>
            </w:r>
          </w:p>
        </w:tc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3/4码率输出</w:t>
            </w:r>
          </w:p>
        </w:tc>
        <w:tc>
          <w:tcPr>
            <w:tcW w:w="226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 bit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约612 bit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约459 bit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约408 bit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适合整块编码，也可按业务时序拆分为多个编码块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 bit按时隙分块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按时隙内比特长度线性变化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按打孔比例变化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按打孔比例变化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由300 bit高速电文按时隙承载能力拆分，接收端采用滑窗译码</w:t>
            </w:r>
          </w:p>
        </w:tc>
      </w:tr>
    </w:tbl>
    <w:p/>
    <w:p>
      <w:pPr>
        <w:pStyle w:val="19"/>
        <w:widowControl/>
      </w:pPr>
      <w:r>
        <w:rPr>
          <w:b w:val="0"/>
        </w:rPr>
        <w:t>高速电文默认采用1/2码率卷积码作为稳健配置；在信道条件较好或吞吐优先时，可采用2/3或3/4打孔卷积码。卷积码仿真同时覆盖300 bit整块编码和按时隙比特长度分块编码两种组织方式，并对滑窗译码窗口长度、回溯深度和译码时延进行统计。所有候选输出码长均显著低于1000 bit，满足总码长约束。</w:t>
      </w:r>
    </w:p>
    <w:p>
      <w:pPr>
        <w:pStyle w:val="19"/>
        <w:widowControl/>
      </w:pPr>
      <w:r>
        <w:rPr>
          <w:b w:val="0"/>
        </w:rPr>
        <w:t>卷积码编码算法采用约束长度K=7、母码率1/2的移位寄存器结构。每输入1 bit信息，编码器根据生成多项式G1=171(oct)、G2=133(oct)输出2 bit编码比特。对于300 bit整块编码，可在电文末尾加入K-1个尾比特使寄存器回零；对于按时隙内比特长度分块的高速电文，可采用连续编码结构，在接收端通过滑窗Viterbi译码降低分块边界损失。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649"/>
        <w:gridCol w:w="2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卷积码编码环节</w:t>
            </w:r>
          </w:p>
        </w:tc>
        <w:tc>
          <w:tcPr>
            <w:tcW w:w="4649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算法设计</w:t>
            </w:r>
          </w:p>
        </w:tc>
        <w:tc>
          <w:tcPr>
            <w:tcW w:w="272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母码编码</w:t>
            </w:r>
          </w:p>
        </w:tc>
        <w:tc>
          <w:tcPr>
            <w:tcW w:w="464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K=7，G1=171(oct)，G2=133(oct)，1 bit输入对应2 bit输出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形成1/2母码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打孔码率兼容</w:t>
            </w:r>
          </w:p>
        </w:tc>
        <w:tc>
          <w:tcPr>
            <w:tcW w:w="464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按预设打孔图样删除部分输出比特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支持2/3、3/4等码率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整块编码</w:t>
            </w:r>
          </w:p>
        </w:tc>
        <w:tc>
          <w:tcPr>
            <w:tcW w:w="464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300 bit电文后加入尾比特清零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译码边界清晰，时延略增加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按时隙分块</w:t>
            </w:r>
          </w:p>
        </w:tc>
        <w:tc>
          <w:tcPr>
            <w:tcW w:w="464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依据时隙内可承载比特长度拆分300 bit电文，采用连续编码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适合实时发送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参数记录</w:t>
            </w:r>
          </w:p>
        </w:tc>
        <w:tc>
          <w:tcPr>
            <w:tcW w:w="464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记录码率、打孔图样、分块长度、尾比特或连续状态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保证接收端一致译码</w:t>
            </w:r>
          </w:p>
        </w:tc>
      </w:tr>
    </w:tbl>
    <w:p/>
    <w:p>
      <w:pPr>
        <w:pStyle w:val="19"/>
        <w:widowControl/>
      </w:pPr>
      <w:r>
        <w:rPr>
          <w:b w:val="0"/>
        </w:rPr>
        <w:t>卷积码译码采用Viterbi算法，并设置硬判决和软判决两种模式。硬判决Viterbi使用汉明距离作为分支度量，输入为解调后的0/1判决比特；软判决Viterbi使用LLR或量化软信息构造分支度量，能够保留更多信道可靠性信息。滑窗译码时，接收端以固定窗口长度进行路径度量更新，并按照回溯深度输出已稳定的信息比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3118"/>
        <w:gridCol w:w="2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卷积码译码算法</w:t>
            </w:r>
          </w:p>
        </w:tc>
        <w:tc>
          <w:tcPr>
            <w:tcW w:w="204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w="311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关键参数</w:t>
            </w:r>
          </w:p>
        </w:tc>
        <w:tc>
          <w:tcPr>
            <w:tcW w:w="209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输出与评价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硬判决Viterbi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0/1判决比特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约束长度K、回溯深度、打孔图样</w:t>
            </w:r>
          </w:p>
        </w:tc>
        <w:tc>
          <w:tcPr>
            <w:tcW w:w="209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恢复电文、BER/FER、译码时延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软判决Viterbi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LLR或多比特软信息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软信息量化位宽、回溯深度、路径度量饱和策略</w:t>
            </w:r>
          </w:p>
        </w:tc>
        <w:tc>
          <w:tcPr>
            <w:tcW w:w="209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编码增益、复杂度、实时性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滑窗Viterbi</w:t>
            </w:r>
          </w:p>
        </w:tc>
        <w:tc>
          <w:tcPr>
            <w:tcW w:w="204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连续接收软/硬判决序列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窗口长度、滑动步长、回溯深度</w:t>
            </w:r>
          </w:p>
        </w:tc>
        <w:tc>
          <w:tcPr>
            <w:tcW w:w="209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连续输出比特、边界误码率、处理时延</w:t>
            </w:r>
          </w:p>
        </w:tc>
      </w:tr>
    </w:tbl>
    <w:p/>
    <w:p>
      <w:pPr>
        <w:pStyle w:val="3"/>
      </w:pPr>
      <w:r>
        <w:t>6. 高速电文5G NR LDPC替换方案</w:t>
      </w:r>
    </w:p>
    <w:p>
      <w:pPr>
        <w:pStyle w:val="19"/>
        <w:widowControl/>
      </w:pPr>
      <w:r>
        <w:rPr>
          <w:b w:val="0"/>
        </w:rPr>
        <w:t>LDPC码仅用于高速电文场景，作为卷积码基线方案的替换方案和性能对比方案。本项目建议采用5G NR LDPC的准循环结构思想，只针对300 bit高速电文进行整块短码长适配。考虑LDPC码长过短时性能优势下降，本方案不对300 bit高速电文进行LDPC分块编码，也不配置交织，而是通过LDPC自身校验矩阵结构和软判决迭代译码获得纠错增益。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87"/>
        <w:gridCol w:w="1020"/>
        <w:gridCol w:w="1020"/>
        <w:gridCol w:w="1020"/>
        <w:gridCol w:w="2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高速电文场景</w:t>
            </w:r>
          </w:p>
        </w:tc>
        <w:tc>
          <w:tcPr>
            <w:tcW w:w="1587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推荐LDPC码型</w:t>
            </w:r>
          </w:p>
        </w:tc>
        <w:tc>
          <w:tcPr>
            <w:tcW w:w="1020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信息位k</w:t>
            </w:r>
          </w:p>
        </w:tc>
        <w:tc>
          <w:tcPr>
            <w:tcW w:w="1020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码长n</w:t>
            </w:r>
          </w:p>
        </w:tc>
        <w:tc>
          <w:tcPr>
            <w:tcW w:w="1020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码率</w:t>
            </w:r>
          </w:p>
        </w:tc>
        <w:tc>
          <w:tcPr>
            <w:tcW w:w="272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 bit整块编码</w:t>
            </w:r>
          </w:p>
        </w:tc>
        <w:tc>
          <w:tcPr>
            <w:tcW w:w="158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5G NR LDPC短块适配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576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0.521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作为卷积码1/2方案的替换对比，适合高速电文整块编码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 bit较高码率</w:t>
            </w:r>
          </w:p>
        </w:tc>
        <w:tc>
          <w:tcPr>
            <w:tcW w:w="158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5G NR LDPC短块适配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480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0.625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作为卷积码2/3附近方案的替换对比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300 bit整块扩展对比</w:t>
            </w:r>
          </w:p>
        </w:tc>
        <w:tc>
          <w:tcPr>
            <w:tcW w:w="158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5G NR LDPC短块适配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≤640</w:t>
            </w:r>
          </w:p>
        </w:tc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可配置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仅作为整块短码长扩展对比，不进行LDPC分块</w:t>
            </w:r>
          </w:p>
        </w:tc>
      </w:tr>
    </w:tbl>
    <w:p/>
    <w:p>
      <w:pPr>
        <w:pStyle w:val="19"/>
        <w:widowControl/>
      </w:pPr>
      <w:r>
        <w:rPr>
          <w:b w:val="0"/>
        </w:rPr>
        <w:t>5G NR LDPC译码可采用置信传播BP算法或归一化最小和NMS算法，支持最大迭代次数10、20、30次配置，并支持校验方程满足后的提前停止。仿真中需同时统计平均译码时延和最大译码时延，避免只依据误码曲线判断工程可用性。</w:t>
      </w:r>
    </w:p>
    <w:p>
      <w:pPr>
        <w:pStyle w:val="19"/>
        <w:widowControl/>
      </w:pPr>
      <w:r>
        <w:rPr>
          <w:b w:val="0"/>
        </w:rPr>
        <w:t>5G NR LDPC编码算法采用BG2准循环校验矩阵进行短块适配。300 bit高速电文先进行必要的CRC或校验字段拼接，再通过填充/缩短方式适配选定提升因子Z和基图列数，形成系统位和校验位。编码过程按准循环矩阵的稀疏结构计算校验位，随后通过速率匹配得到目标码长，如480 bit、576 bit或不超过640 bit的整块扩展对比码长。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422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5G NR LDPC编码环节</w:t>
            </w:r>
          </w:p>
        </w:tc>
        <w:tc>
          <w:tcPr>
            <w:tcW w:w="4422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算法设计</w:t>
            </w:r>
          </w:p>
        </w:tc>
        <w:tc>
          <w:tcPr>
            <w:tcW w:w="2835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基图选择</w:t>
            </w:r>
          </w:p>
        </w:tc>
        <w:tc>
          <w:tcPr>
            <w:tcW w:w="44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采用5G NR LDPC BG2思路进行短块适配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适合较短信息块和中低码率场景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提升因子选择</w:t>
            </w:r>
          </w:p>
        </w:tc>
        <w:tc>
          <w:tcPr>
            <w:tcW w:w="44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根据信息长度和目标码长选择Z，并进行填充/缩短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适配300 bit整块输入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校验位生成</w:t>
            </w:r>
          </w:p>
        </w:tc>
        <w:tc>
          <w:tcPr>
            <w:tcW w:w="44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利用准循环稀疏校验矩阵计算校验位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降低编码复杂度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速率匹配</w:t>
            </w:r>
          </w:p>
        </w:tc>
        <w:tc>
          <w:tcPr>
            <w:tcW w:w="44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通过选择、缩短或打孔得到480/576/≤640 bit输出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满足高速电文对比仿真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参数记录</w:t>
            </w:r>
          </w:p>
        </w:tc>
        <w:tc>
          <w:tcPr>
            <w:tcW w:w="442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记录基图、Z、填充长度、速率匹配方式和输出码长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保证接收端一致译码</w:t>
            </w:r>
          </w:p>
        </w:tc>
      </w:tr>
    </w:tbl>
    <w:p/>
    <w:p>
      <w:pPr>
        <w:pStyle w:val="19"/>
        <w:widowControl/>
      </w:pPr>
      <w:r>
        <w:rPr>
          <w:b w:val="0"/>
        </w:rPr>
        <w:t>5G NR LDPC译码算法设置BP和NMS两类对比。BP译码基于校验节点和变量节点之间的置信消息迭代更新，性能作为基准；NMS译码以最小和算法为基础，引入归一化因子修正校验节点输出，降低乘加和非线性计算复杂度。两类算法均设置最大迭代次数和提前停止机制，当所有校验方程满足时提前输出译码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2721"/>
        <w:gridCol w:w="1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LDPC译码算法</w:t>
            </w:r>
          </w:p>
        </w:tc>
        <w:tc>
          <w:tcPr>
            <w:tcW w:w="3402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主要流程</w:t>
            </w:r>
          </w:p>
        </w:tc>
        <w:tc>
          <w:tcPr>
            <w:tcW w:w="272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关键参数</w:t>
            </w:r>
          </w:p>
        </w:tc>
        <w:tc>
          <w:tcPr>
            <w:tcW w:w="1247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对比指标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BP译码</w:t>
            </w:r>
          </w:p>
        </w:tc>
        <w:tc>
          <w:tcPr>
            <w:tcW w:w="34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变量节点和校验节点交换LLR消息，按置信传播规则迭代更新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最大迭代次数、LLR量化位宽、提前停止条件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FER、平均迭代次数、译码时延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NMS译码</w:t>
            </w:r>
          </w:p>
        </w:tc>
        <w:tc>
          <w:tcPr>
            <w:tcW w:w="3402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校验节点采用最小值近似并乘以归一化因子，降低复杂度</w:t>
            </w:r>
          </w:p>
        </w:tc>
        <w:tc>
          <w:tcPr>
            <w:tcW w:w="272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归一化因子、最大迭代次数、量化位宽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性能损失、复杂度下降、实时性</w:t>
            </w:r>
          </w:p>
        </w:tc>
      </w:tr>
    </w:tbl>
    <w:p/>
    <w:p>
      <w:pPr>
        <w:pStyle w:val="3"/>
      </w:pPr>
      <w:r>
        <w:t>7. 译码算法对比</w:t>
      </w:r>
    </w:p>
    <w:p>
      <w:pPr>
        <w:pStyle w:val="19"/>
        <w:widowControl/>
      </w:pPr>
      <w:r>
        <w:rPr>
          <w:b w:val="0"/>
        </w:rPr>
        <w:t>除编码码长和码率外，译码算法直接影响误码性能、计算复杂度和实时性。本方案分别设置BCH、卷积码和5G NR LDPC的译码算法对比，形成与编码方案相匹配的算法选型依据。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编码类型</w:t>
            </w:r>
          </w:p>
        </w:tc>
        <w:tc>
          <w:tcPr>
            <w:tcW w:w="2835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译码算法对比</w:t>
            </w:r>
          </w:p>
        </w:tc>
        <w:tc>
          <w:tcPr>
            <w:tcW w:w="4535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对比重点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BCH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BM代数译码、综合校验查表译码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BM算法适合较长BCH整块码，查表译码适合BCH(15,11,1)短分组；对比纠错能力、存储量和实现复杂度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卷积码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Viterbi硬判决、Viterbi软判决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硬判决实现简单，软判决性能更优；对比BER/FER、度量量化位宽、回溯深度和译码时延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5G NR LDPC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BP译码、NMS译码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BP性能基准较高，NMS复杂度较低；对比迭代次数、归一化因子、误帧率和平均/最大译码时延</w:t>
            </w:r>
          </w:p>
        </w:tc>
      </w:tr>
    </w:tbl>
    <w:p/>
    <w:p>
      <w:pPr>
        <w:pStyle w:val="3"/>
      </w:pPr>
      <w:r>
        <w:t>8. 交织抗突发错误影响测试</w:t>
      </w:r>
    </w:p>
    <w:p>
      <w:pPr>
        <w:pStyle w:val="19"/>
        <w:widowControl/>
      </w:pPr>
      <w:r>
        <w:rPr>
          <w:b w:val="0"/>
        </w:rPr>
        <w:t>交织作为独立测试项设置，不作为低速BCH、高速卷积码或5G NR LDPC编码方案的固定组成部分。其测试目标是量化块交织、行列交织、伪随机交织等方式在突发错误、多径深衰落、短时遮挡或信道突变条件下对误帧率和译码成功率的改善效果。5G NR LDPC方案不配置交织，仅作为无交织编码方案参与对比。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测试对象</w:t>
            </w:r>
          </w:p>
        </w:tc>
        <w:tc>
          <w:tcPr>
            <w:tcW w:w="2835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交织设置</w:t>
            </w:r>
          </w:p>
        </w:tc>
        <w:tc>
          <w:tcPr>
            <w:tcW w:w="3969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低速电文+BCH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无交织、块交织、行列交织、伪随机交织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评估不同交织深度和交织方式对低速电文突发错误容忍度的改善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高速电文+卷积码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无交织、短深度块交织、伪随机交织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评估交织对高速电文突发错误的改善，同时统计附加时延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高速电文+5G NR LDPC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不配置交织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作为高速电文替换方案，仅评估LDPC自身编码和迭代译码性能</w:t>
            </w:r>
          </w:p>
        </w:tc>
      </w:tr>
    </w:tbl>
    <w:p/>
    <w:p/>
    <w:p>
      <w:pPr>
        <w:pStyle w:val="3"/>
      </w:pPr>
      <w:r>
        <w:t>9. 三类编码综合对比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2381"/>
        <w:gridCol w:w="2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对比项</w:t>
            </w:r>
          </w:p>
        </w:tc>
        <w:tc>
          <w:tcPr>
            <w:tcW w:w="249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BCH</w:t>
            </w:r>
          </w:p>
        </w:tc>
        <w:tc>
          <w:tcPr>
            <w:tcW w:w="238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卷积码</w:t>
            </w:r>
          </w:p>
        </w:tc>
        <w:tc>
          <w:tcPr>
            <w:tcW w:w="249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LDPC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推荐定位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低速电文唯一编码类型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高速电文候选方案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高速电文候选方案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典型信息长度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200 bit、300 bit整块或分块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300 bit整块或按时隙分块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 bit整块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推荐码长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15/组、248、390、426等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约408至612等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480、576及≤640整块扩展对比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码率兼容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通过母码选择和缩短实现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通过打孔实现2/3、3/4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通过校验矩阵、缩短和打孔实现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译码方式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BM代数译码/查表译码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Viterbi硬判决/软判决，支持滑窗译码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BP/NMS软判决迭代译码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译码复杂度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中至高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译码时延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低至中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中至高，取决于迭代次数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弱信号条件下性能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较好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较优，但需评估迭代译码时延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工程成熟度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很高</w:t>
            </w:r>
          </w:p>
        </w:tc>
        <w:tc>
          <w:tcPr>
            <w:tcW w:w="249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高，但需短码优化</w:t>
            </w:r>
          </w:p>
        </w:tc>
      </w:tr>
    </w:tbl>
    <w:p/>
    <w:p>
      <w:pPr>
        <w:pStyle w:val="3"/>
      </w:pPr>
      <w:r>
        <w:t>10. 仿真场景设计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2665"/>
        <w:gridCol w:w="226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场景编号</w:t>
            </w:r>
          </w:p>
        </w:tc>
        <w:tc>
          <w:tcPr>
            <w:tcW w:w="1984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场景名称</w:t>
            </w:r>
          </w:p>
        </w:tc>
        <w:tc>
          <w:tcPr>
            <w:tcW w:w="2665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输入条件</w:t>
            </w:r>
          </w:p>
        </w:tc>
        <w:tc>
          <w:tcPr>
            <w:tcW w:w="2268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对比方案</w:t>
            </w:r>
          </w:p>
        </w:tc>
        <w:tc>
          <w:tcPr>
            <w:tcW w:w="170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输出指标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S1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低速电文BCH码长设计仿真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200 bit、300 bit低速电文；BCH(15,11,1)分块与整块BCH对比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BCH(15,11,1)、缩短BCH(255,207)、缩短BCH(511,421)、缩短BCH(511,385)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BER、FER、译码成功率、译码时延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S2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低速电文不同信道仿真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AWGN、多径、频偏、短时遮挡、突发错误信道；不引入其他编码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不同码长BCH方案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信道适应性、误帧率、突发错误敏感性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S3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高速电文卷积码码长设计仿真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300 bit高速电文；整块编码和按时隙比特长度分块；不同卷积码码率和滑窗译码参数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卷积码1/2、2/3、3/4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有效吞吐、BER、FER、滑窗译码时延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S4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高速电文5G NR LDPC码长设计仿真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300 bit高速电文整块编码；不同LDPC短块适配码长；不进行LDPC分块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5G NR LDPC(576,300)、5G NR LDPC(480,300)、≤640整块扩展对比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编码增益、误帧率、平均/最大译码时延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S5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高速电文不同信道对比仿真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AWGN、多径、频偏、多普勒、短时遮挡、突发错误信道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卷积码候选方案、5G NR LDPC候选方案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不同信道下的BER/FER、译码时延和鲁棒性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S6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译码算法对比仿真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固定码长和信道条件，分别替换译码算法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BCH: BM/查表；卷积码: 硬判决/软判决；LDPC: BP/NMS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BER、FER、译码复杂度、平均/最大译码时延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S7</w:t>
            </w:r>
          </w:p>
        </w:tc>
        <w:tc>
          <w:tcPr>
            <w:tcW w:w="1984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交织抗突发错误影响仿真</w:t>
            </w:r>
          </w:p>
        </w:tc>
        <w:tc>
          <w:tcPr>
            <w:tcW w:w="2665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固定BCH或卷积码方案，设置不同突发错误长度和交织深度；LDPC不配置交织，仅保留无交织基线对照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无交织、块交织、行列交织、伪随机交织、5G NR LDPC无交织基线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突发错误容限、FER改善、附加时延</w:t>
            </w:r>
          </w:p>
        </w:tc>
      </w:tr>
    </w:tbl>
    <w:p/>
    <w:p>
      <w:pPr>
        <w:pStyle w:val="19"/>
        <w:widowControl/>
      </w:pPr>
      <w:r>
        <w:rPr>
          <w:b w:val="0"/>
        </w:rPr>
        <w:t>仿真结果应以曲线和表格两种形式给出。曲线包括不同信道条件下的BER和FER曲线；表格包括编码后码长、有效码率、平均译码时延、最大译码时延、交织设置及推荐适用场景。交织结果单独汇总，不与基本编码性能混在同一结论中。</w:t>
      </w:r>
    </w:p>
    <w:p/>
    <w:p>
      <w:pPr>
        <w:spacing w:after="60" w:line="288" w:lineRule="auto"/>
        <w:ind w:left="420" w:hanging="198"/>
      </w:pPr>
    </w:p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宋体" w:hAnsi="宋体" w:eastAsia="宋体"/>
        <w:b w:val="0"/>
        <w:sz w:val="18"/>
      </w:rPr>
      <w:t>附件3  信道编码、交织与译码方案及仿真分析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NTBiNmY2YjNjZTZjNjA1OWUyNGExOWI5MGVkYj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2597D"/>
    <w:rsid w:val="3FD25680"/>
    <w:rsid w:val="45D67D64"/>
    <w:rsid w:val="5F892D61"/>
    <w:rsid w:val="640B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宋体" w:cs="Times New Roman"/>
      <w:b/>
      <w:color w:val="000000"/>
      <w:kern w:val="44"/>
      <w:sz w:val="32"/>
      <w:szCs w:val="44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widowControl w:val="0"/>
      <w:adjustRightInd w:val="0"/>
      <w:spacing w:before="100" w:after="100" w:line="360" w:lineRule="auto"/>
      <w:jc w:val="both"/>
      <w:outlineLvl w:val="1"/>
    </w:pPr>
    <w:rPr>
      <w:rFonts w:ascii="Times New Roman" w:hAnsi="Times New Roman" w:eastAsia="宋体" w:cs="Times New Roman"/>
      <w:b/>
      <w:kern w:val="2"/>
      <w:sz w:val="30"/>
      <w:szCs w:val="3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b/>
      <w:kern w:val="2"/>
      <w:sz w:val="44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58B01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1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b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5521</Words>
  <Characters>6697</Characters>
  <Lines>0</Lines>
  <Paragraphs>0</Paragraphs>
  <TotalTime>29</TotalTime>
  <ScaleCrop>false</ScaleCrop>
  <LinksUpToDate>false</LinksUpToDate>
  <CharactersWithSpaces>6845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骆彦安</cp:lastModifiedBy>
  <dcterms:modified xsi:type="dcterms:W3CDTF">2026-07-13T08:39:23Z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4C8C37F64D7F43D98B22247F6F7C4DDD_12</vt:lpwstr>
  </property>
</Properties>
</file>