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7.xml" ContentType="application/vnd.openxmlformats-officedocument.wordprocessingml.footer+xml"/>
  <Override PartName="/word/numbering.xml" ContentType="application/vnd.openxmlformats-officedocument.wordprocessingml.numbering+xml"/>
  <Override PartName="/word/header3.xml" ContentType="application/vnd.openxmlformats-officedocument.wordprocessingml.header+xml"/>
  <Override PartName="/word/footer6.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jpeg" ContentType="image/jpeg"/>
  <Override PartName="/word/fontTable.xml" ContentType="application/vnd.openxmlformats-officedocument.wordprocessingml.fontTa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rPr/>
      </w:pPr>
      <w:r>
        <w:rPr/>
      </w:r>
    </w:p>
    <w:p>
      <w:pPr>
        <w:pStyle w:val="Normal"/>
        <w:snapToGrid w:val="false"/>
        <w:rPr/>
      </w:pPr>
      <w:r>
        <w:rPr/>
      </w:r>
    </w:p>
    <w:p>
      <w:pPr>
        <w:pStyle w:val="Normal"/>
        <w:snapToGrid w:val="false"/>
        <w:rPr/>
      </w:pPr>
      <w:r>
        <w:rPr/>
      </w:r>
    </w:p>
    <w:p>
      <w:pPr>
        <w:pStyle w:val="Normal"/>
        <w:snapToGrid w:val="false"/>
        <w:jc w:val="center"/>
        <w:rPr>
          <w:sz w:val="48"/>
          <w:szCs w:val="48"/>
        </w:rPr>
      </w:pPr>
      <w:r>
        <w:rPr>
          <w:b/>
          <w:sz w:val="48"/>
          <w:szCs w:val="48"/>
        </w:rPr>
        <w:t>本科综合设计（论文）</w:t>
      </w:r>
    </w:p>
    <w:p>
      <w:pPr>
        <w:pStyle w:val="Normal"/>
        <w:snapToGrid w:val="false"/>
        <w:jc w:val="center"/>
        <w:rPr/>
      </w:pPr>
      <w:r>
        <w:rPr/>
      </w:r>
    </w:p>
    <w:p>
      <w:pPr>
        <w:pStyle w:val="Normal"/>
        <w:snapToGrid w:val="false"/>
        <w:jc w:val="center"/>
        <w:rPr/>
      </w:pPr>
      <w:r>
        <w:rPr/>
      </w:r>
    </w:p>
    <w:p>
      <w:pPr>
        <w:pStyle w:val="Normal"/>
        <w:spacing w:before="240" w:after="0"/>
        <w:jc w:val="center"/>
        <w:rPr>
          <w:rFonts w:ascii="黑体" w:hAnsi="黑体" w:eastAsia="黑体"/>
          <w:sz w:val="44"/>
          <w:szCs w:val="44"/>
        </w:rPr>
      </w:pPr>
      <w:r>
        <w:rPr>
          <w:rFonts w:ascii="黑体" w:hAnsi="黑体" w:eastAsia="黑体"/>
          <w:sz w:val="44"/>
          <w:szCs w:val="44"/>
        </w:rPr>
        <w:t>强化学习驱动的闭环航拍图像识别方法</w:t>
      </w:r>
    </w:p>
    <w:p>
      <w:pPr>
        <w:pStyle w:val="Normal"/>
        <w:spacing w:before="240" w:after="0"/>
        <w:jc w:val="center"/>
        <w:rPr>
          <w:rFonts w:ascii="黑体" w:hAnsi="黑体" w:eastAsia="黑体"/>
          <w:sz w:val="44"/>
          <w:szCs w:val="44"/>
        </w:rPr>
      </w:pPr>
      <w:r>
        <w:rPr>
          <w:rFonts w:eastAsia="黑体" w:ascii="黑体" w:hAnsi="黑体"/>
          <w:sz w:val="44"/>
          <w:szCs w:val="44"/>
        </w:rPr>
      </w:r>
    </w:p>
    <w:p>
      <w:pPr>
        <w:pStyle w:val="Normal"/>
        <w:snapToGrid w:val="false"/>
        <w:jc w:val="center"/>
        <w:rPr/>
      </w:pPr>
      <w:r>
        <w:rPr/>
      </w:r>
    </w:p>
    <w:p>
      <w:pPr>
        <w:pStyle w:val="Normal"/>
        <w:snapToGrid w:val="false"/>
        <w:jc w:val="center"/>
        <w:rPr/>
      </w:pPr>
      <w:r>
        <w:rPr/>
      </w:r>
    </w:p>
    <w:p>
      <w:pPr>
        <w:pStyle w:val="Normal"/>
        <w:snapToGrid w:val="false"/>
        <w:spacing w:lineRule="auto" w:line="300" w:before="240" w:after="0"/>
        <w:jc w:val="center"/>
        <w:rPr>
          <w:rFonts w:eastAsia="黑体"/>
          <w:b/>
          <w:b/>
          <w:sz w:val="36"/>
          <w:szCs w:val="36"/>
        </w:rPr>
      </w:pPr>
      <w:r>
        <w:rPr>
          <w:rFonts w:eastAsia="黑体"/>
          <w:b/>
          <w:sz w:val="36"/>
          <w:szCs w:val="36"/>
        </w:rPr>
        <w:t>Reinforcement Learning-Driven Closed-Loop Aerial Image Recognition Method</w:t>
      </w:r>
    </w:p>
    <w:p>
      <w:pPr>
        <w:pStyle w:val="Normal"/>
        <w:snapToGrid w:val="false"/>
        <w:spacing w:lineRule="auto" w:line="300" w:before="240" w:after="0"/>
        <w:jc w:val="center"/>
        <w:rPr>
          <w:rFonts w:eastAsia="黑体"/>
          <w:b/>
          <w:b/>
          <w:sz w:val="36"/>
          <w:szCs w:val="36"/>
        </w:rPr>
      </w:pPr>
      <w:r>
        <w:rPr>
          <w:rFonts w:eastAsia="黑体"/>
          <w:b/>
          <w:sz w:val="36"/>
          <w:szCs w:val="36"/>
        </w:rPr>
      </w:r>
    </w:p>
    <w:p>
      <w:pPr>
        <w:pStyle w:val="Normal"/>
        <w:snapToGrid w:val="false"/>
        <w:spacing w:lineRule="auto" w:line="300" w:before="240" w:after="0"/>
        <w:jc w:val="center"/>
        <w:rPr>
          <w:rFonts w:eastAsia="黑体"/>
          <w:b/>
          <w:b/>
          <w:sz w:val="36"/>
          <w:szCs w:val="36"/>
        </w:rPr>
      </w:pPr>
      <w:r>
        <w:rPr>
          <w:rFonts w:eastAsia="黑体"/>
          <w:b/>
          <w:sz w:val="36"/>
          <w:szCs w:val="36"/>
        </w:rPr>
      </w:r>
    </w:p>
    <w:p>
      <w:pPr>
        <w:pStyle w:val="Normal"/>
        <w:snapToGrid w:val="false"/>
        <w:jc w:val="center"/>
        <w:rPr/>
      </w:pPr>
      <w:r>
        <w:rPr/>
      </w:r>
    </w:p>
    <w:p>
      <w:pPr>
        <w:pStyle w:val="Normal"/>
        <w:snapToGrid w:val="false"/>
        <w:jc w:val="center"/>
        <w:rPr/>
      </w:pPr>
      <w:r>
        <w:rPr/>
      </w:r>
    </w:p>
    <w:p>
      <w:pPr>
        <w:pStyle w:val="Normal"/>
        <w:snapToGrid w:val="false"/>
        <w:jc w:val="center"/>
        <w:rPr/>
      </w:pPr>
      <w:r>
        <w:rPr/>
      </w:r>
    </w:p>
    <w:p>
      <w:pPr>
        <w:pStyle w:val="Normal"/>
        <w:snapToGrid w:val="false"/>
        <w:spacing w:lineRule="auto" w:line="300"/>
        <w:jc w:val="center"/>
        <w:rPr>
          <w:rFonts w:ascii="宋体" w:hAnsi="宋体"/>
          <w:b/>
          <w:b/>
          <w:sz w:val="44"/>
          <w:szCs w:val="44"/>
        </w:rPr>
      </w:pPr>
      <w:r>
        <w:rPr>
          <w:rFonts w:ascii="宋体" w:hAnsi="宋体"/>
          <w:b/>
          <w:sz w:val="44"/>
          <w:szCs w:val="44"/>
        </w:rPr>
      </w:r>
    </w:p>
    <w:p>
      <w:pPr>
        <w:pStyle w:val="Normal"/>
        <w:snapToGrid w:val="false"/>
        <w:jc w:val="center"/>
        <w:rPr>
          <w:rFonts w:ascii="宋体" w:hAnsi="宋体"/>
          <w:b/>
          <w:b/>
          <w:sz w:val="36"/>
          <w:szCs w:val="36"/>
        </w:rPr>
      </w:pPr>
      <w:r>
        <w:rPr>
          <w:rFonts w:ascii="宋体" w:hAnsi="宋体"/>
          <w:b/>
          <w:sz w:val="36"/>
          <w:szCs w:val="36"/>
        </w:rPr>
        <w:t>王哲</w:t>
      </w:r>
    </w:p>
    <w:p>
      <w:pPr>
        <w:pStyle w:val="Normal"/>
        <w:snapToGrid w:val="false"/>
        <w:jc w:val="center"/>
        <w:rPr/>
      </w:pPr>
      <w:r>
        <w:rPr/>
      </w:r>
    </w:p>
    <w:p>
      <w:pPr>
        <w:pStyle w:val="Normal"/>
        <w:snapToGrid w:val="false"/>
        <w:jc w:val="center"/>
        <w:rPr/>
      </w:pPr>
      <w:r>
        <w:rPr/>
      </w:r>
    </w:p>
    <w:p>
      <w:pPr>
        <w:pStyle w:val="Normal"/>
        <w:snapToGrid w:val="false"/>
        <w:spacing w:lineRule="auto" w:line="300"/>
        <w:rPr>
          <w:rFonts w:eastAsia="黑体"/>
          <w:b/>
          <w:b/>
          <w:sz w:val="36"/>
          <w:szCs w:val="36"/>
        </w:rPr>
      </w:pPr>
      <w:r>
        <w:rPr>
          <w:rFonts w:eastAsia="黑体"/>
          <w:b/>
          <w:sz w:val="36"/>
          <w:szCs w:val="36"/>
        </w:rPr>
      </w:r>
    </w:p>
    <w:p>
      <w:pPr>
        <w:pStyle w:val="Normal"/>
        <w:snapToGrid w:val="false"/>
        <w:rPr/>
      </w:pPr>
      <w:r>
        <w:rPr/>
      </w:r>
    </w:p>
    <w:p>
      <w:pPr>
        <w:pStyle w:val="Normal"/>
        <w:snapToGrid w:val="false"/>
        <w:rPr/>
      </w:pPr>
      <w:r>
        <w:rPr/>
      </w:r>
    </w:p>
    <w:p>
      <w:pPr>
        <w:pStyle w:val="Normal"/>
        <w:snapToGrid w:val="false"/>
        <w:rPr/>
      </w:pPr>
      <w:r>
        <w:rPr/>
      </w:r>
    </w:p>
    <w:p>
      <w:pPr>
        <w:pStyle w:val="Normal"/>
        <w:snapToGrid w:val="false"/>
        <w:rPr/>
      </w:pPr>
      <w:r>
        <w:rPr/>
      </w:r>
    </w:p>
    <w:p>
      <w:pPr>
        <w:pStyle w:val="Normal"/>
        <w:snapToGrid w:val="false"/>
        <w:rPr/>
      </w:pPr>
      <w:r>
        <w:rPr/>
      </w:r>
    </w:p>
    <w:p>
      <w:pPr>
        <w:pStyle w:val="Normal"/>
        <w:snapToGrid w:val="false"/>
        <w:rPr/>
      </w:pPr>
      <w:r>
        <w:rPr/>
      </w:r>
    </w:p>
    <w:p>
      <w:pPr>
        <w:pStyle w:val="Normal"/>
        <w:snapToGrid w:val="false"/>
        <w:spacing w:lineRule="auto" w:line="324"/>
        <w:jc w:val="center"/>
        <w:rPr/>
      </w:pPr>
      <w:r>
        <w:rPr>
          <w:rFonts w:ascii="楷体" w:hAnsi="楷体" w:eastAsia="楷体"/>
          <w:b/>
          <w:sz w:val="36"/>
          <w:szCs w:val="36"/>
        </w:rPr>
        <w:t>哈尔滨工业大学</w:t>
      </w:r>
    </w:p>
    <w:p>
      <w:pPr>
        <w:pStyle w:val="Normal"/>
        <w:snapToGrid w:val="false"/>
        <w:jc w:val="center"/>
        <w:rPr>
          <w:b/>
          <w:b/>
          <w:sz w:val="36"/>
          <w:szCs w:val="36"/>
        </w:rPr>
      </w:pPr>
      <w:r>
        <w:rPr>
          <w:b/>
          <w:sz w:val="36"/>
          <w:szCs w:val="36"/>
        </w:rPr>
        <w:t>2025</w:t>
      </w:r>
      <w:r>
        <w:rPr>
          <w:b/>
          <w:sz w:val="36"/>
          <w:szCs w:val="36"/>
        </w:rPr>
        <w:t>年</w:t>
      </w:r>
      <w:r>
        <w:rPr>
          <w:b/>
          <w:sz w:val="36"/>
          <w:szCs w:val="36"/>
        </w:rPr>
        <w:t>8</w:t>
      </w:r>
      <w:r>
        <w:rPr>
          <w:b/>
          <w:sz w:val="36"/>
          <w:szCs w:val="36"/>
        </w:rPr>
        <w:t>月</w:t>
      </w:r>
      <w:r>
        <w:br w:type="page"/>
      </w:r>
    </w:p>
    <w:p>
      <w:pPr>
        <w:pStyle w:val="Normal"/>
        <w:snapToGrid w:val="false"/>
        <w:jc w:val="left"/>
        <w:rPr/>
      </w:pPr>
      <w:r>
        <w:rPr>
          <w:rFonts w:eastAsia="Wingdings 2" w:cs="Wingdings 2" w:ascii="Wingdings 2" w:hAnsi="Wingdings 2"/>
        </w:rPr>
        <w:t>R</w:t>
      </w:r>
      <w:r>
        <w:rPr/>
        <w:t>毕业论文</w:t>
      </w:r>
      <w:r>
        <w:rPr>
          <w:rFonts w:eastAsia="Wingdings 2" w:cs="Wingdings 2" w:ascii="Wingdings 2" w:hAnsi="Wingdings 2"/>
        </w:rPr>
        <w:t>£</w:t>
      </w:r>
      <w:r>
        <w:rPr/>
        <w:t>毕业设计                                       密级：公开</w:t>
      </w:r>
    </w:p>
    <w:p>
      <w:pPr>
        <w:pStyle w:val="Normal"/>
        <w:snapToGrid w:val="false"/>
        <w:jc w:val="center"/>
        <w:rPr/>
      </w:pPr>
      <w:r>
        <w:rPr/>
      </w:r>
    </w:p>
    <w:p>
      <w:pPr>
        <w:pStyle w:val="Normal"/>
        <w:rPr/>
      </w:pPr>
      <w:r>
        <w:rPr/>
      </w:r>
    </w:p>
    <w:p>
      <w:pPr>
        <w:pStyle w:val="Normal"/>
        <w:rPr/>
      </w:pPr>
      <w:r>
        <w:rPr/>
      </w:r>
    </w:p>
    <w:p>
      <w:pPr>
        <w:pStyle w:val="Normal"/>
        <w:snapToGrid w:val="false"/>
        <w:jc w:val="center"/>
        <w:rPr>
          <w:sz w:val="36"/>
        </w:rPr>
      </w:pPr>
      <w:r>
        <w:rPr>
          <w:b/>
          <w:sz w:val="36"/>
        </w:rPr>
        <w:t>本科综合设计（论文）</w:t>
      </w:r>
    </w:p>
    <w:p>
      <w:pPr>
        <w:pStyle w:val="Normal"/>
        <w:jc w:val="center"/>
        <w:rPr/>
      </w:pPr>
      <w:r>
        <w:rPr/>
      </w:r>
    </w:p>
    <w:p>
      <w:pPr>
        <w:pStyle w:val="Normal"/>
        <w:jc w:val="center"/>
        <w:rPr/>
      </w:pPr>
      <w:r>
        <w:rPr/>
      </w:r>
    </w:p>
    <w:p>
      <w:pPr>
        <w:pStyle w:val="Normal"/>
        <w:jc w:val="center"/>
        <w:rPr>
          <w:rFonts w:ascii="黑体" w:hAnsi="黑体" w:eastAsia="黑体"/>
          <w:sz w:val="44"/>
          <w:szCs w:val="44"/>
        </w:rPr>
      </w:pPr>
      <w:r>
        <w:rPr>
          <w:rFonts w:ascii="黑体" w:hAnsi="黑体" w:eastAsia="黑体"/>
          <w:sz w:val="44"/>
          <w:szCs w:val="44"/>
        </w:rPr>
        <w:t>强化学习驱动的闭环航拍图像识别方法</w:t>
      </w:r>
    </w:p>
    <w:p>
      <w:pPr>
        <w:pStyle w:val="Normal"/>
        <w:jc w:val="center"/>
        <w:rPr/>
      </w:pPr>
      <w:r>
        <w:rPr/>
      </w:r>
    </w:p>
    <w:p>
      <w:pPr>
        <w:pStyle w:val="Normal"/>
        <w:jc w:val="center"/>
        <w:rPr/>
      </w:pPr>
      <w:r>
        <w:rPr/>
      </w:r>
    </w:p>
    <w:p>
      <w:pPr>
        <w:pStyle w:val="Normal"/>
        <w:spacing w:lineRule="exact" w:line="780"/>
        <w:jc w:val="center"/>
        <w:rPr>
          <w:rFonts w:ascii="黑体" w:hAnsi="黑体" w:eastAsia="黑体"/>
          <w:sz w:val="44"/>
        </w:rPr>
      </w:pPr>
      <w:r>
        <w:rPr>
          <w:rFonts w:eastAsia="黑体" w:ascii="黑体" w:hAnsi="黑体"/>
          <w:sz w:val="44"/>
        </w:rPr>
      </w:r>
    </w:p>
    <w:p>
      <w:pPr>
        <w:pStyle w:val="Normal"/>
        <w:spacing w:lineRule="exact" w:line="780"/>
        <w:jc w:val="center"/>
        <w:rPr>
          <w:rFonts w:ascii="黑体" w:hAnsi="黑体" w:eastAsia="黑体"/>
          <w:sz w:val="44"/>
        </w:rPr>
      </w:pPr>
      <w:r>
        <w:rPr>
          <w:rFonts w:eastAsia="黑体" w:ascii="黑体" w:hAnsi="黑体"/>
          <w:sz w:val="44"/>
        </w:rPr>
      </w:r>
    </w:p>
    <w:p>
      <w:pPr>
        <w:pStyle w:val="Normal"/>
        <w:spacing w:lineRule="exact" w:line="780"/>
        <w:jc w:val="center"/>
        <w:rPr>
          <w:rFonts w:ascii="黑体" w:hAnsi="黑体" w:eastAsia="黑体"/>
        </w:rPr>
      </w:pPr>
      <w:r>
        <w:rPr>
          <w:rFonts w:eastAsia="黑体" w:ascii="黑体" w:hAnsi="黑体"/>
        </w:rPr>
      </w:r>
    </w:p>
    <w:tbl>
      <w:tblPr>
        <w:tblStyle w:val="14"/>
        <w:tblW w:w="6287" w:type="dxa"/>
        <w:jc w:val="center"/>
        <w:tblInd w:w="0" w:type="dxa"/>
        <w:tblLayout w:type="fixed"/>
        <w:tblCellMar>
          <w:top w:w="0" w:type="dxa"/>
          <w:left w:w="0" w:type="dxa"/>
          <w:bottom w:w="0" w:type="dxa"/>
          <w:right w:w="0" w:type="dxa"/>
        </w:tblCellMar>
      </w:tblPr>
      <w:tblGrid>
        <w:gridCol w:w="1806"/>
        <w:gridCol w:w="300"/>
        <w:gridCol w:w="4181"/>
      </w:tblGrid>
      <w:tr>
        <w:trPr>
          <w:trHeight w:val="540" w:hRule="atLeast"/>
          <w:cantSplit w:val="true"/>
        </w:trPr>
        <w:tc>
          <w:tcPr>
            <w:tcW w:w="1806" w:type="dxa"/>
            <w:tcBorders/>
          </w:tcPr>
          <w:p>
            <w:pPr>
              <w:pStyle w:val="Normal"/>
              <w:widowControl w:val="false"/>
              <w:spacing w:lineRule="auto" w:line="360" w:before="0" w:after="0"/>
              <w:jc w:val="distribute"/>
              <w:rPr>
                <w:rFonts w:ascii="黑体" w:hAnsi="黑体" w:eastAsia="黑体"/>
                <w:sz w:val="28"/>
              </w:rPr>
            </w:pPr>
            <w:r>
              <w:rPr>
                <w:rFonts w:ascii="黑体" w:hAnsi="黑体" w:eastAsia="黑体"/>
                <w:kern w:val="0"/>
                <w:sz w:val="28"/>
              </w:rPr>
              <w:t>本科生</w:t>
            </w:r>
          </w:p>
        </w:tc>
        <w:tc>
          <w:tcPr>
            <w:tcW w:w="300" w:type="dxa"/>
            <w:tcBorders/>
          </w:tcPr>
          <w:p>
            <w:pPr>
              <w:pStyle w:val="Normal"/>
              <w:widowControl w:val="false"/>
              <w:spacing w:lineRule="auto" w:line="360" w:before="0" w:after="0"/>
              <w:rPr>
                <w:rFonts w:ascii="宋体" w:hAnsi="宋体"/>
                <w:sz w:val="28"/>
              </w:rPr>
            </w:pPr>
            <w:r>
              <w:rPr>
                <w:rFonts w:ascii="宋体" w:hAnsi="宋体"/>
                <w:sz w:val="28"/>
              </w:rPr>
              <w:t>：</w:t>
            </w:r>
          </w:p>
        </w:tc>
        <w:tc>
          <w:tcPr>
            <w:tcW w:w="4181" w:type="dxa"/>
            <w:tcBorders/>
          </w:tcPr>
          <w:p>
            <w:pPr>
              <w:pStyle w:val="Normal"/>
              <w:widowControl w:val="false"/>
              <w:spacing w:lineRule="auto" w:line="360" w:before="0" w:after="0"/>
              <w:rPr>
                <w:rFonts w:ascii="宋体" w:hAnsi="宋体"/>
                <w:sz w:val="28"/>
              </w:rPr>
            </w:pPr>
            <w:r>
              <w:rPr>
                <w:rFonts w:ascii="宋体" w:hAnsi="宋体"/>
                <w:sz w:val="28"/>
              </w:rPr>
              <w:t>王哲</w:t>
            </w:r>
          </w:p>
        </w:tc>
      </w:tr>
      <w:tr>
        <w:trPr>
          <w:trHeight w:val="540" w:hRule="atLeast"/>
          <w:cantSplit w:val="true"/>
        </w:trPr>
        <w:tc>
          <w:tcPr>
            <w:tcW w:w="1806" w:type="dxa"/>
            <w:tcBorders/>
          </w:tcPr>
          <w:p>
            <w:pPr>
              <w:pStyle w:val="Normal"/>
              <w:widowControl w:val="false"/>
              <w:spacing w:lineRule="auto" w:line="360" w:before="0" w:after="0"/>
              <w:jc w:val="distribute"/>
              <w:rPr>
                <w:rFonts w:ascii="黑体" w:hAnsi="黑体" w:eastAsia="黑体"/>
                <w:sz w:val="28"/>
              </w:rPr>
            </w:pPr>
            <w:r>
              <w:rPr>
                <w:rFonts w:ascii="黑体" w:hAnsi="黑体" w:eastAsia="黑体"/>
                <w:sz w:val="28"/>
              </w:rPr>
              <w:t>学号</w:t>
            </w:r>
          </w:p>
        </w:tc>
        <w:tc>
          <w:tcPr>
            <w:tcW w:w="300" w:type="dxa"/>
            <w:tcBorders/>
          </w:tcPr>
          <w:p>
            <w:pPr>
              <w:pStyle w:val="Normal"/>
              <w:widowControl w:val="false"/>
              <w:spacing w:lineRule="auto" w:line="360" w:before="0" w:after="0"/>
              <w:rPr>
                <w:rFonts w:ascii="宋体" w:hAnsi="宋体"/>
                <w:sz w:val="28"/>
              </w:rPr>
            </w:pPr>
            <w:r>
              <w:rPr>
                <w:rFonts w:ascii="宋体" w:hAnsi="宋体"/>
                <w:sz w:val="28"/>
              </w:rPr>
              <w:t>：</w:t>
            </w:r>
          </w:p>
        </w:tc>
        <w:tc>
          <w:tcPr>
            <w:tcW w:w="4181" w:type="dxa"/>
            <w:tcBorders/>
          </w:tcPr>
          <w:p>
            <w:pPr>
              <w:pStyle w:val="Normal"/>
              <w:widowControl w:val="false"/>
              <w:spacing w:lineRule="auto" w:line="360" w:before="0" w:after="0"/>
              <w:rPr>
                <w:rFonts w:ascii="宋体" w:hAnsi="宋体"/>
                <w:sz w:val="28"/>
              </w:rPr>
            </w:pPr>
            <w:r>
              <w:rPr>
                <w:rFonts w:ascii="宋体" w:hAnsi="宋体"/>
                <w:sz w:val="28"/>
              </w:rPr>
              <w:t>2023112149</w:t>
            </w:r>
          </w:p>
        </w:tc>
      </w:tr>
      <w:tr>
        <w:trPr>
          <w:trHeight w:val="540" w:hRule="atLeast"/>
          <w:cantSplit w:val="true"/>
        </w:trPr>
        <w:tc>
          <w:tcPr>
            <w:tcW w:w="1806" w:type="dxa"/>
            <w:tcBorders/>
          </w:tcPr>
          <w:p>
            <w:pPr>
              <w:pStyle w:val="Normal"/>
              <w:widowControl w:val="false"/>
              <w:spacing w:lineRule="auto" w:line="360" w:before="0" w:after="0"/>
              <w:jc w:val="distribute"/>
              <w:rPr>
                <w:rFonts w:ascii="黑体" w:hAnsi="黑体" w:eastAsia="黑体"/>
                <w:sz w:val="28"/>
              </w:rPr>
            </w:pPr>
            <w:r>
              <w:rPr>
                <w:rFonts w:ascii="黑体" w:hAnsi="黑体" w:eastAsia="黑体"/>
                <w:sz w:val="28"/>
              </w:rPr>
              <w:t>指导教师</w:t>
            </w:r>
          </w:p>
        </w:tc>
        <w:tc>
          <w:tcPr>
            <w:tcW w:w="300" w:type="dxa"/>
            <w:tcBorders/>
          </w:tcPr>
          <w:p>
            <w:pPr>
              <w:pStyle w:val="Normal"/>
              <w:widowControl w:val="false"/>
              <w:spacing w:lineRule="auto" w:line="360" w:before="0" w:after="0"/>
              <w:rPr>
                <w:rFonts w:ascii="宋体" w:hAnsi="宋体"/>
                <w:sz w:val="28"/>
              </w:rPr>
            </w:pPr>
            <w:r>
              <w:rPr>
                <w:rFonts w:ascii="宋体" w:hAnsi="宋体"/>
                <w:sz w:val="28"/>
              </w:rPr>
              <w:t>：</w:t>
            </w:r>
          </w:p>
        </w:tc>
        <w:tc>
          <w:tcPr>
            <w:tcW w:w="4181" w:type="dxa"/>
            <w:tcBorders/>
          </w:tcPr>
          <w:p>
            <w:pPr>
              <w:pStyle w:val="Normal"/>
              <w:widowControl w:val="false"/>
              <w:spacing w:lineRule="auto" w:line="360" w:before="0" w:after="0"/>
              <w:rPr>
                <w:rFonts w:ascii="宋体" w:hAnsi="宋体"/>
                <w:sz w:val="28"/>
              </w:rPr>
            </w:pPr>
            <w:r>
              <w:rPr>
                <w:rFonts w:ascii="宋体" w:hAnsi="宋体"/>
                <w:sz w:val="28"/>
              </w:rPr>
              <w:t>王耀威教授</w:t>
            </w:r>
          </w:p>
        </w:tc>
      </w:tr>
      <w:tr>
        <w:trPr>
          <w:trHeight w:val="540" w:hRule="atLeast"/>
          <w:cantSplit w:val="true"/>
        </w:trPr>
        <w:tc>
          <w:tcPr>
            <w:tcW w:w="1806" w:type="dxa"/>
            <w:tcBorders/>
          </w:tcPr>
          <w:p>
            <w:pPr>
              <w:pStyle w:val="Normal"/>
              <w:widowControl w:val="false"/>
              <w:spacing w:lineRule="auto" w:line="360" w:before="0" w:after="0"/>
              <w:jc w:val="distribute"/>
              <w:rPr>
                <w:rFonts w:ascii="黑体" w:hAnsi="黑体" w:eastAsia="黑体"/>
                <w:sz w:val="28"/>
              </w:rPr>
            </w:pPr>
            <w:r>
              <w:rPr>
                <w:rFonts w:ascii="黑体" w:hAnsi="黑体" w:eastAsia="黑体"/>
                <w:kern w:val="0"/>
                <w:sz w:val="28"/>
              </w:rPr>
              <w:t>专业</w:t>
            </w:r>
          </w:p>
        </w:tc>
        <w:tc>
          <w:tcPr>
            <w:tcW w:w="300" w:type="dxa"/>
            <w:tcBorders/>
          </w:tcPr>
          <w:p>
            <w:pPr>
              <w:pStyle w:val="Normal"/>
              <w:widowControl w:val="false"/>
              <w:spacing w:lineRule="auto" w:line="360" w:before="0" w:after="0"/>
              <w:rPr>
                <w:rFonts w:ascii="宋体" w:hAnsi="宋体"/>
                <w:sz w:val="28"/>
              </w:rPr>
            </w:pPr>
            <w:r>
              <w:rPr>
                <w:rFonts w:ascii="宋体" w:hAnsi="宋体"/>
                <w:sz w:val="28"/>
              </w:rPr>
              <w:t>：</w:t>
            </w:r>
          </w:p>
        </w:tc>
        <w:tc>
          <w:tcPr>
            <w:tcW w:w="4181" w:type="dxa"/>
            <w:tcBorders/>
          </w:tcPr>
          <w:p>
            <w:pPr>
              <w:pStyle w:val="Normal"/>
              <w:widowControl w:val="false"/>
              <w:spacing w:lineRule="auto" w:line="360" w:before="0" w:after="0"/>
              <w:rPr>
                <w:rFonts w:ascii="宋体" w:hAnsi="宋体"/>
                <w:sz w:val="28"/>
              </w:rPr>
            </w:pPr>
            <w:r>
              <w:rPr>
                <w:rFonts w:ascii="宋体" w:hAnsi="宋体"/>
                <w:sz w:val="28"/>
              </w:rPr>
              <w:t>23</w:t>
            </w:r>
            <w:r>
              <w:rPr>
                <w:rFonts w:ascii="宋体" w:hAnsi="宋体"/>
                <w:sz w:val="28"/>
              </w:rPr>
              <w:t>级人工智能班</w:t>
            </w:r>
          </w:p>
        </w:tc>
      </w:tr>
      <w:tr>
        <w:trPr>
          <w:trHeight w:val="540" w:hRule="atLeast"/>
          <w:cantSplit w:val="true"/>
        </w:trPr>
        <w:tc>
          <w:tcPr>
            <w:tcW w:w="1806" w:type="dxa"/>
            <w:tcBorders/>
          </w:tcPr>
          <w:p>
            <w:pPr>
              <w:pStyle w:val="Normal"/>
              <w:widowControl w:val="false"/>
              <w:spacing w:lineRule="auto" w:line="360" w:before="0" w:after="0"/>
              <w:jc w:val="distribute"/>
              <w:rPr>
                <w:rFonts w:ascii="黑体" w:hAnsi="黑体" w:eastAsia="黑体"/>
                <w:sz w:val="28"/>
              </w:rPr>
            </w:pPr>
            <w:r>
              <w:rPr>
                <w:rFonts w:ascii="黑体" w:hAnsi="黑体" w:eastAsia="黑体"/>
                <w:kern w:val="0"/>
                <w:sz w:val="28"/>
              </w:rPr>
              <w:t>学院</w:t>
            </w:r>
          </w:p>
        </w:tc>
        <w:tc>
          <w:tcPr>
            <w:tcW w:w="300" w:type="dxa"/>
            <w:tcBorders/>
          </w:tcPr>
          <w:p>
            <w:pPr>
              <w:pStyle w:val="Normal"/>
              <w:widowControl w:val="false"/>
              <w:spacing w:lineRule="auto" w:line="360" w:before="0" w:after="0"/>
              <w:rPr>
                <w:rFonts w:ascii="宋体" w:hAnsi="宋体"/>
                <w:sz w:val="28"/>
              </w:rPr>
            </w:pPr>
            <w:r>
              <w:rPr>
                <w:rFonts w:ascii="宋体" w:hAnsi="宋体"/>
                <w:sz w:val="28"/>
              </w:rPr>
              <w:t>：</w:t>
            </w:r>
          </w:p>
        </w:tc>
        <w:tc>
          <w:tcPr>
            <w:tcW w:w="4181" w:type="dxa"/>
            <w:tcBorders/>
          </w:tcPr>
          <w:p>
            <w:pPr>
              <w:pStyle w:val="Normal"/>
              <w:widowControl w:val="false"/>
              <w:spacing w:lineRule="auto" w:line="360" w:before="0" w:after="0"/>
              <w:rPr>
                <w:rFonts w:ascii="宋体" w:hAnsi="宋体"/>
                <w:sz w:val="28"/>
              </w:rPr>
            </w:pPr>
            <w:r>
              <w:rPr>
                <w:rFonts w:ascii="宋体" w:hAnsi="宋体"/>
                <w:sz w:val="28"/>
              </w:rPr>
              <w:t>未来技术学院</w:t>
            </w:r>
          </w:p>
        </w:tc>
      </w:tr>
      <w:tr>
        <w:trPr>
          <w:trHeight w:val="540" w:hRule="atLeast"/>
          <w:cantSplit w:val="true"/>
        </w:trPr>
        <w:tc>
          <w:tcPr>
            <w:tcW w:w="1806" w:type="dxa"/>
            <w:tcBorders/>
          </w:tcPr>
          <w:p>
            <w:pPr>
              <w:pStyle w:val="Normal"/>
              <w:widowControl w:val="false"/>
              <w:spacing w:lineRule="auto" w:line="360" w:before="0" w:after="0"/>
              <w:jc w:val="distribute"/>
              <w:rPr>
                <w:rFonts w:ascii="黑体" w:hAnsi="黑体" w:eastAsia="黑体"/>
                <w:sz w:val="28"/>
              </w:rPr>
            </w:pPr>
            <w:r>
              <w:rPr>
                <w:rFonts w:ascii="黑体" w:hAnsi="黑体" w:eastAsia="黑体"/>
                <w:kern w:val="0"/>
                <w:sz w:val="28"/>
              </w:rPr>
              <w:t>答辩日期</w:t>
            </w:r>
          </w:p>
        </w:tc>
        <w:tc>
          <w:tcPr>
            <w:tcW w:w="300" w:type="dxa"/>
            <w:tcBorders/>
          </w:tcPr>
          <w:p>
            <w:pPr>
              <w:pStyle w:val="Normal"/>
              <w:widowControl w:val="false"/>
              <w:spacing w:lineRule="auto" w:line="360" w:before="0" w:after="0"/>
              <w:rPr>
                <w:rFonts w:ascii="宋体" w:hAnsi="宋体"/>
                <w:sz w:val="28"/>
              </w:rPr>
            </w:pPr>
            <w:r>
              <w:rPr>
                <w:rFonts w:ascii="宋体" w:hAnsi="宋体"/>
                <w:sz w:val="28"/>
              </w:rPr>
              <w:t>：</w:t>
            </w:r>
          </w:p>
        </w:tc>
        <w:tc>
          <w:tcPr>
            <w:tcW w:w="4181" w:type="dxa"/>
            <w:tcBorders/>
          </w:tcPr>
          <w:p>
            <w:pPr>
              <w:pStyle w:val="Normal"/>
              <w:widowControl w:val="false"/>
              <w:spacing w:lineRule="auto" w:line="360" w:before="0" w:after="0"/>
              <w:rPr>
                <w:rFonts w:ascii="宋体" w:hAnsi="宋体"/>
                <w:sz w:val="28"/>
              </w:rPr>
            </w:pPr>
            <w:r>
              <w:rPr>
                <w:sz w:val="28"/>
              </w:rPr>
              <w:t>2026</w:t>
            </w:r>
            <w:r>
              <w:rPr>
                <w:rFonts w:ascii="宋体" w:hAnsi="宋体"/>
                <w:sz w:val="28"/>
              </w:rPr>
              <w:t>年</w:t>
            </w:r>
            <w:r>
              <w:rPr>
                <w:rFonts w:ascii="宋体" w:hAnsi="宋体"/>
                <w:sz w:val="28"/>
              </w:rPr>
              <w:t>8</w:t>
            </w:r>
            <w:r>
              <w:rPr>
                <w:rFonts w:ascii="宋体" w:hAnsi="宋体"/>
                <w:sz w:val="28"/>
              </w:rPr>
              <w:t>月</w:t>
            </w:r>
          </w:p>
        </w:tc>
      </w:tr>
      <w:tr>
        <w:trPr>
          <w:trHeight w:val="540" w:hRule="atLeast"/>
          <w:cantSplit w:val="true"/>
        </w:trPr>
        <w:tc>
          <w:tcPr>
            <w:tcW w:w="1806" w:type="dxa"/>
            <w:tcBorders/>
          </w:tcPr>
          <w:p>
            <w:pPr>
              <w:pStyle w:val="Normal"/>
              <w:widowControl w:val="false"/>
              <w:spacing w:lineRule="auto" w:line="360" w:before="0" w:after="0"/>
              <w:jc w:val="distribute"/>
              <w:rPr>
                <w:rFonts w:ascii="黑体" w:hAnsi="黑体" w:eastAsia="黑体"/>
                <w:color w:val="000000"/>
                <w:sz w:val="28"/>
              </w:rPr>
            </w:pPr>
            <w:r>
              <w:rPr>
                <w:rFonts w:ascii="黑体" w:hAnsi="黑体" w:eastAsia="黑体"/>
                <w:color w:val="000000"/>
                <w:sz w:val="28"/>
              </w:rPr>
              <w:t>学校</w:t>
            </w:r>
          </w:p>
        </w:tc>
        <w:tc>
          <w:tcPr>
            <w:tcW w:w="300" w:type="dxa"/>
            <w:tcBorders/>
          </w:tcPr>
          <w:p>
            <w:pPr>
              <w:pStyle w:val="Normal"/>
              <w:widowControl w:val="false"/>
              <w:spacing w:lineRule="auto" w:line="360" w:before="0" w:after="0"/>
              <w:rPr>
                <w:rFonts w:ascii="宋体" w:hAnsi="宋体"/>
                <w:color w:val="000000"/>
                <w:sz w:val="28"/>
              </w:rPr>
            </w:pPr>
            <w:r>
              <w:rPr>
                <w:rFonts w:ascii="宋体" w:hAnsi="宋体"/>
                <w:color w:val="000000"/>
                <w:sz w:val="28"/>
              </w:rPr>
              <w:t>：</w:t>
            </w:r>
          </w:p>
        </w:tc>
        <w:tc>
          <w:tcPr>
            <w:tcW w:w="4181" w:type="dxa"/>
            <w:tcBorders/>
          </w:tcPr>
          <w:p>
            <w:pPr>
              <w:pStyle w:val="Normal"/>
              <w:widowControl w:val="false"/>
              <w:spacing w:lineRule="auto" w:line="360" w:before="0" w:after="0"/>
              <w:rPr>
                <w:rFonts w:ascii="宋体" w:hAnsi="宋体"/>
                <w:color w:val="000000"/>
                <w:sz w:val="28"/>
              </w:rPr>
            </w:pPr>
            <w:r>
              <w:rPr>
                <w:rFonts w:ascii="宋体" w:hAnsi="宋体"/>
                <w:color w:val="000000"/>
                <w:sz w:val="28"/>
                <w:lang w:eastAsia="zh-Hans"/>
              </w:rPr>
              <w:t>哈尔滨工业</w:t>
            </w:r>
            <w:r>
              <w:rPr>
                <w:rFonts w:ascii="宋体" w:hAnsi="宋体"/>
                <w:color w:val="000000"/>
                <w:sz w:val="28"/>
              </w:rPr>
              <w:t>大学</w:t>
            </w:r>
          </w:p>
        </w:tc>
      </w:tr>
    </w:tbl>
    <w:p>
      <w:pPr>
        <w:pStyle w:val="Normal"/>
        <w:snapToGrid w:val="false"/>
        <w:rPr/>
      </w:pPr>
      <w:r>
        <w:rPr/>
      </w:r>
    </w:p>
    <w:p>
      <w:pPr>
        <w:pStyle w:val="Normal"/>
        <w:snapToGrid w:val="false"/>
        <w:rPr/>
      </w:pPr>
      <w:r>
        <w:rPr/>
      </w:r>
    </w:p>
    <w:p>
      <w:pPr>
        <w:sectPr>
          <w:headerReference w:type="default" r:id="rId2"/>
          <w:footerReference w:type="even" r:id="rId3"/>
          <w:footerReference w:type="default" r:id="rId4"/>
          <w:footerReference w:type="first" r:id="rId5"/>
          <w:type w:val="nextPage"/>
          <w:pgSz w:w="11906" w:h="16838"/>
          <w:pgMar w:left="1701" w:right="1701" w:gutter="0" w:header="1701" w:top="1758" w:footer="1304" w:bottom="1616"/>
          <w:pgNumType w:start="21" w:fmt="decimal"/>
          <w:formProt w:val="false"/>
          <w:textDirection w:val="lrTb"/>
          <w:docGrid w:type="linesAndChars" w:linePitch="412" w:charSpace="2252"/>
        </w:sectPr>
        <w:pStyle w:val="Normal"/>
        <w:rPr/>
      </w:pPr>
      <w:r>
        <w:rPr/>
      </w:r>
    </w:p>
    <w:p>
      <w:pPr>
        <w:pStyle w:val="Style19"/>
        <w:spacing w:before="412" w:after="329"/>
        <w:rPr/>
      </w:pPr>
      <w:bookmarkStart w:id="0" w:name="__RefHeading___Toc10286_2198631117"/>
      <w:bookmarkStart w:id="1" w:name="_Toc31593"/>
      <w:bookmarkStart w:id="2" w:name="_Toc11739"/>
      <w:bookmarkStart w:id="3" w:name="_Toc280715538"/>
      <w:bookmarkStart w:id="4" w:name="_Toc12937"/>
      <w:bookmarkStart w:id="5" w:name="_Toc250450163"/>
      <w:bookmarkStart w:id="6" w:name="_Toc280715683"/>
      <w:bookmarkStart w:id="7" w:name="_Toc23399"/>
      <w:bookmarkStart w:id="8" w:name="_Toc280797185"/>
      <w:bookmarkStart w:id="9" w:name="_Toc22912"/>
      <w:bookmarkStart w:id="10" w:name="_Toc280628504"/>
      <w:bookmarkStart w:id="11" w:name="_Toc225579639"/>
      <w:bookmarkEnd w:id="0"/>
      <w:r>
        <w:rPr/>
        <w:t>摘要</w:t>
      </w:r>
      <w:bookmarkEnd w:id="1"/>
      <w:bookmarkEnd w:id="2"/>
      <w:bookmarkEnd w:id="3"/>
      <w:bookmarkEnd w:id="4"/>
      <w:bookmarkEnd w:id="5"/>
      <w:bookmarkEnd w:id="6"/>
      <w:bookmarkEnd w:id="7"/>
      <w:bookmarkEnd w:id="8"/>
      <w:bookmarkEnd w:id="9"/>
      <w:bookmarkEnd w:id="10"/>
      <w:bookmarkEnd w:id="11"/>
    </w:p>
    <w:p>
      <w:pPr>
        <w:pStyle w:val="Style12"/>
        <w:ind w:firstLine="503"/>
        <w:rPr/>
      </w:pPr>
      <w:r>
        <w:rPr/>
        <w:t>随着无人机平台和低空遥感技术的快速发展，航拍图像已广泛应用于城市交通监测、应急救援、安防巡检和智慧城市管理等场景。与普通自然图像相比，无人机航拍图像具有视角俯视、目标尺度小、目标分布密集、背景复杂以及类别外观相近等特点，传统目标检测方法在该场景下容易出现小目标漏检、候选框冗余和置信度排序不稳定等问题。同时，开放词表检测模型虽然能够利用文本提示生成候选目标区域，但直接迁移到航拍场景时仍存在域适应不足、弱小类别召回率较低和候选框可靠性难以判断等问题。</w:t>
      </w:r>
    </w:p>
    <w:p>
      <w:pPr>
        <w:pStyle w:val="Style12"/>
        <w:ind w:firstLine="503"/>
        <w:rPr/>
      </w:pPr>
      <w:r>
        <w:rPr/>
        <w:t xml:space="preserve">针对上述问题，本文提出了一种强化学习驱动的闭环航拍图像识别方法。该方法选取 </w:t>
      </w:r>
      <w:r>
        <w:rPr/>
        <w:t xml:space="preserve">Grounding DINO </w:t>
      </w:r>
      <w:r>
        <w:rPr/>
        <w:t xml:space="preserve">作为基础候选生成模型，构建“图像输入—在线候选生成—小目标召回增强—候选框重排序—反馈式校准”的整体流程。首先，针对 </w:t>
      </w:r>
      <w:r>
        <w:rPr/>
        <w:t xml:space="preserve">VisDrone </w:t>
      </w:r>
      <w:r>
        <w:rPr/>
        <w:t xml:space="preserve">航拍目标类别构建基础文本提示和小目标别名提示，通过低阈值候选生成、小目标面积先验和类别映射策略，提高 </w:t>
      </w:r>
      <w:r>
        <w:rPr/>
        <w:t>pedestrian</w:t>
      </w:r>
      <w:r>
        <w:rPr/>
        <w:t>、</w:t>
      </w:r>
      <w:r>
        <w:rPr/>
        <w:t>people</w:t>
      </w:r>
      <w:r>
        <w:rPr/>
        <w:t>、</w:t>
      </w:r>
      <w:r>
        <w:rPr/>
        <w:t>bicycle</w:t>
      </w:r>
      <w:r>
        <w:rPr/>
        <w:t>、</w:t>
      </w:r>
      <w:r>
        <w:rPr/>
        <w:t>tricycle</w:t>
      </w:r>
      <w:r>
        <w:rPr/>
        <w:t>、</w:t>
      </w:r>
      <w:r>
        <w:rPr/>
        <w:t xml:space="preserve">awning tricycle </w:t>
      </w:r>
      <w:r>
        <w:rPr/>
        <w:t xml:space="preserve">和 </w:t>
      </w:r>
      <w:r>
        <w:rPr/>
        <w:t xml:space="preserve">motor </w:t>
      </w:r>
      <w:r>
        <w:rPr/>
        <w:t>等弱小类别的候选召回能力；随后，结合候选框几何特征、文本查询匹配分数、候选来源和类别信息构建富元信息表示，对候选框进行重排序和置信度校准；最后，引入强化学习式闭环反馈机制，将候选框保留与抑制视为任务导向的决策过程，使模型能够根据评价结果调整候选筛选策略。</w:t>
      </w:r>
    </w:p>
    <w:p>
      <w:pPr>
        <w:pStyle w:val="Style12"/>
        <w:ind w:firstLine="503"/>
        <w:rPr/>
      </w:pPr>
      <w:r>
        <w:rPr/>
        <w:t xml:space="preserve">本文在 </w:t>
      </w:r>
      <w:r>
        <w:rPr/>
        <w:t xml:space="preserve">VisDroneSplit1000Guarded </w:t>
      </w:r>
      <w:r>
        <w:rPr/>
        <w:t xml:space="preserve">数据集上进行了实验验证，并结合 </w:t>
      </w:r>
      <w:r>
        <w:rPr/>
        <w:t xml:space="preserve">RefDrone </w:t>
      </w:r>
      <w:r>
        <w:rPr/>
        <w:t xml:space="preserve">与 </w:t>
      </w:r>
      <w:r>
        <w:rPr/>
        <w:t xml:space="preserve">AerialVG </w:t>
      </w:r>
      <w:r>
        <w:rPr/>
        <w:t>数据中的真实语言短语进行查询增强。实验结果表明，在线小目标召回方法能够显著提升航拍图像目标命中能力，</w:t>
      </w:r>
      <w:hyperlink r:id="rId6">
        <w:r>
          <w:rPr/>
          <w:t>Acc@0.5</w:t>
        </w:r>
      </w:hyperlink>
      <w:r>
        <w:rPr/>
        <w:t xml:space="preserve"> </w:t>
      </w:r>
      <w:r>
        <w:rPr/>
        <w:t xml:space="preserve">达到 </w:t>
      </w:r>
      <w:r>
        <w:rPr/>
        <w:t>0.5383</w:t>
      </w:r>
      <w:r>
        <w:rPr/>
        <w:t xml:space="preserve">；富元信息融合方法在预测框数量不变的情况下将 </w:t>
      </w:r>
      <w:hyperlink r:id="rId7">
        <w:r>
          <w:rPr/>
          <w:t>mAP@0.5</w:t>
        </w:r>
      </w:hyperlink>
      <w:r>
        <w:rPr/>
        <w:t xml:space="preserve"> </w:t>
      </w:r>
      <w:r>
        <w:rPr/>
        <w:t xml:space="preserve">提升至 </w:t>
      </w:r>
      <w:r>
        <w:rPr/>
        <w:t>0.1690</w:t>
      </w:r>
      <w:r>
        <w:rPr/>
        <w:t xml:space="preserve">，说明候选来源和中间分数信息对排序质量具有重要作用。进一步的小目标召回实验表明，直接候选扩展能够将 </w:t>
      </w:r>
      <w:hyperlink r:id="rId8">
        <w:r>
          <w:rPr/>
          <w:t>Acc@0.5</w:t>
        </w:r>
      </w:hyperlink>
      <w:r>
        <w:rPr/>
        <w:t xml:space="preserve"> </w:t>
      </w:r>
      <w:r>
        <w:rPr/>
        <w:t xml:space="preserve">提升至 </w:t>
      </w:r>
      <w:r>
        <w:rPr/>
        <w:t>0.5477</w:t>
      </w:r>
      <w:r>
        <w:rPr/>
        <w:t>，并增加真实命中目标数量，但也会带来误检和排序压力。综合实验结果验证了本文方法在小目标召回、候选框筛选和置信度校准方面的有效性。</w:t>
      </w:r>
    </w:p>
    <w:p>
      <w:pPr>
        <w:pStyle w:val="Style12"/>
        <w:ind w:firstLine="503"/>
        <w:rPr/>
      </w:pPr>
      <w:r>
        <w:rPr>
          <w:rStyle w:val="Char2"/>
        </w:rPr>
        <w:t>关键词</w:t>
      </w:r>
      <w:r>
        <w:rPr/>
        <w:t>：无人机航拍图像；开放词表检测；小目标召回；候选框重排序；强化学习校准。</w:t>
      </w:r>
    </w:p>
    <w:p>
      <w:pPr>
        <w:pStyle w:val="Style19"/>
        <w:spacing w:before="412" w:after="329"/>
        <w:rPr/>
      </w:pPr>
      <w:bookmarkStart w:id="12" w:name="__RefHeading___Toc10288_2198631117"/>
      <w:bookmarkStart w:id="13" w:name="_Toc27367"/>
      <w:bookmarkStart w:id="14" w:name="_Toc28087"/>
      <w:bookmarkStart w:id="15" w:name="_Toc280715539"/>
      <w:bookmarkStart w:id="16" w:name="_Toc9878"/>
      <w:bookmarkStart w:id="17" w:name="_Toc280628505"/>
      <w:bookmarkStart w:id="18" w:name="_Toc280715684"/>
      <w:bookmarkStart w:id="19" w:name="_Toc10259"/>
      <w:bookmarkStart w:id="20" w:name="_Toc30665"/>
      <w:bookmarkStart w:id="21" w:name="_Toc250450164"/>
      <w:bookmarkStart w:id="22" w:name="_Toc280797186"/>
      <w:bookmarkEnd w:id="12"/>
      <w:r>
        <w:rPr/>
        <w:t>Abstract</w:t>
      </w:r>
      <w:bookmarkEnd w:id="13"/>
      <w:bookmarkEnd w:id="14"/>
      <w:bookmarkEnd w:id="15"/>
      <w:bookmarkEnd w:id="16"/>
      <w:bookmarkEnd w:id="17"/>
      <w:bookmarkEnd w:id="18"/>
      <w:bookmarkEnd w:id="19"/>
      <w:bookmarkEnd w:id="20"/>
      <w:bookmarkEnd w:id="21"/>
      <w:bookmarkEnd w:id="22"/>
    </w:p>
    <w:p>
      <w:pPr>
        <w:pStyle w:val="Style21"/>
        <w:ind w:firstLine="503"/>
        <w:rPr/>
      </w:pPr>
      <w:r>
        <w:rPr/>
        <w:t>With the rapid development of unmanned aerial vehicle platforms and low-altitude remote sensing technologies, aerial images have been widely used in urban traffic monitoring, emergency rescue, security inspection, and smart city management. Compared with natural images, UAV aerial images are characterized by bird’s-eye viewpoints, small object scales, dense object distributions, complex backgrounds, and similar inter-class appearances. As a result, traditional object detection methods are prone to small-object missed detection, redundant candidate boxes, and unstable confidence ranking in aerial scenarios. Meanwhile, open-vocabulary detection models such as GroundingDINO can generate candidate object regions according to text prompts, but they still suffer from insufficient domain adaptation, low recall for weak small categories, and unreliable candidate confidence when directly transferred to UAV aerial images.</w:t>
      </w:r>
    </w:p>
    <w:p>
      <w:pPr>
        <w:pStyle w:val="Style21"/>
        <w:ind w:hanging="0"/>
        <w:rPr/>
      </w:pPr>
      <w:r>
        <w:rPr/>
        <w:tab/>
        <w:t>To address the problems, this thesis proposes a reinforcement-learning-driven closed-loop aerial image recognition method. The proposed method uses Grounding DINO as the basic candidate generation model and constructs an overall pipeline of image input, online candidate generation, small-object recall enhancement, candidate box reranking, and feedback-based calibration.</w:t>
      </w:r>
    </w:p>
    <w:p>
      <w:pPr>
        <w:pStyle w:val="Style21"/>
        <w:ind w:firstLine="503"/>
        <w:rPr/>
      </w:pPr>
      <w:r>
        <w:rPr/>
        <w:t xml:space="preserve">Experiments are conducted on the VisDroneSplit1000Guarded dataset, and real language phrases from RefDrone and AerialVG are used for query enhancement. Experimental results show that the online small-object recall method significantly improves object hit performance in aerial images, achieving an </w:t>
      </w:r>
      <w:hyperlink r:id="rId9">
        <w:r>
          <w:rPr/>
          <w:t>Acc@0.5</w:t>
        </w:r>
      </w:hyperlink>
      <w:r>
        <w:rPr/>
        <w:t xml:space="preserve"> of 0.5383. The rich metadata fusion method improves </w:t>
      </w:r>
      <w:hyperlink r:id="rId10">
        <w:r>
          <w:rPr/>
          <w:t>mAP@0.5</w:t>
        </w:r>
      </w:hyperlink>
      <w:r>
        <w:rPr/>
        <w:t xml:space="preserve"> to 0.1690 without increasing the number of prediction boxes, indicating that candidate source information and intermediate scores are important for ranking quality. Further small-object recall experiments show that direct candidate expansion improves </w:t>
      </w:r>
      <w:hyperlink r:id="rId11">
        <w:r>
          <w:rPr/>
          <w:t>Acc@0.5</w:t>
        </w:r>
      </w:hyperlink>
      <w:r>
        <w:rPr/>
        <w:t xml:space="preserve"> to 0.5477 and increases the number of true positive detections, but also introduces false positives and ranking pressure. Overall, the experimental results demonstrate the effectiveness of the proposed method in small-object recall, candidate box filtering, and confidence calibration.</w:t>
      </w:r>
    </w:p>
    <w:p>
      <w:pPr>
        <w:pStyle w:val="Style21"/>
        <w:ind w:firstLine="503"/>
        <w:rPr/>
      </w:pPr>
      <w:r>
        <w:rPr>
          <w:rStyle w:val="Char2"/>
        </w:rPr>
        <w:t>Keywords:</w:t>
      </w:r>
      <w:r>
        <w:rPr/>
        <w:t xml:space="preserve"> UAV aerial image; open-vocabulary detection; small-object recall; candidate box reranking; reinforcement learning calibration.</w:t>
      </w:r>
    </w:p>
    <w:p>
      <w:pPr>
        <w:pStyle w:val="Style18"/>
        <w:spacing w:before="412" w:after="329"/>
        <w:rPr/>
      </w:pPr>
      <w:bookmarkStart w:id="23" w:name="_Toc280797187"/>
      <w:bookmarkStart w:id="24" w:name="_Toc20959"/>
      <w:bookmarkStart w:id="25" w:name="_Toc88830381"/>
      <w:bookmarkStart w:id="26" w:name="_Toc280715686"/>
      <w:bookmarkStart w:id="27" w:name="_Toc77239801"/>
      <w:bookmarkStart w:id="28" w:name="_Toc280715541"/>
      <w:bookmarkStart w:id="29" w:name="_Toc77239775"/>
      <w:bookmarkStart w:id="30" w:name="_Toc77260837"/>
      <w:bookmarkStart w:id="31" w:name="_Toc280628507"/>
      <w:bookmarkStart w:id="32" w:name="_Toc77262187"/>
      <w:bookmarkStart w:id="33" w:name="_Toc77166478"/>
      <w:bookmarkStart w:id="34" w:name="_Toc77260836"/>
      <w:bookmarkStart w:id="35" w:name="_Toc280797188"/>
      <w:bookmarkStart w:id="36" w:name="_Toc280715540"/>
      <w:bookmarkStart w:id="37" w:name="_Toc77239802"/>
      <w:bookmarkStart w:id="38" w:name="_Toc77166477"/>
      <w:bookmarkStart w:id="39" w:name="_Toc77239680"/>
      <w:bookmarkStart w:id="40" w:name="_Toc250450165"/>
      <w:bookmarkStart w:id="41" w:name="_Toc250450166"/>
      <w:bookmarkStart w:id="42" w:name="_Toc88830380"/>
      <w:bookmarkStart w:id="43" w:name="_Toc77261019"/>
      <w:bookmarkStart w:id="44" w:name="_Toc77262186"/>
      <w:bookmarkStart w:id="45" w:name="_Toc88830494"/>
      <w:bookmarkStart w:id="46" w:name="_Toc225579641"/>
      <w:bookmarkStart w:id="47" w:name="_Toc280628506"/>
      <w:bookmarkStart w:id="48" w:name="_Toc77239679"/>
      <w:bookmarkStart w:id="49" w:name="_Toc77239774"/>
      <w:bookmarkStart w:id="50" w:name="_Toc77261018"/>
      <w:bookmarkStart w:id="51" w:name="_Toc88830493"/>
      <w:bookmarkStart w:id="52" w:name="_Toc280715685"/>
      <w:bookmarkStart w:id="53" w:name="_Toc225579642"/>
      <w:r>
        <w:rPr/>
        <w:t>目录</w:t>
      </w:r>
      <w:bookmarkEnd w:id="24"/>
    </w:p>
    <w:sdt>
      <w:sdtPr>
        <w:docPartObj>
          <w:docPartGallery w:val="Table of Contents"/>
          <w:docPartUnique w:val="true"/>
        </w:docPartObj>
      </w:sdtPr>
      <w:sdtContent>
        <w:p>
          <w:pPr>
            <w:pStyle w:val="Contents1"/>
            <w:tabs>
              <w:tab w:val="clear" w:pos="8494"/>
              <w:tab w:val="right" w:pos="8504" w:leader="dot"/>
            </w:tabs>
            <w:rPr/>
          </w:pPr>
          <w:r>
            <w:fldChar w:fldCharType="begin"/>
          </w:r>
          <w:r>
            <w:rPr>
              <w:rStyle w:val="IndexLink"/>
            </w:rPr>
            <w:instrText xml:space="preserve"> TOC \o "1-1" \u \t "一级节标题2.3,2,二级节标题2.3.1,3" </w:instrText>
          </w:r>
          <w:r>
            <w:rPr>
              <w:rStyle w:val="IndexLink"/>
            </w:rPr>
            <w:fldChar w:fldCharType="separate"/>
          </w:r>
          <w:hyperlink w:anchor="__RefHeading___Toc10286_2198631117">
            <w:r>
              <w:rPr>
                <w:rStyle w:val="IndexLink"/>
              </w:rPr>
              <w:t>摘要</w:t>
            </w:r>
            <w:r>
              <w:rPr>
                <w:rStyle w:val="IndexLink"/>
              </w:rPr>
              <w:tab/>
              <w:t>I</w:t>
            </w:r>
          </w:hyperlink>
        </w:p>
        <w:p>
          <w:pPr>
            <w:pStyle w:val="Contents1"/>
            <w:tabs>
              <w:tab w:val="clear" w:pos="8494"/>
              <w:tab w:val="right" w:pos="8504" w:leader="dot"/>
            </w:tabs>
            <w:rPr/>
          </w:pPr>
          <w:hyperlink w:anchor="__RefHeading___Toc10288_2198631117">
            <w:r>
              <w:rPr>
                <w:rStyle w:val="IndexLink"/>
              </w:rPr>
              <w:t>Abstract</w:t>
              <w:tab/>
              <w:t>III</w:t>
            </w:r>
          </w:hyperlink>
        </w:p>
        <w:p>
          <w:pPr>
            <w:pStyle w:val="Contents1"/>
            <w:tabs>
              <w:tab w:val="clear" w:pos="8494"/>
              <w:tab w:val="right" w:pos="8504" w:leader="dot"/>
            </w:tabs>
            <w:rPr/>
          </w:pPr>
          <w:hyperlink w:anchor="__RefHeading___Toc10290_2198631117">
            <w:r>
              <w:rPr>
                <w:rStyle w:val="IndexLink"/>
              </w:rPr>
              <w:t>第</w:t>
            </w:r>
            <w:r>
              <w:rPr>
                <w:rStyle w:val="IndexLink"/>
              </w:rPr>
              <w:t>1</w:t>
            </w:r>
            <w:r>
              <w:rPr>
                <w:rStyle w:val="IndexLink"/>
              </w:rPr>
              <w:t>章 绪论</w:t>
            </w:r>
            <w:r>
              <w:rPr>
                <w:rStyle w:val="IndexLink"/>
              </w:rPr>
              <w:tab/>
              <w:t>1</w:t>
            </w:r>
          </w:hyperlink>
        </w:p>
        <w:p>
          <w:pPr>
            <w:pStyle w:val="Contents2"/>
            <w:tabs>
              <w:tab w:val="clear" w:pos="498"/>
              <w:tab w:val="right" w:pos="8504" w:leader="dot"/>
            </w:tabs>
            <w:rPr/>
          </w:pPr>
          <w:hyperlink w:anchor="__RefHeading___Toc10306_2198631117">
            <w:r>
              <w:rPr>
                <w:rStyle w:val="IndexLink"/>
              </w:rPr>
              <w:t xml:space="preserve">1.1 </w:t>
            </w:r>
            <w:r>
              <w:rPr>
                <w:rStyle w:val="IndexLink"/>
              </w:rPr>
              <w:t>课题背景及研究的目的和意义</w:t>
            </w:r>
            <w:r>
              <w:rPr>
                <w:rStyle w:val="IndexLink"/>
              </w:rPr>
              <w:tab/>
              <w:t>1</w:t>
            </w:r>
          </w:hyperlink>
        </w:p>
        <w:p>
          <w:pPr>
            <w:pStyle w:val="Contents2"/>
            <w:tabs>
              <w:tab w:val="clear" w:pos="498"/>
              <w:tab w:val="right" w:pos="8504" w:leader="dot"/>
            </w:tabs>
            <w:rPr/>
          </w:pPr>
          <w:hyperlink w:anchor="__RefHeading___Toc10358_2198631117">
            <w:r>
              <w:rPr>
                <w:rStyle w:val="IndexLink"/>
              </w:rPr>
              <w:t xml:space="preserve">1.2 </w:t>
            </w:r>
            <w:r>
              <w:rPr>
                <w:rStyle w:val="IndexLink"/>
              </w:rPr>
              <w:t>国内外研究现状</w:t>
            </w:r>
            <w:r>
              <w:rPr>
                <w:rStyle w:val="IndexLink"/>
              </w:rPr>
              <w:tab/>
              <w:t>2</w:t>
            </w:r>
          </w:hyperlink>
        </w:p>
        <w:p>
          <w:pPr>
            <w:pStyle w:val="Contents3"/>
            <w:tabs>
              <w:tab w:val="clear" w:pos="8494"/>
              <w:tab w:val="right" w:pos="8504" w:leader="dot"/>
            </w:tabs>
            <w:rPr/>
          </w:pPr>
          <w:hyperlink w:anchor="__RefHeading___Toc10360_2198631117">
            <w:r>
              <w:rPr>
                <w:rStyle w:val="IndexLink"/>
              </w:rPr>
              <w:t xml:space="preserve">1.2.1 </w:t>
            </w:r>
            <w:r>
              <w:rPr>
                <w:rStyle w:val="IndexLink"/>
              </w:rPr>
              <w:t>基于强化学习的图像识别研究方法</w:t>
            </w:r>
            <w:r>
              <w:rPr>
                <w:rStyle w:val="IndexLink"/>
              </w:rPr>
              <w:tab/>
              <w:t>2</w:t>
            </w:r>
          </w:hyperlink>
        </w:p>
        <w:p>
          <w:pPr>
            <w:pStyle w:val="Contents3"/>
            <w:tabs>
              <w:tab w:val="clear" w:pos="8494"/>
              <w:tab w:val="right" w:pos="8504" w:leader="dot"/>
            </w:tabs>
            <w:rPr/>
          </w:pPr>
          <w:hyperlink w:anchor="__RefHeading___Toc10394_2198631117">
            <w:r>
              <w:rPr>
                <w:rStyle w:val="IndexLink"/>
              </w:rPr>
              <w:t xml:space="preserve">1.2.2 </w:t>
            </w:r>
            <w:r>
              <w:rPr>
                <w:rStyle w:val="IndexLink"/>
              </w:rPr>
              <w:t>无人机航拍图片目标识别研究</w:t>
            </w:r>
            <w:r>
              <w:rPr>
                <w:rStyle w:val="IndexLink"/>
              </w:rPr>
              <w:tab/>
              <w:t>3</w:t>
            </w:r>
          </w:hyperlink>
        </w:p>
        <w:p>
          <w:pPr>
            <w:pStyle w:val="Contents2"/>
            <w:tabs>
              <w:tab w:val="clear" w:pos="498"/>
              <w:tab w:val="right" w:pos="8504" w:leader="dot"/>
            </w:tabs>
            <w:rPr/>
          </w:pPr>
          <w:hyperlink w:anchor="__RefHeading___Toc10356_2198631117">
            <w:r>
              <w:rPr>
                <w:rStyle w:val="IndexLink"/>
              </w:rPr>
              <w:t xml:space="preserve">1.3 </w:t>
            </w:r>
            <w:r>
              <w:rPr>
                <w:rStyle w:val="IndexLink"/>
              </w:rPr>
              <w:t>课题主要研究内容</w:t>
            </w:r>
            <w:r>
              <w:rPr>
                <w:rStyle w:val="IndexLink"/>
              </w:rPr>
              <w:tab/>
              <w:t>4</w:t>
            </w:r>
          </w:hyperlink>
        </w:p>
        <w:p>
          <w:pPr>
            <w:pStyle w:val="Contents2"/>
            <w:tabs>
              <w:tab w:val="clear" w:pos="498"/>
              <w:tab w:val="right" w:pos="8504" w:leader="dot"/>
            </w:tabs>
            <w:rPr/>
          </w:pPr>
          <w:hyperlink w:anchor="__RefHeading___Toc10354_2198631117">
            <w:r>
              <w:rPr>
                <w:rStyle w:val="IndexLink"/>
              </w:rPr>
              <w:t xml:space="preserve">1.4 </w:t>
            </w:r>
            <w:r>
              <w:rPr>
                <w:rStyle w:val="IndexLink"/>
              </w:rPr>
              <w:t>本文组织结构</w:t>
            </w:r>
            <w:r>
              <w:rPr>
                <w:rStyle w:val="IndexLink"/>
              </w:rPr>
              <w:tab/>
              <w:t>5</w:t>
            </w:r>
          </w:hyperlink>
        </w:p>
        <w:p>
          <w:pPr>
            <w:pStyle w:val="Contents2"/>
            <w:tabs>
              <w:tab w:val="clear" w:pos="498"/>
              <w:tab w:val="right" w:pos="8504" w:leader="dot"/>
            </w:tabs>
            <w:rPr/>
          </w:pPr>
          <w:hyperlink w:anchor="__RefHeading___Toc10352_2198631117">
            <w:r>
              <w:rPr>
                <w:rStyle w:val="IndexLink"/>
              </w:rPr>
              <w:t xml:space="preserve">1.5 </w:t>
            </w:r>
            <w:r>
              <w:rPr>
                <w:rStyle w:val="IndexLink"/>
              </w:rPr>
              <w:t>本章小结</w:t>
            </w:r>
            <w:r>
              <w:rPr>
                <w:rStyle w:val="IndexLink"/>
              </w:rPr>
              <w:tab/>
              <w:t>6</w:t>
            </w:r>
          </w:hyperlink>
        </w:p>
        <w:p>
          <w:pPr>
            <w:pStyle w:val="Contents1"/>
            <w:tabs>
              <w:tab w:val="clear" w:pos="8494"/>
              <w:tab w:val="right" w:pos="8504" w:leader="dot"/>
            </w:tabs>
            <w:rPr/>
          </w:pPr>
          <w:hyperlink w:anchor="__RefHeading___Toc10292_2198631117">
            <w:r>
              <w:rPr>
                <w:rStyle w:val="IndexLink"/>
              </w:rPr>
              <w:t>第</w:t>
            </w:r>
            <w:r>
              <w:rPr>
                <w:rStyle w:val="IndexLink"/>
              </w:rPr>
              <w:t>2</w:t>
            </w:r>
            <w:r>
              <w:rPr>
                <w:rStyle w:val="IndexLink"/>
              </w:rPr>
              <w:t>章 背景知识</w:t>
            </w:r>
            <w:r>
              <w:rPr>
                <w:rStyle w:val="IndexLink"/>
              </w:rPr>
              <w:tab/>
              <w:t>7</w:t>
            </w:r>
          </w:hyperlink>
        </w:p>
        <w:p>
          <w:pPr>
            <w:pStyle w:val="Contents2"/>
            <w:tabs>
              <w:tab w:val="clear" w:pos="498"/>
              <w:tab w:val="right" w:pos="8504" w:leader="dot"/>
            </w:tabs>
            <w:rPr/>
          </w:pPr>
          <w:hyperlink w:anchor="__RefHeading___Toc10350_2198631117">
            <w:r>
              <w:rPr>
                <w:rStyle w:val="IndexLink"/>
              </w:rPr>
              <w:t xml:space="preserve">2.1 </w:t>
            </w:r>
            <w:r>
              <w:rPr>
                <w:rStyle w:val="IndexLink"/>
              </w:rPr>
              <w:t>引言</w:t>
            </w:r>
            <w:r>
              <w:rPr>
                <w:rStyle w:val="IndexLink"/>
              </w:rPr>
              <w:tab/>
              <w:t>7</w:t>
            </w:r>
          </w:hyperlink>
        </w:p>
        <w:p>
          <w:pPr>
            <w:pStyle w:val="Contents2"/>
            <w:tabs>
              <w:tab w:val="clear" w:pos="498"/>
              <w:tab w:val="right" w:pos="8504" w:leader="dot"/>
            </w:tabs>
            <w:rPr/>
          </w:pPr>
          <w:hyperlink w:anchor="__RefHeading___Toc10348_2198631117">
            <w:r>
              <w:rPr>
                <w:rStyle w:val="IndexLink"/>
              </w:rPr>
              <w:t xml:space="preserve">2.2 </w:t>
            </w:r>
            <w:r>
              <w:rPr>
                <w:rStyle w:val="IndexLink"/>
              </w:rPr>
              <w:t>无人机航拍图像目标识别任务</w:t>
            </w:r>
            <w:r>
              <w:rPr>
                <w:rStyle w:val="IndexLink"/>
              </w:rPr>
              <w:tab/>
              <w:t>7</w:t>
            </w:r>
          </w:hyperlink>
        </w:p>
        <w:p>
          <w:pPr>
            <w:pStyle w:val="Contents3"/>
            <w:tabs>
              <w:tab w:val="clear" w:pos="8494"/>
              <w:tab w:val="right" w:pos="8504" w:leader="dot"/>
            </w:tabs>
            <w:rPr/>
          </w:pPr>
          <w:hyperlink w:anchor="__RefHeading___Toc10392_2198631117">
            <w:r>
              <w:rPr>
                <w:rStyle w:val="IndexLink"/>
              </w:rPr>
              <w:t xml:space="preserve">2.2.1 </w:t>
            </w:r>
            <w:r>
              <w:rPr>
                <w:rStyle w:val="IndexLink"/>
              </w:rPr>
              <w:t>航拍图像目标检测特点</w:t>
            </w:r>
            <w:r>
              <w:rPr>
                <w:rStyle w:val="IndexLink"/>
              </w:rPr>
              <w:tab/>
              <w:t>7</w:t>
            </w:r>
          </w:hyperlink>
        </w:p>
        <w:p>
          <w:pPr>
            <w:pStyle w:val="Contents3"/>
            <w:tabs>
              <w:tab w:val="clear" w:pos="8494"/>
              <w:tab w:val="right" w:pos="8504" w:leader="dot"/>
            </w:tabs>
            <w:rPr/>
          </w:pPr>
          <w:hyperlink w:anchor="__RefHeading___Toc10390_2198631117">
            <w:r>
              <w:rPr>
                <w:rStyle w:val="IndexLink"/>
              </w:rPr>
              <w:t xml:space="preserve">2.2.2 </w:t>
            </w:r>
            <w:r>
              <w:rPr>
                <w:rStyle w:val="IndexLink"/>
              </w:rPr>
              <w:t>小目标与密集目标识别难点</w:t>
            </w:r>
            <w:r>
              <w:rPr>
                <w:rStyle w:val="IndexLink"/>
              </w:rPr>
              <w:tab/>
              <w:t>8</w:t>
            </w:r>
          </w:hyperlink>
        </w:p>
        <w:p>
          <w:pPr>
            <w:pStyle w:val="Contents2"/>
            <w:tabs>
              <w:tab w:val="clear" w:pos="498"/>
              <w:tab w:val="right" w:pos="8504" w:leader="dot"/>
            </w:tabs>
            <w:rPr/>
          </w:pPr>
          <w:hyperlink w:anchor="__RefHeading___Toc10346_2198631117">
            <w:r>
              <w:rPr>
                <w:rStyle w:val="IndexLink"/>
              </w:rPr>
              <w:t xml:space="preserve">2.3 </w:t>
            </w:r>
            <w:r>
              <w:rPr>
                <w:rStyle w:val="IndexLink"/>
              </w:rPr>
              <w:t>视觉定位与开放词表检测方法</w:t>
            </w:r>
            <w:r>
              <w:rPr>
                <w:rStyle w:val="IndexLink"/>
              </w:rPr>
              <w:tab/>
              <w:t>10</w:t>
            </w:r>
          </w:hyperlink>
        </w:p>
        <w:p>
          <w:pPr>
            <w:pStyle w:val="Contents3"/>
            <w:tabs>
              <w:tab w:val="clear" w:pos="8494"/>
              <w:tab w:val="right" w:pos="8504" w:leader="dot"/>
            </w:tabs>
            <w:rPr/>
          </w:pPr>
          <w:hyperlink w:anchor="__RefHeading___Toc10388_2198631117">
            <w:r>
              <w:rPr>
                <w:rStyle w:val="IndexLink"/>
              </w:rPr>
              <w:t xml:space="preserve">2.3.1 </w:t>
            </w:r>
            <w:r>
              <w:rPr>
                <w:rStyle w:val="IndexLink"/>
              </w:rPr>
              <w:t>视觉定位任务定义</w:t>
            </w:r>
            <w:r>
              <w:rPr>
                <w:rStyle w:val="IndexLink"/>
              </w:rPr>
              <w:tab/>
              <w:t>10</w:t>
            </w:r>
          </w:hyperlink>
        </w:p>
        <w:p>
          <w:pPr>
            <w:pStyle w:val="Contents3"/>
            <w:tabs>
              <w:tab w:val="clear" w:pos="8494"/>
              <w:tab w:val="right" w:pos="8504" w:leader="dot"/>
            </w:tabs>
            <w:rPr/>
          </w:pPr>
          <w:hyperlink w:anchor="__RefHeading___Toc10386_2198631117">
            <w:r>
              <w:rPr>
                <w:rStyle w:val="IndexLink"/>
              </w:rPr>
              <w:t xml:space="preserve">2.3.2 </w:t>
            </w:r>
            <w:r>
              <w:rPr>
                <w:rStyle w:val="IndexLink"/>
              </w:rPr>
              <w:t>开放词表候选生成模型</w:t>
            </w:r>
            <w:r>
              <w:rPr>
                <w:rStyle w:val="IndexLink"/>
              </w:rPr>
              <w:tab/>
              <w:t>11</w:t>
            </w:r>
          </w:hyperlink>
        </w:p>
        <w:p>
          <w:pPr>
            <w:pStyle w:val="Contents3"/>
            <w:tabs>
              <w:tab w:val="clear" w:pos="8494"/>
              <w:tab w:val="right" w:pos="8504" w:leader="dot"/>
            </w:tabs>
            <w:rPr/>
          </w:pPr>
          <w:hyperlink w:anchor="__RefHeading___Toc10384_2198631117">
            <w:r>
              <w:rPr>
                <w:rStyle w:val="IndexLink"/>
              </w:rPr>
              <w:t xml:space="preserve">2.3.3 </w:t>
            </w:r>
            <w:r>
              <w:rPr>
                <w:rStyle w:val="IndexLink"/>
              </w:rPr>
              <w:t>候选框特征和置信度校准</w:t>
            </w:r>
            <w:r>
              <w:rPr>
                <w:rStyle w:val="IndexLink"/>
              </w:rPr>
              <w:tab/>
              <w:t>12</w:t>
            </w:r>
          </w:hyperlink>
        </w:p>
        <w:p>
          <w:pPr>
            <w:pStyle w:val="Contents2"/>
            <w:tabs>
              <w:tab w:val="clear" w:pos="498"/>
              <w:tab w:val="right" w:pos="8504" w:leader="dot"/>
            </w:tabs>
            <w:rPr/>
          </w:pPr>
          <w:hyperlink w:anchor="__RefHeading___Toc10344_2198631117">
            <w:r>
              <w:rPr>
                <w:rStyle w:val="IndexLink"/>
              </w:rPr>
              <w:t xml:space="preserve">2.4 </w:t>
            </w:r>
            <w:r>
              <w:rPr>
                <w:rStyle w:val="IndexLink"/>
              </w:rPr>
              <w:t>强化学习在候选框筛选中的应用</w:t>
            </w:r>
            <w:r>
              <w:rPr>
                <w:rStyle w:val="IndexLink"/>
              </w:rPr>
              <w:tab/>
              <w:t>13</w:t>
            </w:r>
          </w:hyperlink>
        </w:p>
        <w:p>
          <w:pPr>
            <w:pStyle w:val="Contents2"/>
            <w:tabs>
              <w:tab w:val="clear" w:pos="498"/>
              <w:tab w:val="right" w:pos="8504" w:leader="dot"/>
            </w:tabs>
            <w:rPr/>
          </w:pPr>
          <w:hyperlink w:anchor="__RefHeading___Toc10342_2198631117">
            <w:r>
              <w:rPr>
                <w:rStyle w:val="IndexLink"/>
              </w:rPr>
              <w:t xml:space="preserve">2.5 </w:t>
            </w:r>
            <w:r>
              <w:rPr>
                <w:rStyle w:val="IndexLink"/>
              </w:rPr>
              <w:t>候选框处理</w:t>
            </w:r>
            <w:r>
              <w:rPr>
                <w:rStyle w:val="IndexLink"/>
              </w:rPr>
              <w:tab/>
              <w:t>13</w:t>
            </w:r>
          </w:hyperlink>
        </w:p>
        <w:p>
          <w:pPr>
            <w:pStyle w:val="Contents2"/>
            <w:tabs>
              <w:tab w:val="clear" w:pos="498"/>
              <w:tab w:val="right" w:pos="8504" w:leader="dot"/>
            </w:tabs>
            <w:rPr/>
          </w:pPr>
          <w:hyperlink w:anchor="__RefHeading___Toc10340_2198631117">
            <w:r>
              <w:rPr>
                <w:rStyle w:val="IndexLink"/>
              </w:rPr>
              <w:t xml:space="preserve">2.6 </w:t>
            </w:r>
            <w:r>
              <w:rPr>
                <w:rStyle w:val="IndexLink"/>
              </w:rPr>
              <w:t>本章小结</w:t>
            </w:r>
            <w:r>
              <w:rPr>
                <w:rStyle w:val="IndexLink"/>
              </w:rPr>
              <w:tab/>
              <w:t>15</w:t>
            </w:r>
          </w:hyperlink>
        </w:p>
        <w:p>
          <w:pPr>
            <w:pStyle w:val="Contents1"/>
            <w:tabs>
              <w:tab w:val="clear" w:pos="8494"/>
              <w:tab w:val="right" w:pos="8504" w:leader="dot"/>
            </w:tabs>
            <w:rPr/>
          </w:pPr>
          <w:hyperlink w:anchor="__RefHeading___Toc10294_2198631117">
            <w:r>
              <w:rPr>
                <w:rStyle w:val="IndexLink"/>
              </w:rPr>
              <w:t>第</w:t>
            </w:r>
            <w:r>
              <w:rPr>
                <w:rStyle w:val="IndexLink"/>
              </w:rPr>
              <w:t>3</w:t>
            </w:r>
            <w:r>
              <w:rPr>
                <w:rStyle w:val="IndexLink"/>
              </w:rPr>
              <w:t xml:space="preserve">章 </w:t>
            </w:r>
            <w:r>
              <w:rPr>
                <w:rStyle w:val="IndexLink"/>
              </w:rPr>
              <w:t>Qwen</w:t>
            </w:r>
            <w:r>
              <w:rPr>
                <w:rStyle w:val="IndexLink"/>
              </w:rPr>
              <w:t>动态提示词与强化学习驱动的闭环航拍图像识别方法</w:t>
            </w:r>
            <w:r>
              <w:rPr>
                <w:rStyle w:val="IndexLink"/>
              </w:rPr>
              <w:tab/>
              <w:t>16</w:t>
            </w:r>
          </w:hyperlink>
        </w:p>
        <w:p>
          <w:pPr>
            <w:pStyle w:val="Contents2"/>
            <w:tabs>
              <w:tab w:val="clear" w:pos="498"/>
              <w:tab w:val="right" w:pos="8504" w:leader="dot"/>
            </w:tabs>
            <w:rPr/>
          </w:pPr>
          <w:hyperlink w:anchor="__RefHeading___Toc10338_2198631117">
            <w:r>
              <w:rPr>
                <w:rStyle w:val="IndexLink"/>
              </w:rPr>
              <w:t xml:space="preserve">3.1 </w:t>
            </w:r>
            <w:r>
              <w:rPr>
                <w:rStyle w:val="IndexLink"/>
              </w:rPr>
              <w:t>引言</w:t>
            </w:r>
            <w:r>
              <w:rPr>
                <w:rStyle w:val="IndexLink"/>
              </w:rPr>
              <w:tab/>
              <w:t>16</w:t>
            </w:r>
          </w:hyperlink>
        </w:p>
        <w:p>
          <w:pPr>
            <w:pStyle w:val="Contents2"/>
            <w:tabs>
              <w:tab w:val="clear" w:pos="498"/>
              <w:tab w:val="right" w:pos="8504" w:leader="dot"/>
            </w:tabs>
            <w:rPr/>
          </w:pPr>
          <w:hyperlink w:anchor="__RefHeading___Toc10336_2198631117">
            <w:r>
              <w:rPr>
                <w:rStyle w:val="IndexLink"/>
              </w:rPr>
              <w:t xml:space="preserve">3.2 </w:t>
            </w:r>
            <w:r>
              <w:rPr>
                <w:rStyle w:val="IndexLink"/>
              </w:rPr>
              <w:t>方法总体框架</w:t>
            </w:r>
            <w:r>
              <w:rPr>
                <w:rStyle w:val="IndexLink"/>
              </w:rPr>
              <w:tab/>
              <w:t>16</w:t>
            </w:r>
          </w:hyperlink>
        </w:p>
        <w:p>
          <w:pPr>
            <w:pStyle w:val="Contents2"/>
            <w:tabs>
              <w:tab w:val="clear" w:pos="498"/>
              <w:tab w:val="right" w:pos="8504" w:leader="dot"/>
            </w:tabs>
            <w:rPr/>
          </w:pPr>
          <w:hyperlink w:anchor="__RefHeading___Toc10334_2198631117">
            <w:r>
              <w:rPr>
                <w:rStyle w:val="IndexLink"/>
              </w:rPr>
              <w:t xml:space="preserve">3.3 Qwen </w:t>
            </w:r>
            <w:r>
              <w:rPr>
                <w:rStyle w:val="IndexLink"/>
              </w:rPr>
              <w:t>动态提示词与动作空间生成</w:t>
            </w:r>
            <w:r>
              <w:rPr>
                <w:rStyle w:val="IndexLink"/>
              </w:rPr>
              <w:tab/>
              <w:t>17</w:t>
            </w:r>
          </w:hyperlink>
        </w:p>
        <w:p>
          <w:pPr>
            <w:pStyle w:val="Contents3"/>
            <w:tabs>
              <w:tab w:val="clear" w:pos="8494"/>
              <w:tab w:val="right" w:pos="8504" w:leader="dot"/>
            </w:tabs>
            <w:rPr/>
          </w:pPr>
          <w:hyperlink w:anchor="__RefHeading___Toc10382_2198631117">
            <w:r>
              <w:rPr>
                <w:rStyle w:val="IndexLink"/>
              </w:rPr>
              <w:t xml:space="preserve">3.3.1 </w:t>
            </w:r>
            <w:r>
              <w:rPr>
                <w:rStyle w:val="IndexLink"/>
              </w:rPr>
              <w:t>查询解析与结构化提示词池</w:t>
            </w:r>
            <w:r>
              <w:rPr>
                <w:rStyle w:val="IndexLink"/>
              </w:rPr>
              <w:tab/>
              <w:t>17</w:t>
            </w:r>
          </w:hyperlink>
        </w:p>
        <w:p>
          <w:pPr>
            <w:pStyle w:val="Contents3"/>
            <w:tabs>
              <w:tab w:val="clear" w:pos="8494"/>
              <w:tab w:val="right" w:pos="8504" w:leader="dot"/>
            </w:tabs>
            <w:rPr/>
          </w:pPr>
          <w:hyperlink w:anchor="__RefHeading___Toc10380_2198631117">
            <w:r>
              <w:rPr>
                <w:rStyle w:val="IndexLink"/>
              </w:rPr>
              <w:t xml:space="preserve">3.3.2 </w:t>
            </w:r>
            <w:r>
              <w:rPr>
                <w:rStyle w:val="IndexLink"/>
              </w:rPr>
              <w:t>提示动作的结构化表示</w:t>
            </w:r>
            <w:r>
              <w:rPr>
                <w:rStyle w:val="IndexLink"/>
              </w:rPr>
              <w:tab/>
              <w:t>18</w:t>
            </w:r>
          </w:hyperlink>
        </w:p>
        <w:p>
          <w:pPr>
            <w:pStyle w:val="Contents2"/>
            <w:tabs>
              <w:tab w:val="clear" w:pos="498"/>
              <w:tab w:val="right" w:pos="8504" w:leader="dot"/>
            </w:tabs>
            <w:rPr/>
          </w:pPr>
          <w:hyperlink w:anchor="__RefHeading___Toc10332_2198631117">
            <w:r>
              <w:rPr>
                <w:rStyle w:val="IndexLink"/>
              </w:rPr>
              <w:t xml:space="preserve">3.4 </w:t>
            </w:r>
            <w:r>
              <w:rPr>
                <w:rStyle w:val="IndexLink"/>
              </w:rPr>
              <w:t>强化学习驱动的闭环候选扩展</w:t>
            </w:r>
            <w:r>
              <w:rPr>
                <w:rStyle w:val="IndexLink"/>
              </w:rPr>
              <w:tab/>
              <w:t>18</w:t>
            </w:r>
          </w:hyperlink>
        </w:p>
        <w:p>
          <w:pPr>
            <w:pStyle w:val="Contents3"/>
            <w:tabs>
              <w:tab w:val="clear" w:pos="8494"/>
              <w:tab w:val="right" w:pos="8504" w:leader="dot"/>
            </w:tabs>
            <w:rPr/>
          </w:pPr>
          <w:hyperlink w:anchor="__RefHeading___Toc10378_2198631117">
            <w:r>
              <w:rPr>
                <w:rStyle w:val="IndexLink"/>
              </w:rPr>
              <w:t>3.4.1 38</w:t>
            </w:r>
            <w:r>
              <w:rPr>
                <w:rStyle w:val="IndexLink"/>
              </w:rPr>
              <w:t>维候选状态</w:t>
            </w:r>
            <w:r>
              <w:rPr>
                <w:rStyle w:val="IndexLink"/>
              </w:rPr>
              <w:tab/>
              <w:t>18</w:t>
            </w:r>
          </w:hyperlink>
        </w:p>
        <w:p>
          <w:pPr>
            <w:pStyle w:val="Contents3"/>
            <w:tabs>
              <w:tab w:val="clear" w:pos="8494"/>
              <w:tab w:val="right" w:pos="8504" w:leader="dot"/>
            </w:tabs>
            <w:rPr/>
          </w:pPr>
          <w:hyperlink w:anchor="__RefHeading___Toc10376_2198631117">
            <w:r>
              <w:rPr>
                <w:rStyle w:val="IndexLink"/>
              </w:rPr>
              <w:t xml:space="preserve">3.4.2 </w:t>
            </w:r>
            <w:r>
              <w:rPr>
                <w:rStyle w:val="IndexLink"/>
              </w:rPr>
              <w:t>状态—动作匹配策略网络</w:t>
            </w:r>
            <w:r>
              <w:rPr>
                <w:rStyle w:val="IndexLink"/>
              </w:rPr>
              <w:tab/>
              <w:t>19</w:t>
            </w:r>
          </w:hyperlink>
        </w:p>
        <w:p>
          <w:pPr>
            <w:pStyle w:val="Contents3"/>
            <w:tabs>
              <w:tab w:val="clear" w:pos="8494"/>
              <w:tab w:val="right" w:pos="8504" w:leader="dot"/>
            </w:tabs>
            <w:rPr/>
          </w:pPr>
          <w:hyperlink w:anchor="__RefHeading___Toc10374_2198631117">
            <w:r>
              <w:rPr>
                <w:rStyle w:val="IndexLink"/>
              </w:rPr>
              <w:t xml:space="preserve">3.4.3 </w:t>
            </w:r>
            <w:r>
              <w:rPr>
                <w:rStyle w:val="IndexLink"/>
              </w:rPr>
              <w:t>奖励函数与策略训练</w:t>
            </w:r>
            <w:r>
              <w:rPr>
                <w:rStyle w:val="IndexLink"/>
              </w:rPr>
              <w:tab/>
              <w:t>19</w:t>
            </w:r>
          </w:hyperlink>
        </w:p>
        <w:p>
          <w:pPr>
            <w:pStyle w:val="Contents3"/>
            <w:tabs>
              <w:tab w:val="clear" w:pos="8494"/>
              <w:tab w:val="right" w:pos="8504" w:leader="dot"/>
            </w:tabs>
            <w:rPr/>
          </w:pPr>
          <w:hyperlink w:anchor="__RefHeading___Toc10372_2198631117">
            <w:r>
              <w:rPr>
                <w:rStyle w:val="IndexLink"/>
              </w:rPr>
              <w:t xml:space="preserve">3.4.4 </w:t>
            </w:r>
            <w:r>
              <w:rPr>
                <w:rStyle w:val="IndexLink"/>
              </w:rPr>
              <w:t>多轮闭环推理</w:t>
            </w:r>
            <w:r>
              <w:rPr>
                <w:rStyle w:val="IndexLink"/>
              </w:rPr>
              <w:tab/>
              <w:t>20</w:t>
            </w:r>
          </w:hyperlink>
        </w:p>
        <w:p>
          <w:pPr>
            <w:pStyle w:val="Contents2"/>
            <w:tabs>
              <w:tab w:val="clear" w:pos="498"/>
              <w:tab w:val="right" w:pos="8504" w:leader="dot"/>
            </w:tabs>
            <w:rPr/>
          </w:pPr>
          <w:hyperlink w:anchor="__RefHeading___Toc10330_2198631117">
            <w:r>
              <w:rPr>
                <w:rStyle w:val="IndexLink"/>
              </w:rPr>
              <w:t xml:space="preserve">3.5 </w:t>
            </w:r>
            <w:r>
              <w:rPr>
                <w:rStyle w:val="IndexLink"/>
              </w:rPr>
              <w:t>富元信息融合排序器</w:t>
            </w:r>
            <w:r>
              <w:rPr>
                <w:rStyle w:val="IndexLink"/>
              </w:rPr>
              <w:tab/>
              <w:t>20</w:t>
            </w:r>
          </w:hyperlink>
        </w:p>
        <w:p>
          <w:pPr>
            <w:pStyle w:val="Contents3"/>
            <w:tabs>
              <w:tab w:val="clear" w:pos="8494"/>
              <w:tab w:val="right" w:pos="8504" w:leader="dot"/>
            </w:tabs>
            <w:rPr/>
          </w:pPr>
          <w:hyperlink w:anchor="__RefHeading___Toc10370_2198631117">
            <w:r>
              <w:rPr>
                <w:rStyle w:val="IndexLink"/>
              </w:rPr>
              <w:t xml:space="preserve">3.5.1 </w:t>
            </w:r>
            <w:r>
              <w:rPr>
                <w:rStyle w:val="IndexLink"/>
              </w:rPr>
              <w:t>候选匹配与富元信息构建</w:t>
            </w:r>
            <w:r>
              <w:rPr>
                <w:rStyle w:val="IndexLink"/>
              </w:rPr>
              <w:tab/>
              <w:t>20</w:t>
            </w:r>
          </w:hyperlink>
        </w:p>
        <w:p>
          <w:pPr>
            <w:pStyle w:val="Contents3"/>
            <w:tabs>
              <w:tab w:val="clear" w:pos="8494"/>
              <w:tab w:val="right" w:pos="8504" w:leader="dot"/>
            </w:tabs>
            <w:rPr/>
          </w:pPr>
          <w:hyperlink w:anchor="__RefHeading___Toc10368_2198631117">
            <w:r>
              <w:rPr>
                <w:rStyle w:val="IndexLink"/>
              </w:rPr>
              <w:t xml:space="preserve">3.5.2 </w:t>
            </w:r>
            <w:r>
              <w:rPr>
                <w:rStyle w:val="IndexLink"/>
              </w:rPr>
              <w:t>排序模型与分数融合</w:t>
            </w:r>
            <w:r>
              <w:rPr>
                <w:rStyle w:val="IndexLink"/>
              </w:rPr>
              <w:tab/>
              <w:t>21</w:t>
            </w:r>
          </w:hyperlink>
        </w:p>
        <w:p>
          <w:pPr>
            <w:pStyle w:val="Contents3"/>
            <w:tabs>
              <w:tab w:val="clear" w:pos="8494"/>
              <w:tab w:val="right" w:pos="8504" w:leader="dot"/>
            </w:tabs>
            <w:rPr/>
          </w:pPr>
          <w:hyperlink w:anchor="__RefHeading___Toc10366_2198631117">
            <w:r>
              <w:rPr>
                <w:rStyle w:val="IndexLink"/>
              </w:rPr>
              <w:t xml:space="preserve">3.5.3 </w:t>
            </w:r>
            <w:r>
              <w:rPr>
                <w:rStyle w:val="IndexLink"/>
              </w:rPr>
              <w:t>类别感知后处理</w:t>
            </w:r>
            <w:r>
              <w:rPr>
                <w:rStyle w:val="IndexLink"/>
              </w:rPr>
              <w:tab/>
              <w:t>21</w:t>
            </w:r>
          </w:hyperlink>
        </w:p>
        <w:p>
          <w:pPr>
            <w:pStyle w:val="Contents2"/>
            <w:tabs>
              <w:tab w:val="clear" w:pos="498"/>
              <w:tab w:val="right" w:pos="8504" w:leader="dot"/>
            </w:tabs>
            <w:rPr/>
          </w:pPr>
          <w:hyperlink w:anchor="__RefHeading___Toc10328_2198631117">
            <w:r>
              <w:rPr>
                <w:rStyle w:val="IndexLink"/>
              </w:rPr>
              <w:t xml:space="preserve">3.6 </w:t>
            </w:r>
            <w:r>
              <w:rPr>
                <w:rStyle w:val="IndexLink"/>
              </w:rPr>
              <w:t>训练与推理流程</w:t>
            </w:r>
            <w:r>
              <w:rPr>
                <w:rStyle w:val="IndexLink"/>
              </w:rPr>
              <w:tab/>
              <w:t>21</w:t>
            </w:r>
          </w:hyperlink>
        </w:p>
        <w:p>
          <w:pPr>
            <w:pStyle w:val="Contents2"/>
            <w:tabs>
              <w:tab w:val="clear" w:pos="498"/>
              <w:tab w:val="right" w:pos="8504" w:leader="dot"/>
            </w:tabs>
            <w:rPr/>
          </w:pPr>
          <w:hyperlink w:anchor="__RefHeading___Toc10326_2198631117">
            <w:r>
              <w:rPr>
                <w:rStyle w:val="IndexLink"/>
              </w:rPr>
              <w:t xml:space="preserve">3.7 </w:t>
            </w:r>
            <w:r>
              <w:rPr>
                <w:rStyle w:val="IndexLink"/>
              </w:rPr>
              <w:t>本章小结</w:t>
            </w:r>
            <w:r>
              <w:rPr>
                <w:rStyle w:val="IndexLink"/>
              </w:rPr>
              <w:tab/>
              <w:t>22</w:t>
            </w:r>
          </w:hyperlink>
        </w:p>
        <w:p>
          <w:pPr>
            <w:pStyle w:val="Contents1"/>
            <w:tabs>
              <w:tab w:val="clear" w:pos="8494"/>
              <w:tab w:val="right" w:pos="8504" w:leader="dot"/>
            </w:tabs>
            <w:rPr/>
          </w:pPr>
          <w:hyperlink w:anchor="__RefHeading___Toc10296_2198631117">
            <w:r>
              <w:rPr>
                <w:rStyle w:val="IndexLink"/>
              </w:rPr>
              <w:t>第</w:t>
            </w:r>
            <w:r>
              <w:rPr>
                <w:rStyle w:val="IndexLink"/>
              </w:rPr>
              <w:t>4</w:t>
            </w:r>
            <w:r>
              <w:rPr>
                <w:rStyle w:val="IndexLink"/>
              </w:rPr>
              <w:t>章 实验设置与结果分析</w:t>
            </w:r>
            <w:r>
              <w:rPr>
                <w:rStyle w:val="IndexLink"/>
              </w:rPr>
              <w:tab/>
              <w:t>23</w:t>
            </w:r>
          </w:hyperlink>
        </w:p>
        <w:p>
          <w:pPr>
            <w:pStyle w:val="Contents2"/>
            <w:tabs>
              <w:tab w:val="clear" w:pos="498"/>
              <w:tab w:val="right" w:pos="8504" w:leader="dot"/>
            </w:tabs>
            <w:rPr/>
          </w:pPr>
          <w:hyperlink w:anchor="__RefHeading___Toc10324_2198631117">
            <w:r>
              <w:rPr>
                <w:rStyle w:val="IndexLink"/>
              </w:rPr>
              <w:t xml:space="preserve">4.1 </w:t>
            </w:r>
            <w:r>
              <w:rPr>
                <w:rStyle w:val="IndexLink"/>
              </w:rPr>
              <w:t>引言</w:t>
            </w:r>
            <w:r>
              <w:rPr>
                <w:rStyle w:val="IndexLink"/>
              </w:rPr>
              <w:tab/>
              <w:t>23</w:t>
            </w:r>
          </w:hyperlink>
        </w:p>
        <w:p>
          <w:pPr>
            <w:pStyle w:val="Contents2"/>
            <w:tabs>
              <w:tab w:val="clear" w:pos="498"/>
              <w:tab w:val="right" w:pos="8504" w:leader="dot"/>
            </w:tabs>
            <w:rPr/>
          </w:pPr>
          <w:hyperlink w:anchor="__RefHeading___Toc10322_2198631117">
            <w:r>
              <w:rPr>
                <w:rStyle w:val="IndexLink"/>
              </w:rPr>
              <w:t xml:space="preserve">4.2 </w:t>
            </w:r>
            <w:r>
              <w:rPr>
                <w:rStyle w:val="IndexLink"/>
              </w:rPr>
              <w:t>实验设置</w:t>
            </w:r>
            <w:r>
              <w:rPr>
                <w:rStyle w:val="IndexLink"/>
              </w:rPr>
              <w:tab/>
              <w:t>23</w:t>
            </w:r>
          </w:hyperlink>
        </w:p>
        <w:p>
          <w:pPr>
            <w:pStyle w:val="Contents3"/>
            <w:tabs>
              <w:tab w:val="clear" w:pos="8494"/>
              <w:tab w:val="right" w:pos="8504" w:leader="dot"/>
            </w:tabs>
            <w:rPr/>
          </w:pPr>
          <w:hyperlink w:anchor="__RefHeading___Toc10364_2198631117">
            <w:r>
              <w:rPr>
                <w:rStyle w:val="IndexLink"/>
              </w:rPr>
              <w:t xml:space="preserve">4.2.1 </w:t>
            </w:r>
            <w:r>
              <w:rPr>
                <w:rStyle w:val="IndexLink"/>
              </w:rPr>
              <w:t>数据集与评价协议</w:t>
            </w:r>
            <w:r>
              <w:rPr>
                <w:rStyle w:val="IndexLink"/>
              </w:rPr>
              <w:tab/>
              <w:t>23</w:t>
            </w:r>
          </w:hyperlink>
        </w:p>
        <w:p>
          <w:pPr>
            <w:pStyle w:val="Contents3"/>
            <w:tabs>
              <w:tab w:val="clear" w:pos="8494"/>
              <w:tab w:val="right" w:pos="8504" w:leader="dot"/>
            </w:tabs>
            <w:rPr/>
          </w:pPr>
          <w:hyperlink w:anchor="__RefHeading___Toc10362_2198631117">
            <w:r>
              <w:rPr>
                <w:rStyle w:val="IndexLink"/>
              </w:rPr>
              <w:t xml:space="preserve">4.2.2 </w:t>
            </w:r>
            <w:r>
              <w:rPr>
                <w:rStyle w:val="IndexLink"/>
              </w:rPr>
              <w:t>评价指标与实现细节</w:t>
            </w:r>
            <w:r>
              <w:rPr>
                <w:rStyle w:val="IndexLink"/>
              </w:rPr>
              <w:tab/>
              <w:t>24</w:t>
            </w:r>
          </w:hyperlink>
        </w:p>
        <w:p>
          <w:pPr>
            <w:pStyle w:val="Contents2"/>
            <w:tabs>
              <w:tab w:val="clear" w:pos="498"/>
              <w:tab w:val="right" w:pos="8504" w:leader="dot"/>
            </w:tabs>
            <w:rPr/>
          </w:pPr>
          <w:hyperlink w:anchor="__RefHeading___Toc10320_2198631117">
            <w:r>
              <w:rPr>
                <w:rStyle w:val="IndexLink"/>
              </w:rPr>
              <w:t xml:space="preserve">4.3 Qwen </w:t>
            </w:r>
            <w:r>
              <w:rPr>
                <w:rStyle w:val="IndexLink"/>
              </w:rPr>
              <w:t>动态动作与固定策略对比</w:t>
            </w:r>
            <w:r>
              <w:rPr>
                <w:rStyle w:val="IndexLink"/>
              </w:rPr>
              <w:tab/>
              <w:t>24</w:t>
            </w:r>
          </w:hyperlink>
        </w:p>
        <w:p>
          <w:pPr>
            <w:pStyle w:val="Contents2"/>
            <w:tabs>
              <w:tab w:val="clear" w:pos="498"/>
              <w:tab w:val="right" w:pos="8504" w:leader="dot"/>
            </w:tabs>
            <w:rPr/>
          </w:pPr>
          <w:hyperlink w:anchor="__RefHeading___Toc10318_2198631117">
            <w:r>
              <w:rPr>
                <w:rStyle w:val="IndexLink"/>
              </w:rPr>
              <w:t xml:space="preserve">4.4 </w:t>
            </w:r>
            <w:r>
              <w:rPr>
                <w:rStyle w:val="IndexLink"/>
              </w:rPr>
              <w:t>闭环轮数消融</w:t>
            </w:r>
            <w:r>
              <w:rPr>
                <w:rStyle w:val="IndexLink"/>
              </w:rPr>
              <w:tab/>
              <w:t>25</w:t>
            </w:r>
          </w:hyperlink>
        </w:p>
        <w:p>
          <w:pPr>
            <w:pStyle w:val="Contents2"/>
            <w:tabs>
              <w:tab w:val="clear" w:pos="498"/>
              <w:tab w:val="right" w:pos="8504" w:leader="dot"/>
            </w:tabs>
            <w:rPr/>
          </w:pPr>
          <w:hyperlink w:anchor="__RefHeading___Toc10316_2198631117">
            <w:r>
              <w:rPr>
                <w:rStyle w:val="IndexLink"/>
              </w:rPr>
              <w:t xml:space="preserve">4.5 RL </w:t>
            </w:r>
            <w:r>
              <w:rPr>
                <w:rStyle w:val="IndexLink"/>
              </w:rPr>
              <w:t>动作策略消融</w:t>
            </w:r>
            <w:r>
              <w:rPr>
                <w:rStyle w:val="IndexLink"/>
              </w:rPr>
              <w:tab/>
              <w:t>25</w:t>
            </w:r>
          </w:hyperlink>
        </w:p>
        <w:p>
          <w:pPr>
            <w:pStyle w:val="Contents2"/>
            <w:tabs>
              <w:tab w:val="clear" w:pos="498"/>
              <w:tab w:val="right" w:pos="8504" w:leader="dot"/>
            </w:tabs>
            <w:rPr/>
          </w:pPr>
          <w:hyperlink w:anchor="__RefHeading___Toc10314_2198631117">
            <w:r>
              <w:rPr>
                <w:rStyle w:val="IndexLink"/>
              </w:rPr>
              <w:t xml:space="preserve">4.6 </w:t>
            </w:r>
            <w:r>
              <w:rPr>
                <w:rStyle w:val="IndexLink"/>
              </w:rPr>
              <w:t>固定候选集排序实验</w:t>
            </w:r>
            <w:r>
              <w:rPr>
                <w:rStyle w:val="IndexLink"/>
              </w:rPr>
              <w:tab/>
              <w:t>27</w:t>
            </w:r>
          </w:hyperlink>
        </w:p>
        <w:p>
          <w:pPr>
            <w:pStyle w:val="Contents2"/>
            <w:tabs>
              <w:tab w:val="clear" w:pos="498"/>
              <w:tab w:val="right" w:pos="8504" w:leader="dot"/>
            </w:tabs>
            <w:rPr/>
          </w:pPr>
          <w:hyperlink w:anchor="__RefHeading___Toc10312_2198631117">
            <w:r>
              <w:rPr>
                <w:rStyle w:val="IndexLink"/>
              </w:rPr>
              <w:t xml:space="preserve">4.7 </w:t>
            </w:r>
            <w:r>
              <w:rPr>
                <w:rStyle w:val="IndexLink"/>
              </w:rPr>
              <w:t>富元信息特征消融</w:t>
            </w:r>
            <w:r>
              <w:rPr>
                <w:rStyle w:val="IndexLink"/>
              </w:rPr>
              <w:tab/>
              <w:t>27</w:t>
            </w:r>
          </w:hyperlink>
        </w:p>
        <w:p>
          <w:pPr>
            <w:pStyle w:val="Contents2"/>
            <w:tabs>
              <w:tab w:val="clear" w:pos="498"/>
              <w:tab w:val="right" w:pos="8504" w:leader="dot"/>
            </w:tabs>
            <w:rPr/>
          </w:pPr>
          <w:hyperlink w:anchor="__RefHeading___Toc10310_2198631117">
            <w:r>
              <w:rPr>
                <w:rStyle w:val="IndexLink"/>
              </w:rPr>
              <w:t xml:space="preserve">4.8 </w:t>
            </w:r>
            <w:r>
              <w:rPr>
                <w:rStyle w:val="IndexLink"/>
              </w:rPr>
              <w:t>定性分析与局限性</w:t>
            </w:r>
            <w:r>
              <w:rPr>
                <w:rStyle w:val="IndexLink"/>
              </w:rPr>
              <w:tab/>
              <w:t>28</w:t>
            </w:r>
          </w:hyperlink>
        </w:p>
        <w:p>
          <w:pPr>
            <w:pStyle w:val="Contents2"/>
            <w:tabs>
              <w:tab w:val="clear" w:pos="498"/>
              <w:tab w:val="right" w:pos="8504" w:leader="dot"/>
            </w:tabs>
            <w:rPr/>
          </w:pPr>
          <w:hyperlink w:anchor="__RefHeading___Toc10308_2198631117">
            <w:r>
              <w:rPr>
                <w:rStyle w:val="IndexLink"/>
              </w:rPr>
              <w:t xml:space="preserve">4.9 </w:t>
            </w:r>
            <w:r>
              <w:rPr>
                <w:rStyle w:val="IndexLink"/>
              </w:rPr>
              <w:t>本章小结</w:t>
            </w:r>
            <w:r>
              <w:rPr>
                <w:rStyle w:val="IndexLink"/>
              </w:rPr>
              <w:tab/>
              <w:t>28</w:t>
            </w:r>
          </w:hyperlink>
        </w:p>
        <w:p>
          <w:pPr>
            <w:pStyle w:val="Contents1"/>
            <w:tabs>
              <w:tab w:val="clear" w:pos="8494"/>
              <w:tab w:val="right" w:pos="8504" w:leader="dot"/>
            </w:tabs>
            <w:rPr/>
          </w:pPr>
          <w:hyperlink w:anchor="__RefHeading___Toc10298_2198631117">
            <w:r>
              <w:rPr>
                <w:rStyle w:val="IndexLink"/>
              </w:rPr>
              <w:t>结论</w:t>
            </w:r>
            <w:r>
              <w:rPr>
                <w:rStyle w:val="IndexLink"/>
              </w:rPr>
              <w:tab/>
              <w:t>30</w:t>
            </w:r>
          </w:hyperlink>
        </w:p>
        <w:p>
          <w:pPr>
            <w:pStyle w:val="Contents1"/>
            <w:tabs>
              <w:tab w:val="clear" w:pos="8494"/>
              <w:tab w:val="right" w:pos="8504" w:leader="dot"/>
            </w:tabs>
            <w:rPr/>
          </w:pPr>
          <w:hyperlink w:anchor="__RefHeading___Toc10300_2198631117">
            <w:r>
              <w:rPr>
                <w:rStyle w:val="IndexLink"/>
              </w:rPr>
              <w:t>参考文献</w:t>
            </w:r>
            <w:r>
              <w:rPr>
                <w:rStyle w:val="IndexLink"/>
              </w:rPr>
              <w:tab/>
              <w:t>32</w:t>
            </w:r>
          </w:hyperlink>
        </w:p>
        <w:p>
          <w:pPr>
            <w:pStyle w:val="Contents1"/>
            <w:tabs>
              <w:tab w:val="clear" w:pos="8494"/>
              <w:tab w:val="right" w:pos="8504" w:leader="dot"/>
            </w:tabs>
            <w:rPr/>
          </w:pPr>
          <w:hyperlink w:anchor="__RefHeading___Toc10302_2198631117">
            <w:r>
              <w:rPr>
                <w:rStyle w:val="IndexLink"/>
              </w:rPr>
              <w:t>哈尔滨工业大学本科综合设计（论文） 原创性声明和使用权限</w:t>
            </w:r>
            <w:r>
              <w:rPr>
                <w:rStyle w:val="IndexLink"/>
              </w:rPr>
              <w:tab/>
              <w:t>34</w:t>
            </w:r>
          </w:hyperlink>
        </w:p>
        <w:p>
          <w:pPr>
            <w:pStyle w:val="Contents1"/>
            <w:tabs>
              <w:tab w:val="clear" w:pos="8494"/>
              <w:tab w:val="right" w:pos="8504" w:leader="dot"/>
            </w:tabs>
            <w:rPr/>
          </w:pPr>
          <w:hyperlink w:anchor="__RefHeading___Toc10304_2198631117">
            <w:r>
              <w:rPr>
                <w:rStyle w:val="IndexLink"/>
              </w:rPr>
              <w:t>致谢</w:t>
            </w:r>
            <w:r>
              <w:rPr>
                <w:rStyle w:val="IndexLink"/>
              </w:rPr>
              <w:tab/>
              <w:t>36</w:t>
            </w:r>
          </w:hyperlink>
          <w:r>
            <w:rPr>
              <w:rStyle w:val="IndexLink"/>
            </w:rPr>
            <w:fldChar w:fldCharType="end"/>
          </w:r>
        </w:p>
      </w:sdtContent>
    </w:sdt>
    <w:p>
      <w:pPr>
        <w:pStyle w:val="Normal"/>
        <w:widowControl w:val="false"/>
        <w:bidi w:val="0"/>
        <w:spacing w:before="0" w:after="0"/>
        <w:jc w:val="both"/>
        <w:rPr>
          <w:rFonts w:ascii="Times New Roman" w:hAnsi="Times New Roman" w:eastAsia="宋体" w:cs="Times New Roman"/>
          <w:kern w:val="2"/>
          <w:sz w:val="24"/>
          <w:szCs w:val="24"/>
          <w:lang w:val="en-US" w:eastAsia="zh-CN" w:bidi="ar-SA"/>
        </w:rPr>
      </w:pPr>
      <w:r>
        <w:rPr>
          <w:rFonts w:eastAsia="宋体" w:cs="Times New Roman"/>
          <w:kern w:val="2"/>
          <w:sz w:val="24"/>
          <w:szCs w:val="24"/>
          <w:lang w:val="en-US" w:eastAsia="zh-CN" w:bidi="ar-SA"/>
        </w:rPr>
      </w:r>
    </w:p>
    <w:p>
      <w:pPr>
        <w:sectPr>
          <w:headerReference w:type="default" r:id="rId12"/>
          <w:footerReference w:type="even" r:id="rId13"/>
          <w:footerReference w:type="default" r:id="rId14"/>
          <w:footerReference w:type="first" r:id="rId15"/>
          <w:type w:val="nextPage"/>
          <w:pgSz w:w="11906" w:h="16838"/>
          <w:pgMar w:left="1701" w:right="1701" w:gutter="0" w:header="1701" w:top="1758" w:footer="1304" w:bottom="1616"/>
          <w:pgNumType w:start="1" w:fmt="upperRoman"/>
          <w:formProt w:val="false"/>
          <w:textDirection w:val="lrTb"/>
          <w:docGrid w:type="linesAndChars" w:linePitch="412" w:charSpace="2252"/>
        </w:sectPr>
        <w:pStyle w:val="Style20"/>
        <w:rPr/>
      </w:pPr>
      <w:r>
        <w:rPr/>
        <w:t xml:space="preserve"> </w:t>
      </w:r>
    </w:p>
    <w:p>
      <w:pPr>
        <w:pStyle w:val="Heading1"/>
        <w:numPr>
          <w:ilvl w:val="0"/>
          <w:numId w:val="1"/>
        </w:numPr>
        <w:spacing w:before="412" w:after="329"/>
        <w:rPr/>
      </w:pPr>
      <w:bookmarkStart w:id="54" w:name="_Toc280797187"/>
      <w:bookmarkStart w:id="55" w:name="_Toc77239801"/>
      <w:bookmarkStart w:id="56" w:name="_Toc77166478"/>
      <w:bookmarkStart w:id="57" w:name="_Toc77260836"/>
      <w:bookmarkStart w:id="58" w:name="_Toc280715540"/>
      <w:bookmarkStart w:id="59" w:name="_Toc77166477"/>
      <w:bookmarkStart w:id="60" w:name="_Toc250450165"/>
      <w:bookmarkStart w:id="61" w:name="_Toc88830380"/>
      <w:bookmarkStart w:id="62" w:name="_Toc77262186"/>
      <w:bookmarkStart w:id="63" w:name="_Toc225579641"/>
      <w:bookmarkStart w:id="64" w:name="_Toc280628506"/>
      <w:bookmarkStart w:id="65" w:name="_Toc77239679"/>
      <w:bookmarkStart w:id="66" w:name="_Toc77239774"/>
      <w:bookmarkStart w:id="67" w:name="_Toc77261018"/>
      <w:bookmarkStart w:id="68" w:name="_Toc88830493"/>
      <w:bookmarkStart w:id="69" w:name="_Toc280715685"/>
      <w:bookmarkStart w:id="70" w:name="__RefHeading___Toc10290_2198631117"/>
      <w:bookmarkStart w:id="71" w:name="_Toc5328"/>
      <w:bookmarkStart w:id="72" w:name="_Toc11728"/>
      <w:bookmarkStart w:id="73" w:name="_Toc26888"/>
      <w:bookmarkStart w:id="74" w:name="_Toc23940"/>
      <w:bookmarkStart w:id="75" w:name="_Toc14171"/>
      <w:bookmarkEnd w:id="70"/>
      <w:r>
        <w:rPr/>
        <w:t>绪论</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1"/>
      <w:bookmarkEnd w:id="72"/>
      <w:bookmarkEnd w:id="73"/>
      <w:bookmarkEnd w:id="74"/>
      <w:bookmarkEnd w:id="75"/>
    </w:p>
    <w:p>
      <w:pPr>
        <w:pStyle w:val="23"/>
        <w:numPr>
          <w:ilvl w:val="1"/>
          <w:numId w:val="1"/>
        </w:numPr>
        <w:spacing w:before="206" w:after="206"/>
        <w:rPr/>
      </w:pPr>
      <w:bookmarkStart w:id="76" w:name="_Toc77239775"/>
      <w:bookmarkStart w:id="77" w:name="_Toc77260837"/>
      <w:bookmarkStart w:id="78" w:name="_Toc77262187"/>
      <w:bookmarkStart w:id="79" w:name="_Toc77239802"/>
      <w:bookmarkStart w:id="80" w:name="_Toc77239680"/>
      <w:bookmarkStart w:id="81" w:name="_Toc77261019"/>
      <w:bookmarkStart w:id="82" w:name="__RefHeading___Toc10306_2198631117"/>
      <w:bookmarkStart w:id="83" w:name="_Toc20019"/>
      <w:bookmarkStart w:id="84" w:name="_Toc106"/>
      <w:bookmarkStart w:id="85" w:name="_Toc2519"/>
      <w:bookmarkStart w:id="86" w:name="_Toc25523"/>
      <w:bookmarkStart w:id="87" w:name="_Toc26694"/>
      <w:bookmarkEnd w:id="82"/>
      <w:r>
        <w:rPr/>
        <w:t>课题背景</w:t>
      </w:r>
      <w:bookmarkEnd w:id="76"/>
      <w:bookmarkEnd w:id="77"/>
      <w:bookmarkEnd w:id="78"/>
      <w:bookmarkEnd w:id="79"/>
      <w:bookmarkEnd w:id="80"/>
      <w:bookmarkEnd w:id="81"/>
      <w:r>
        <w:rPr/>
        <w:t>及研究的目的和意义</w:t>
      </w:r>
      <w:bookmarkEnd w:id="25"/>
      <w:bookmarkEnd w:id="26"/>
      <w:bookmarkEnd w:id="28"/>
      <w:bookmarkEnd w:id="31"/>
      <w:bookmarkEnd w:id="35"/>
      <w:bookmarkEnd w:id="41"/>
      <w:bookmarkEnd w:id="45"/>
      <w:bookmarkEnd w:id="53"/>
      <w:bookmarkEnd w:id="83"/>
      <w:bookmarkEnd w:id="84"/>
      <w:bookmarkEnd w:id="85"/>
      <w:bookmarkEnd w:id="86"/>
      <w:bookmarkEnd w:id="87"/>
    </w:p>
    <w:p>
      <w:pPr>
        <w:pStyle w:val="Style12"/>
        <w:ind w:firstLine="503"/>
        <w:rPr/>
      </w:pPr>
      <w:r>
        <w:rPr/>
        <w:t>随着无人机平台、嵌入式计算设备和低空遥感技术的快速发展，航拍图像已经广泛应用于城市交通监测、应急救援、安防巡检、灾害评估和智慧城市管理等场景。相比固定摄像头或地面采集设备，无人机具有部署灵活、视野开阔、覆盖范围大等优势，能够在复杂环境下快速获取大范围、高分辨率的视觉信息。然而，航拍图像通常存在拍摄高度变化大、视角俯仰明显、目标尺度小、背景复杂、遮挡严重以及目标密集分布等特点，这使得传统目标检测与识别方法在实际应用中容易出现漏检、误检和定位不准确等问题。因此，研究面向无人机航拍场景的高精度图像识别方法具有重要的理论意义和应用价值。</w:t>
      </w:r>
    </w:p>
    <w:p>
      <w:pPr>
        <w:pStyle w:val="Style12"/>
        <w:ind w:firstLine="503"/>
        <w:rPr/>
      </w:pPr>
      <w:r>
        <w:rPr/>
        <w:t>近年来，深度学习推动了目标检测、视觉定位和多模态理解任务的快速发展。以</w:t>
      </w:r>
      <w:r>
        <w:rPr/>
        <w:t>Faster R-CNN</w:t>
      </w:r>
      <w:r>
        <w:rPr/>
        <w:t>、</w:t>
      </w:r>
      <w:r>
        <w:rPr/>
        <w:t>YOLO</w:t>
      </w:r>
      <w:r>
        <w:rPr/>
        <w:t>、</w:t>
      </w:r>
      <w:r>
        <w:rPr/>
        <w:t>DETR</w:t>
      </w:r>
      <w:r>
        <w:rPr/>
        <w:t>等为代表的目标检测方法在自然图像数据集上取得了较好效果；同时，开放词表检测与视觉语言模型进一步引入文本语义信息，使模型能够根据类别名称或自然语言查询在图像中定位目标。这类方法为无人机航拍图像识别提供了新的思路：系统不再仅依赖固定类别标签，而是可以通过“图像</w:t>
      </w:r>
      <w:r>
        <w:rPr/>
        <w:t>+</w:t>
      </w:r>
      <w:r>
        <w:rPr/>
        <w:t>文本查询”的方式完成更加灵活的目标检索与定位。对于真实航拍任务而言，这种能力有助于提升模型对弱类别和开放语义目标的适应性。</w:t>
      </w:r>
    </w:p>
    <w:p>
      <w:pPr>
        <w:pStyle w:val="Style12"/>
        <w:ind w:firstLine="503"/>
        <w:rPr/>
      </w:pPr>
      <w:r>
        <w:rPr/>
        <w:t>但是，现有视觉语言检测模型直接应用于无人机航拍图像时仍面临明显挑战。首先，航拍图像中的目标往往尺度很小，同一图像中目标数量多且外观相似，模型生成的候选框容易遗漏弱小目标。其次，不同类别之间存在较强视觉混淆，例如</w:t>
      </w:r>
      <w:r>
        <w:rPr/>
        <w:t>pedestrian</w:t>
      </w:r>
      <w:r>
        <w:rPr/>
        <w:t>与</w:t>
      </w:r>
      <w:r>
        <w:rPr/>
        <w:t>people</w:t>
      </w:r>
      <w:r>
        <w:rPr/>
        <w:t>、</w:t>
      </w:r>
      <w:r>
        <w:rPr/>
        <w:t>motor</w:t>
      </w:r>
      <w:r>
        <w:rPr/>
        <w:t>与</w:t>
      </w:r>
      <w:r>
        <w:rPr/>
        <w:t>bicycle</w:t>
      </w:r>
      <w:r>
        <w:rPr/>
        <w:t>、</w:t>
      </w:r>
      <w:r>
        <w:rPr/>
        <w:t>tricycle</w:t>
      </w:r>
      <w:r>
        <w:rPr/>
        <w:t>与</w:t>
      </w:r>
      <w:r>
        <w:rPr/>
        <w:t>awning tricycle</w:t>
      </w:r>
      <w:r>
        <w:rPr/>
        <w:t>等类别在低分辨率航拍视角下边界并不清晰，导致候选框置信度排序不稳定。再次，通用检测模型输出的候选框数量较多，若缺少有效的筛选和校准机制，会在提高召回率的同时引入大量假阳性，从而影响最终检测精度和视觉定位效果。因此，仅依靠基础检测模型或简单阈值后处理，难以满足航拍小目标识别任务对召回率、准确率和定位稳定性的综合要求。</w:t>
      </w:r>
    </w:p>
    <w:p>
      <w:pPr>
        <w:pStyle w:val="Style12"/>
        <w:ind w:firstLine="503"/>
        <w:rPr/>
      </w:pPr>
      <w:r>
        <w:rPr/>
        <w:t>针对上述问题，本课题围绕无人机航拍图像中的视觉定位与目标识别展开研究，以开放词表检测模型为基础，结合候选框召回增强、文本查询建模、类别别名扩展、小目标先验、候选框重排序和强化学习式校准等策略，构建面向航拍场景的闭环图像识别方法。该方法希望在保持在线推理能力的同时，提升小目标候选框召回率，并通过后续打分器或校准器抑制冗余候选框，提高最终预测结果的可靠性。</w:t>
      </w:r>
    </w:p>
    <w:p>
      <w:pPr>
        <w:pStyle w:val="23"/>
        <w:numPr>
          <w:ilvl w:val="1"/>
          <w:numId w:val="1"/>
        </w:numPr>
        <w:spacing w:before="206" w:after="206"/>
        <w:rPr/>
      </w:pPr>
      <w:bookmarkStart w:id="88" w:name="__RefHeading___Toc10358_2198631117"/>
      <w:bookmarkStart w:id="89" w:name="_Toc13979"/>
      <w:bookmarkEnd w:id="88"/>
      <w:r>
        <w:rPr/>
        <w:t>国内外研究现状</w:t>
      </w:r>
      <w:bookmarkEnd w:id="89"/>
    </w:p>
    <w:p>
      <w:pPr>
        <w:pStyle w:val="231"/>
        <w:numPr>
          <w:ilvl w:val="2"/>
          <w:numId w:val="1"/>
        </w:numPr>
        <w:spacing w:before="206" w:after="206"/>
        <w:rPr>
          <w:rStyle w:val="Char"/>
        </w:rPr>
      </w:pPr>
      <w:bookmarkStart w:id="90" w:name="__RefHeading___Toc10360_2198631117"/>
      <w:bookmarkStart w:id="91" w:name="_Toc10918"/>
      <w:bookmarkStart w:id="92" w:name="_Toc15807"/>
      <w:bookmarkEnd w:id="90"/>
      <w:r>
        <w:rPr>
          <w:rStyle w:val="Char"/>
          <w:lang w:val="en-US"/>
        </w:rPr>
        <w:t>基于强化学习的图像识别研究方法</w:t>
      </w:r>
      <w:bookmarkEnd w:id="92"/>
    </w:p>
    <w:p>
      <w:pPr>
        <w:pStyle w:val="Style12"/>
        <w:ind w:firstLine="503"/>
        <w:rPr/>
      </w:pPr>
      <w:r>
        <w:rPr/>
        <w:t>近年来，强化学习在计算机视觉领域的应用逐渐从传统控制任务扩展到图像识别、视觉定位、多模态推理等方向。传统图像识别方法通常采用静态前向推理方式，即模型在输入整幅图像后一次性输出识别结果。这类方法在自然图像场景中已经取得较好效果，但在复杂环境下仍存在一定局限，尤其是在目标尺度变化大、背景干扰强、目标局部特征不明显的情况下，模型难以主动调整关注区域，也缺少根据识别结果进行自我修正的能力。强化学习通过“状态—动作—奖励”的交互机制，为图像识别任务提供了一种动态决策思路，使模型能够根据当前观测结果选择下一步处理策略，从而提升对复杂视觉场景的适应能力。</w:t>
      </w:r>
    </w:p>
    <w:p>
      <w:pPr>
        <w:pStyle w:val="Style12"/>
        <w:ind w:firstLine="503"/>
        <w:rPr/>
      </w:pPr>
      <w:r>
        <w:rPr/>
        <w:t xml:space="preserve">在图像识别任务中，强化学习常被用于主动视觉感知、区域选择、目标搜索和检测结果优化等方面。部分研究将图像识别过程建模为序列决策问题，使智能体根据当前图像状态选择裁剪、缩放、平移或重新观察等动作，以逐步聚焦目标区域。这种方法能够模拟人类视觉系统中“先全局观察、再局部注视”的过程，有助于减少背景冗余信息对识别结果的干扰。也有研究将强化学习用于检测框筛选和后处理优化，通过奖励函数引导模型保留高质量候选框、抑制误检框，从而改善最终检测指标。与单纯依赖监督学习的分类或回归损失相比，强化学习能够直接围绕任务评价指标进行优化，在目标检测、视觉问答和视觉定位等任务中具有较强的应用潜力。 </w:t>
      </w:r>
      <w:r>
        <w:rPr>
          <w:vertAlign w:val="superscript"/>
        </w:rPr>
        <w:fldChar w:fldCharType="begin"/>
      </w:r>
      <w:r>
        <w:rPr>
          <w:vertAlign w:val="superscript"/>
        </w:rPr>
        <w:instrText xml:space="preserve"> REF _Ref782 \r \h </w:instrText>
      </w:r>
      <w:r>
        <w:rPr>
          <w:vertAlign w:val="superscript"/>
        </w:rPr>
        <w:fldChar w:fldCharType="separate"/>
      </w:r>
      <w:r>
        <w:rPr>
          <w:vertAlign w:val="superscript"/>
        </w:rPr>
        <w:t>[19]</w:t>
      </w:r>
      <w:r>
        <w:rPr>
          <w:vertAlign w:val="superscript"/>
        </w:rPr>
        <w:fldChar w:fldCharType="end"/>
      </w:r>
      <w:r>
        <w:rPr>
          <w:vertAlign w:val="superscript"/>
        </w:rPr>
        <w:fldChar w:fldCharType="begin"/>
      </w:r>
      <w:r>
        <w:rPr>
          <w:vertAlign w:val="superscript"/>
        </w:rPr>
        <w:instrText xml:space="preserve"> REF _Ref785 \r \h </w:instrText>
      </w:r>
      <w:r>
        <w:rPr>
          <w:vertAlign w:val="superscript"/>
        </w:rPr>
        <w:fldChar w:fldCharType="separate"/>
      </w:r>
      <w:r>
        <w:rPr>
          <w:vertAlign w:val="superscript"/>
        </w:rPr>
        <w:t>[20]</w:t>
      </w:r>
      <w:r>
        <w:rPr>
          <w:vertAlign w:val="superscript"/>
        </w:rPr>
        <w:fldChar w:fldCharType="end"/>
      </w:r>
      <w:r>
        <w:rPr>
          <w:vertAlign w:val="superscript"/>
        </w:rPr>
        <w:fldChar w:fldCharType="begin"/>
      </w:r>
      <w:r>
        <w:rPr>
          <w:vertAlign w:val="superscript"/>
        </w:rPr>
        <w:instrText xml:space="preserve"> REF _Ref788 \r \h </w:instrText>
      </w:r>
      <w:r>
        <w:rPr>
          <w:vertAlign w:val="superscript"/>
        </w:rPr>
        <w:fldChar w:fldCharType="separate"/>
      </w:r>
      <w:r>
        <w:rPr>
          <w:vertAlign w:val="superscript"/>
        </w:rPr>
        <w:t>[22]</w:t>
      </w:r>
      <w:r>
        <w:rPr>
          <w:vertAlign w:val="superscript"/>
        </w:rPr>
        <w:fldChar w:fldCharType="end"/>
      </w:r>
    </w:p>
    <w:p>
      <w:pPr>
        <w:pStyle w:val="Style12"/>
        <w:ind w:firstLine="503"/>
        <w:rPr/>
      </w:pPr>
      <w:r>
        <w:rPr/>
        <w:t>随着多模态大模型的发展，强化学习在视觉语言任务中的作用进一步凸显。</w:t>
      </w:r>
      <w:r>
        <w:rPr/>
        <w:t>Vision Reasoner</w:t>
      </w:r>
      <w:r>
        <w:rPr/>
        <w:t>、</w:t>
      </w:r>
      <w:r>
        <w:rPr/>
        <w:t>Seg-Zero</w:t>
      </w:r>
      <w:r>
        <w:rPr/>
        <w:t>、</w:t>
      </w:r>
      <w:r>
        <w:rPr/>
        <w:t>UniVG-R1</w:t>
      </w:r>
      <w:r>
        <w:rPr/>
        <w:t>、</w:t>
      </w:r>
      <w:r>
        <w:rPr/>
        <w:t>Ground-R1</w:t>
      </w:r>
      <w:r>
        <w:rPr/>
        <w:t>等研究尝试将强化学习引入视觉推理和视觉定位过程，通过奖励机制激发模型生成更清晰的推理路径，或引导模型主动寻找与文本描述相关的图像区域。</w:t>
      </w:r>
      <w:r>
        <w:rPr/>
        <w:t>DeepSeek-R1</w:t>
      </w:r>
      <w:r>
        <w:rPr/>
        <w:t>等模型在语言推理任务中的成功也表明，强化学习能够增强模型的链式推理能力和自我校正能力。受此启发，视觉领域开始探索将思维链推理与强化学习结合，使模型不仅能够给出识别结果，还能够在推理过程中显式分析目标位置、视觉证据和不确定性来源。</w:t>
      </w:r>
    </w:p>
    <w:p>
      <w:pPr>
        <w:pStyle w:val="Style12"/>
        <w:ind w:firstLine="503"/>
        <w:rPr/>
      </w:pPr>
      <w:bookmarkStart w:id="93" w:name="_Toc10918"/>
      <w:r>
        <w:rPr/>
        <w:t>但是，现有基于强化学习的视觉识别方法大多仍集中于自然图像或通用视觉语言任务，在无人机航拍图像场景中的研究相对不足。无人机图像具有高空俯视、小目标密集、尺度变化显著、背景复杂等特点，模型在识别过程中更容易出现漏检、误检和空间定位偏移。如何利用强化学习机制引导模型主动关注小目标区域、优化候选框筛选过程，并根据反馈信号修正识别结果，仍然是值得深入研究的问题。因此，将强化学习引入无人机航拍图像识别任务，不仅可以弥补传统静态识别方法的不足，也有助于构建更加灵活、鲁棒的闭环视觉感知系统。</w:t>
      </w:r>
      <w:bookmarkEnd w:id="93"/>
    </w:p>
    <w:p>
      <w:pPr>
        <w:pStyle w:val="231"/>
        <w:numPr>
          <w:ilvl w:val="2"/>
          <w:numId w:val="1"/>
        </w:numPr>
        <w:spacing w:before="206" w:after="206"/>
        <w:rPr/>
      </w:pPr>
      <w:bookmarkStart w:id="94" w:name="__RefHeading___Toc10394_2198631117"/>
      <w:bookmarkStart w:id="95" w:name="_Toc11547"/>
      <w:bookmarkEnd w:id="94"/>
      <w:r>
        <w:rPr>
          <w:lang w:val="en-US"/>
        </w:rPr>
        <w:t>无人机航拍图片目标识别研究</w:t>
      </w:r>
      <w:bookmarkEnd w:id="95"/>
    </w:p>
    <w:p>
      <w:pPr>
        <w:pStyle w:val="Style12"/>
        <w:ind w:firstLine="503"/>
        <w:rPr/>
      </w:pPr>
      <w:r>
        <w:rPr/>
        <w:t>无人机航拍图片目标识别是计算机视觉与低空遥感交叉领域的重要研究方向。随着无人机设备成本降低和飞行控制技术成熟，航拍图像被广泛应用于交通监控、城市治理、灾害救援、农业巡检和公共安全等场景。相比普通地面图像，无人机图像具有视角特殊、覆盖范围广、目标尺度小、目标分布密集和背景信息复杂等特点，这使得航拍图像目标识别任务具有更高难度。特别是在城市道路、停车场、建筑群和人群密集区域中，车辆、行人、三轮车、摩托车等目标往往只占据图像中很小区域，外观细节有限，类别间差异也不明显，给检测模型带来了较大挑战。</w:t>
      </w:r>
    </w:p>
    <w:p>
      <w:pPr>
        <w:pStyle w:val="Style12"/>
        <w:ind w:firstLine="503"/>
        <w:rPr/>
      </w:pPr>
      <w:r>
        <w:rPr/>
        <w:t>早期无人机图像目标识别主要依赖传统图像特征和机器学习方法，例如基于边缘、纹理、颜色或局部特征的目标检测方法。这类方法实现较为简单，但对复杂背景、尺度变化和遮挡情况适应能力有限。随着深度学习的发展，基于卷积神经网络的目标检测方法逐渐成为主流。</w:t>
      </w:r>
      <w:r>
        <w:rPr/>
        <w:t>FasterR-CNN</w:t>
      </w:r>
      <w:r>
        <w:rPr/>
        <w:t>、</w:t>
      </w:r>
      <w:r>
        <w:rPr/>
        <w:t>YOLO</w:t>
      </w:r>
      <w:r>
        <w:rPr/>
        <w:t>、</w:t>
      </w:r>
      <w:r>
        <w:rPr/>
        <w:t>SSD</w:t>
      </w:r>
      <w:r>
        <w:rPr/>
        <w:t>等检测框架能够通过端到端训练自动提取图像特征，在无人机目标检测数据集上取得了明显优于传统方法的效果。此后，</w:t>
      </w:r>
      <w:r>
        <w:rPr/>
        <w:t>Transformer</w:t>
      </w:r>
      <w:r>
        <w:rPr/>
        <w:t>结构和</w:t>
      </w:r>
      <w:r>
        <w:rPr/>
        <w:t>DETR</w:t>
      </w:r>
      <w:r>
        <w:rPr/>
        <w:t>系列方法进一步增强了模型的全局建模能力，使检测模型能够更好地处理复杂场景中的长距离依赖关系。</w:t>
      </w:r>
      <w:r>
        <w:rPr>
          <w:vertAlign w:val="superscript"/>
        </w:rPr>
        <w:t xml:space="preserve"> </w:t>
      </w:r>
      <w:r>
        <w:rPr>
          <w:vertAlign w:val="superscript"/>
        </w:rPr>
        <w:fldChar w:fldCharType="begin"/>
      </w:r>
      <w:r>
        <w:rPr>
          <w:vertAlign w:val="superscript"/>
        </w:rPr>
        <w:instrText xml:space="preserve"> REF _Ref824 \r \h </w:instrText>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_Ref828 \r \h </w:instrText>
      </w:r>
      <w:r>
        <w:rPr>
          <w:vertAlign w:val="superscript"/>
        </w:rPr>
        <w:fldChar w:fldCharType="separate"/>
      </w:r>
      <w:r>
        <w:rPr>
          <w:vertAlign w:val="superscript"/>
        </w:rPr>
        <w:t>[2]</w:t>
      </w:r>
      <w:r>
        <w:rPr>
          <w:vertAlign w:val="superscript"/>
        </w:rPr>
        <w:fldChar w:fldCharType="end"/>
      </w:r>
      <w:r>
        <w:rPr>
          <w:vertAlign w:val="superscript"/>
        </w:rPr>
        <w:fldChar w:fldCharType="begin"/>
      </w:r>
      <w:r>
        <w:rPr>
          <w:vertAlign w:val="superscript"/>
        </w:rPr>
        <w:instrText xml:space="preserve"> REF _Ref831 \r \h </w:instrText>
      </w:r>
      <w:r>
        <w:rPr>
          <w:vertAlign w:val="superscript"/>
        </w:rPr>
        <w:fldChar w:fldCharType="separate"/>
      </w:r>
      <w:r>
        <w:rPr>
          <w:vertAlign w:val="superscript"/>
        </w:rPr>
        <w:t>[7]</w:t>
      </w:r>
      <w:r>
        <w:rPr>
          <w:vertAlign w:val="superscript"/>
        </w:rPr>
        <w:fldChar w:fldCharType="end"/>
      </w:r>
      <w:r>
        <w:rPr>
          <w:vertAlign w:val="superscript"/>
        </w:rPr>
        <w:fldChar w:fldCharType="begin"/>
      </w:r>
      <w:r>
        <w:rPr>
          <w:vertAlign w:val="superscript"/>
        </w:rPr>
        <w:instrText xml:space="preserve"> REF _Ref834 \r \h </w:instrText>
      </w:r>
      <w:r>
        <w:rPr>
          <w:vertAlign w:val="superscript"/>
        </w:rPr>
        <w:fldChar w:fldCharType="separate"/>
      </w:r>
      <w:r>
        <w:rPr>
          <w:vertAlign w:val="superscript"/>
        </w:rPr>
        <w:t>[8]</w:t>
      </w:r>
      <w:r>
        <w:rPr>
          <w:vertAlign w:val="superscript"/>
        </w:rPr>
        <w:fldChar w:fldCharType="end"/>
      </w:r>
      <w:r>
        <w:rPr>
          <w:vertAlign w:val="superscript"/>
        </w:rPr>
        <w:fldChar w:fldCharType="begin"/>
      </w:r>
      <w:r>
        <w:rPr>
          <w:vertAlign w:val="superscript"/>
        </w:rPr>
        <w:instrText xml:space="preserve"> REF _Ref857 \r \h </w:instrText>
      </w:r>
      <w:r>
        <w:rPr>
          <w:vertAlign w:val="superscript"/>
        </w:rPr>
        <w:fldChar w:fldCharType="separate"/>
      </w:r>
      <w:r>
        <w:rPr>
          <w:vertAlign w:val="superscript"/>
        </w:rPr>
        <w:t>[15]</w:t>
      </w:r>
      <w:r>
        <w:rPr>
          <w:vertAlign w:val="superscript"/>
        </w:rPr>
        <w:fldChar w:fldCharType="end"/>
      </w:r>
      <w:r>
        <w:rPr>
          <w:vertAlign w:val="superscript"/>
        </w:rPr>
        <w:fldChar w:fldCharType="begin"/>
      </w:r>
      <w:r>
        <w:rPr>
          <w:vertAlign w:val="superscript"/>
        </w:rPr>
        <w:instrText xml:space="preserve"> REF _Ref4034 \r \h </w:instrText>
      </w:r>
      <w:r>
        <w:rPr>
          <w:vertAlign w:val="superscript"/>
        </w:rPr>
        <w:fldChar w:fldCharType="separate"/>
      </w:r>
      <w:r>
        <w:rPr>
          <w:vertAlign w:val="superscript"/>
        </w:rPr>
        <w:t>[16]</w:t>
      </w:r>
      <w:r>
        <w:rPr>
          <w:vertAlign w:val="superscript"/>
        </w:rPr>
        <w:fldChar w:fldCharType="end"/>
      </w:r>
    </w:p>
    <w:p>
      <w:pPr>
        <w:pStyle w:val="Style12"/>
        <w:ind w:firstLine="503"/>
        <w:rPr/>
      </w:pPr>
      <w:r>
        <w:rPr/>
        <w:t>近年来，</w:t>
      </w:r>
      <w:r>
        <w:rPr/>
        <w:t>VisDrone</w:t>
      </w:r>
      <w:r>
        <w:rPr/>
        <w:t>、</w:t>
      </w:r>
      <w:r>
        <w:rPr/>
        <w:t>UAVDT</w:t>
      </w:r>
      <w:r>
        <w:rPr/>
        <w:t>、</w:t>
      </w:r>
      <w:r>
        <w:rPr/>
        <w:t>AerialVG</w:t>
      </w:r>
      <w:r>
        <w:rPr/>
        <w:t>、</w:t>
      </w:r>
      <w:r>
        <w:rPr/>
        <w:t>RefDrone</w:t>
      </w:r>
      <w:r>
        <w:rPr/>
        <w:t>等数据集的出现推动了无人机航拍图像识别和视觉定位研究的发展。</w:t>
      </w:r>
      <w:r>
        <w:rPr/>
        <w:t>VisDrone</w:t>
      </w:r>
      <w:r>
        <w:rPr/>
        <w:t>和</w:t>
      </w:r>
      <w:r>
        <w:rPr/>
        <w:t>UAVDT</w:t>
      </w:r>
      <w:r>
        <w:rPr/>
        <w:t>主要面向目标检测任务，提供了大量无人机视角下的行人、车辆等目标标注；</w:t>
      </w:r>
      <w:r>
        <w:rPr/>
        <w:t>AerialVG</w:t>
      </w:r>
      <w:r>
        <w:rPr/>
        <w:t>和</w:t>
      </w:r>
      <w:r>
        <w:rPr/>
        <w:t>RefDrone</w:t>
      </w:r>
      <w:r>
        <w:rPr/>
        <w:t xml:space="preserve">则进一步关注视觉语言定位任务，使模型能够根据文本描述在航拍图像中定位特定目标。这类任务不仅要求模型具备目标检测能力，还要求模型理解语言查询与视觉区域之间的对应关系，因此比传统固定类别检测更接近实际应用需求。 </w:t>
      </w:r>
      <w:r>
        <w:rPr>
          <w:vertAlign w:val="superscript"/>
        </w:rPr>
        <w:fldChar w:fldCharType="begin"/>
      </w:r>
      <w:r>
        <w:rPr>
          <w:vertAlign w:val="superscript"/>
        </w:rPr>
        <w:instrText xml:space="preserve"> REF _Ref883 \r \h </w:instrText>
      </w:r>
      <w:r>
        <w:rPr>
          <w:vertAlign w:val="superscript"/>
        </w:rPr>
        <w:fldChar w:fldCharType="separate"/>
      </w:r>
      <w:r>
        <w:rPr>
          <w:vertAlign w:val="superscript"/>
        </w:rPr>
        <w:t>[3]</w:t>
      </w:r>
      <w:r>
        <w:rPr>
          <w:vertAlign w:val="superscript"/>
        </w:rPr>
        <w:fldChar w:fldCharType="end"/>
      </w:r>
      <w:r>
        <w:rPr>
          <w:vertAlign w:val="superscript"/>
        </w:rPr>
        <w:fldChar w:fldCharType="begin"/>
      </w:r>
      <w:r>
        <w:rPr>
          <w:vertAlign w:val="superscript"/>
        </w:rPr>
        <w:instrText xml:space="preserve"> REF _Ref890 \r \h </w:instrText>
      </w:r>
      <w:r>
        <w:rPr>
          <w:vertAlign w:val="superscript"/>
        </w:rPr>
        <w:fldChar w:fldCharType="separate"/>
      </w:r>
      <w:r>
        <w:rPr>
          <w:vertAlign w:val="superscript"/>
        </w:rPr>
        <w:t>[4]</w:t>
      </w:r>
      <w:r>
        <w:rPr>
          <w:vertAlign w:val="superscript"/>
        </w:rPr>
        <w:fldChar w:fldCharType="end"/>
      </w:r>
    </w:p>
    <w:p>
      <w:pPr>
        <w:pStyle w:val="Style12"/>
        <w:ind w:firstLine="503"/>
        <w:rPr>
          <w:rStyle w:val="Char1"/>
        </w:rPr>
      </w:pPr>
      <w:r>
        <w:rPr/>
        <w:t>然而，现有无人机航拍图像识别方法仍存在若干不足。首先，小目标检测</w:t>
      </w:r>
      <w:r>
        <w:rPr>
          <w:rStyle w:val="Char1"/>
        </w:rPr>
        <w:t>仍是无人机视觉任务中的核心难点。由于目标像素占比低，模型在特征提取过程中容易丢失关键细节，导致召回率不足。其次，航拍场景中目标类别之间存在较强混淆，例如行人与人群、摩托车与自行车、三轮车与遮阳三轮车等类别在俯视视角下差异较小，模型难以稳定区分。再次，通用视觉语言模型虽然具备较强的开放词表识别能力，但直接迁移到无人机场景时会受到域差异影响，容易出现候选框定位偏移、置信度排序不可靠和文本语义匹配不足等问题。因此，如何在开放词表检测模型的基础上结合无人机场景特征，对小目标召回、候选框筛选和语义匹配过程进行针对性优化，是当前研究的重要方向。</w:t>
      </w:r>
    </w:p>
    <w:p>
      <w:pPr>
        <w:pStyle w:val="23"/>
        <w:numPr>
          <w:ilvl w:val="1"/>
          <w:numId w:val="1"/>
        </w:numPr>
        <w:spacing w:before="206" w:after="206"/>
        <w:rPr>
          <w:kern w:val="0"/>
          <w:szCs w:val="20"/>
        </w:rPr>
      </w:pPr>
      <w:bookmarkStart w:id="96" w:name="__RefHeading___Toc10356_2198631117"/>
      <w:bookmarkStart w:id="97" w:name="_Toc18974"/>
      <w:bookmarkStart w:id="98" w:name="_Toc280797193"/>
      <w:bookmarkStart w:id="99" w:name="_Toc32101"/>
      <w:bookmarkStart w:id="100" w:name="_Toc13306"/>
      <w:bookmarkStart w:id="101" w:name="_Toc24182"/>
      <w:bookmarkStart w:id="102" w:name="_Toc2780"/>
      <w:bookmarkEnd w:id="96"/>
      <w:r>
        <w:rPr/>
        <w:t>课题主要研究内容</w:t>
      </w:r>
      <w:bookmarkEnd w:id="97"/>
      <w:bookmarkEnd w:id="98"/>
      <w:bookmarkEnd w:id="99"/>
      <w:bookmarkEnd w:id="100"/>
      <w:bookmarkEnd w:id="101"/>
      <w:bookmarkEnd w:id="102"/>
    </w:p>
    <w:p>
      <w:pPr>
        <w:pStyle w:val="Style12"/>
        <w:ind w:firstLine="503"/>
        <w:rPr/>
      </w:pPr>
      <w:r>
        <w:rPr/>
        <w:t>针对无人机航拍图像中目标尺度小、背景复杂、类别混淆严重以及通用检测模型候选框质量不稳定等问题，本文研究一种强化学习驱动的闭环航拍图像识别方法。该方法以无人机航拍图像为研究对象，以视觉语言定位和目标识别为核心任务，结合开放词表检测模型的候选生成能力，通过小目标召回增强、文本查询建模、候选框重排序和强化学习式校准等模块，提高航拍场景下目标识别的准确性与鲁棒性。</w:t>
      </w:r>
    </w:p>
    <w:p>
      <w:pPr>
        <w:pStyle w:val="Style12"/>
        <w:ind w:firstLine="503"/>
        <w:rPr/>
      </w:pPr>
      <w:r>
        <w:rPr/>
        <w:t>本文的主要研究内容包括以下几个方面。</w:t>
      </w:r>
    </w:p>
    <w:p>
      <w:pPr>
        <w:pStyle w:val="Style12"/>
        <w:ind w:firstLine="503"/>
        <w:rPr/>
      </w:pPr>
      <w:r>
        <w:rPr/>
        <w:t>第一，构建面向无人机航拍场景的图像识别基础流程。针对航拍图像目标尺度小、类别多、场景复杂的特点，本文首先整理</w:t>
      </w:r>
      <w:r>
        <w:rPr/>
        <w:t>VisDrone</w:t>
      </w:r>
      <w:r>
        <w:rPr/>
        <w:t>、</w:t>
      </w:r>
      <w:r>
        <w:rPr/>
        <w:t>RefDrone</w:t>
      </w:r>
      <w:r>
        <w:rPr/>
        <w:t>、</w:t>
      </w:r>
      <w:r>
        <w:rPr/>
        <w:t>AerialVG</w:t>
      </w:r>
      <w:r>
        <w:rPr/>
        <w:t>等相关数据资源，统一图像、标注和预测结果格式，建立可复现实验流程。在此基础上，引入开放词表候选生成模型，使系统能够根据类别文本或查询文本生成候选目标区域，为后续视觉定位和目标识别提供基础。</w:t>
      </w:r>
    </w:p>
    <w:p>
      <w:pPr>
        <w:pStyle w:val="Style12"/>
        <w:ind w:firstLine="503"/>
        <w:rPr/>
      </w:pPr>
      <w:r>
        <w:rPr/>
        <w:t>第二，研究小目标候选框召回增强方法。针对无人机图像中小目标容易漏检的问题，本文通过低阈值候选生成、类别别名扩展、小目标先验和多类别提示词组合等方式提升候选框召回率。对于</w:t>
      </w:r>
      <w:r>
        <w:rPr/>
        <w:t>pedestrian</w:t>
      </w:r>
      <w:r>
        <w:rPr/>
        <w:t>、</w:t>
      </w:r>
      <w:r>
        <w:rPr/>
        <w:t>people</w:t>
      </w:r>
      <w:r>
        <w:rPr/>
        <w:t>、</w:t>
      </w:r>
      <w:r>
        <w:rPr/>
        <w:t>motor</w:t>
      </w:r>
      <w:r>
        <w:rPr/>
        <w:t>、</w:t>
      </w:r>
      <w:r>
        <w:rPr/>
        <w:t>bicycle</w:t>
      </w:r>
      <w:r>
        <w:rPr/>
        <w:t>、</w:t>
      </w:r>
      <w:r>
        <w:rPr/>
        <w:t>tricycle</w:t>
      </w:r>
      <w:r>
        <w:rPr/>
        <w:t>、</w:t>
      </w:r>
      <w:r>
        <w:rPr/>
        <w:t>awning tricycle</w:t>
      </w:r>
      <w:r>
        <w:rPr/>
        <w:t>等容易混淆且尺寸较小的类别，设计更细粒度的文本提示和类别映射策略，使模型能够发现更多潜在目标区域，缓解基础检测模型对小目标响应不足的问题。</w:t>
      </w:r>
    </w:p>
    <w:p>
      <w:pPr>
        <w:pStyle w:val="Style12"/>
        <w:ind w:firstLine="503"/>
        <w:rPr/>
      </w:pPr>
      <w:r>
        <w:rPr/>
        <w:t>第三，设计候选框筛选与重排序模块。小目标召回增强虽然能够提高目标覆盖率，但也会引入更多误检框和冗余框。为解决这一问题，本文进一步构建候选框打分与校准模块，综合利用基础模型原始置信度、文本查询匹配分数、候选框几何特征、类别来源、小目标面积先验和提示词来源等信息，对候选框进行重新排序和筛选。通过监督学习、教师蒸馏和轻量校准器等方式，提高预测框置信度排序的稳定性，从而在保持召回率的同时改善</w:t>
      </w:r>
      <w:r>
        <w:rPr/>
        <w:t>mAP</w:t>
      </w:r>
      <w:r>
        <w:rPr/>
        <w:t>等指标。</w:t>
      </w:r>
    </w:p>
    <w:p>
      <w:pPr>
        <w:pStyle w:val="Style12"/>
        <w:ind w:firstLine="503"/>
        <w:rPr/>
      </w:pPr>
      <w:r>
        <w:rPr/>
        <w:t>第四，探索强化学习驱动的闭环优化机制。本文将候选框保留与丢弃过程视为一种决策问题，利用强化学习思想对预测结果进行任务导向优化。模型根据候选框状态特征输出保留概率，并依据检测结果与真实标注之间的匹配情况获得奖励反馈，从而学习更加符合最终评价指标的候选框选择策略。该机制使模型不再仅依赖静态阈值和固定后处理规则，而是能够根据反馈信号调整筛选策略，提高复杂航拍场景下识别结果的可靠性。</w:t>
      </w:r>
    </w:p>
    <w:p>
      <w:pPr>
        <w:pStyle w:val="23"/>
        <w:numPr>
          <w:ilvl w:val="1"/>
          <w:numId w:val="1"/>
        </w:numPr>
        <w:spacing w:before="206" w:after="206"/>
        <w:rPr/>
      </w:pPr>
      <w:bookmarkStart w:id="103" w:name="__RefHeading___Toc10354_2198631117"/>
      <w:bookmarkStart w:id="104" w:name="_Toc32650"/>
      <w:bookmarkEnd w:id="103"/>
      <w:r>
        <w:rPr/>
        <w:t>本文组织结构</w:t>
      </w:r>
      <w:bookmarkEnd w:id="104"/>
    </w:p>
    <w:p>
      <w:pPr>
        <w:pStyle w:val="Style12"/>
        <w:ind w:firstLine="503"/>
        <w:rPr/>
      </w:pPr>
      <w:r>
        <w:rPr/>
        <w:t>本文围绕强化学习驱动的闭环航拍图像识别方法展开研究，全文组织结构如下。</w:t>
      </w:r>
    </w:p>
    <w:p>
      <w:pPr>
        <w:pStyle w:val="Style12"/>
        <w:ind w:firstLine="503"/>
        <w:rPr/>
      </w:pPr>
      <w:r>
        <w:rPr/>
        <w:t>第一章为绪论。首先介绍无人机航拍图像识别任务的研究背景与意义，分析强化学习图像识别方法和无人机航拍目标识别方法的国内外研究现状，在此基础上明确本文的主要研究内容，并给出全文组织结构。</w:t>
      </w:r>
    </w:p>
    <w:p>
      <w:pPr>
        <w:pStyle w:val="Style12"/>
        <w:ind w:firstLine="503"/>
        <w:rPr/>
      </w:pPr>
      <w:r>
        <w:rPr/>
        <w:t>第二章为相关理论与关键技术。本章主要介绍本文研究所涉及的基础理论和技术方法，包括无人机航拍图像目标检测、视觉语言定位、开放词表检测模型、候选框后处理、强化学习基本原理以及常用评价指标等内容，为后续方法设计提供理论基础。</w:t>
      </w:r>
    </w:p>
    <w:p>
      <w:pPr>
        <w:pStyle w:val="Style12"/>
        <w:ind w:firstLine="503"/>
        <w:rPr/>
      </w:pPr>
      <w:r>
        <w:rPr/>
        <w:t>第三章为强化学习驱动的闭环航拍图像识别方法设计。本章详细阐述本文方法的整体框架，包括在线候选框生成、小目标召回增强、文本查询建模、候选框特征构建、候选框筛选与重排序、强化学习校准机制等模块，并说明各模块之间的数据流和协同关系。</w:t>
      </w:r>
    </w:p>
    <w:p>
      <w:pPr>
        <w:pStyle w:val="Style12"/>
        <w:ind w:firstLine="503"/>
        <w:rPr/>
      </w:pPr>
      <w:r>
        <w:rPr/>
        <w:t>第四章为实验设计与结果分析。本章介绍实验所使用的数据集、实验环境、评价指标和对比方法，并对不同实验方案进行定量评估和消融分析。通过对小目标召回、候选框压缩、别名提示、富元信息融合和强化学习校准等实验结果的比较，验证本文方法在无人机航拍图像识别任务中的有效性。</w:t>
      </w:r>
    </w:p>
    <w:p>
      <w:pPr>
        <w:pStyle w:val="23"/>
        <w:numPr>
          <w:ilvl w:val="1"/>
          <w:numId w:val="1"/>
        </w:numPr>
        <w:spacing w:before="206" w:after="206"/>
        <w:rPr/>
      </w:pPr>
      <w:bookmarkStart w:id="105" w:name="__RefHeading___Toc10352_2198631117"/>
      <w:bookmarkStart w:id="106" w:name="_Toc867"/>
      <w:bookmarkEnd w:id="105"/>
      <w:r>
        <w:rPr/>
        <w:t>本章小结</w:t>
      </w:r>
      <w:bookmarkEnd w:id="106"/>
    </w:p>
    <w:p>
      <w:pPr>
        <w:pStyle w:val="Style12"/>
        <w:ind w:firstLine="503"/>
        <w:rPr/>
      </w:pPr>
      <w:r>
        <w:rPr/>
        <w:t>本章首先介绍了无人机航拍图像识别任务的研究背景与应用价值，指出航拍图像在目标尺度、视角变化、背景复杂度和类别混淆等方面具有明显挑战。随后，本文从基于强化学习的图像识别方法和无人机航拍图片目标识别方法两个方面梳理了国内外研究现状，分析了现有方法在主动视觉感知、小目标检测、视觉语言定位和候选框优化方面的研究进展与不足。在此基础上，本章明确了本文的主要研究内容，即围绕无人机航拍场景构建融合开放词表检测、小目标召回增强、候选框重排序和强化学习校准的闭环图像识别方法。最后，本章给出了全文的组织结构，为后续章节的理论介绍、方法设计和实验分析奠定基础。</w:t>
      </w:r>
    </w:p>
    <w:p>
      <w:pPr>
        <w:pStyle w:val="Style12"/>
        <w:ind w:firstLine="503"/>
        <w:rPr/>
      </w:pPr>
      <w:r>
        <w:rPr/>
      </w:r>
    </w:p>
    <w:p>
      <w:pPr>
        <w:pStyle w:val="Normal"/>
        <w:spacing w:lineRule="auto" w:line="300"/>
        <w:jc w:val="center"/>
        <w:rPr/>
      </w:pPr>
      <w:r>
        <w:rPr/>
      </w:r>
    </w:p>
    <w:p>
      <w:pPr>
        <w:pStyle w:val="Normal"/>
        <w:spacing w:lineRule="auto" w:line="300"/>
        <w:rPr/>
      </w:pPr>
      <w:r>
        <w:rPr/>
      </w:r>
    </w:p>
    <w:p>
      <w:pPr>
        <w:pStyle w:val="Heading1"/>
        <w:numPr>
          <w:ilvl w:val="0"/>
          <w:numId w:val="1"/>
        </w:numPr>
        <w:spacing w:before="412" w:after="329"/>
        <w:rPr/>
      </w:pPr>
      <w:bookmarkStart w:id="107" w:name="__RefHeading___Toc10292_2198631117"/>
      <w:bookmarkStart w:id="108" w:name="_Toc28448"/>
      <w:bookmarkEnd w:id="107"/>
      <w:r>
        <w:rPr/>
        <w:t>背景知识</w:t>
      </w:r>
      <w:bookmarkEnd w:id="108"/>
    </w:p>
    <w:p>
      <w:pPr>
        <w:pStyle w:val="23"/>
        <w:numPr>
          <w:ilvl w:val="1"/>
          <w:numId w:val="1"/>
        </w:numPr>
        <w:spacing w:before="206" w:after="206"/>
        <w:rPr/>
      </w:pPr>
      <w:bookmarkStart w:id="109" w:name="__RefHeading___Toc10350_2198631117"/>
      <w:bookmarkStart w:id="110" w:name="_Toc280715547"/>
      <w:bookmarkStart w:id="111" w:name="_Toc21325"/>
      <w:bookmarkStart w:id="112" w:name="_Toc26097"/>
      <w:bookmarkStart w:id="113" w:name="_Toc280715692"/>
      <w:bookmarkStart w:id="114" w:name="_Toc29083"/>
      <w:bookmarkStart w:id="115" w:name="_Toc280797195"/>
      <w:bookmarkStart w:id="116" w:name="_Toc12096"/>
      <w:bookmarkStart w:id="117" w:name="_Toc225579647"/>
      <w:bookmarkStart w:id="118" w:name="_Toc280628513"/>
      <w:bookmarkStart w:id="119" w:name="_Toc250450172"/>
      <w:bookmarkStart w:id="120" w:name="_Toc6878"/>
      <w:bookmarkEnd w:id="109"/>
      <w:r>
        <w:rPr/>
        <w:t>引言</w:t>
      </w:r>
      <w:bookmarkEnd w:id="110"/>
      <w:bookmarkEnd w:id="111"/>
      <w:bookmarkEnd w:id="112"/>
      <w:bookmarkEnd w:id="113"/>
      <w:bookmarkEnd w:id="114"/>
      <w:bookmarkEnd w:id="115"/>
      <w:bookmarkEnd w:id="116"/>
      <w:bookmarkEnd w:id="117"/>
      <w:bookmarkEnd w:id="118"/>
      <w:bookmarkEnd w:id="119"/>
      <w:bookmarkEnd w:id="120"/>
    </w:p>
    <w:p>
      <w:pPr>
        <w:pStyle w:val="Style12"/>
        <w:ind w:firstLine="503"/>
        <w:rPr/>
      </w:pPr>
      <w:r>
        <w:rPr/>
        <w:t>上一章从课题背景、研究意义和国内外研究现状等方面介绍了无人机航拍图像识别任务的研究价值，并指出了现有方法在小目标召回、复杂背景干扰、类别混淆以及候选框置信度排序等方面仍存在不足。为了便于后续章节对本文方法进行阐述，本章将进一步介绍与本文研究密切相关的背景知识和关键技术。</w:t>
      </w:r>
    </w:p>
    <w:p>
      <w:pPr>
        <w:pStyle w:val="Style12"/>
        <w:ind w:firstLine="503"/>
        <w:rPr/>
      </w:pPr>
      <w:r>
        <w:rPr/>
        <w:t>本文研究的核心任务是面向无人机航拍场景的图像识别与视觉定位。该任务既包含传统目标检测中对目标类别和边界框的预测，也包含视觉语言模型中根据文本提示生成候选区域的开放词表识别过程。同时，本文方法还涉及候选框后处理、强化学习式候选筛选和闭环反馈校准等模块。因此，本章首先介绍无人机航拍图像目标识别任务的基本特点，分析航拍图像中小目标和密集目标带来的技术难点；随后介绍视觉定位和开放词表检测的基本概念，并说明文本提示驱动的候选框生成机制；接着介绍强化学习的基本要素和策略优化思想，说明其在候选框筛选与闭环校准中的作用；最后给出本文实验中使用的主要评价指标。</w:t>
      </w:r>
    </w:p>
    <w:p>
      <w:pPr>
        <w:pStyle w:val="23"/>
        <w:numPr>
          <w:ilvl w:val="1"/>
          <w:numId w:val="1"/>
        </w:numPr>
        <w:spacing w:before="206" w:after="206"/>
        <w:rPr/>
      </w:pPr>
      <w:bookmarkStart w:id="121" w:name="__RefHeading___Toc10348_2198631117"/>
      <w:bookmarkStart w:id="122" w:name="_Toc26957"/>
      <w:bookmarkEnd w:id="121"/>
      <w:r>
        <w:rPr/>
        <w:t>无人机航拍图像目标识别任务</w:t>
      </w:r>
      <w:bookmarkEnd w:id="122"/>
    </w:p>
    <w:p>
      <w:pPr>
        <w:pStyle w:val="231"/>
        <w:numPr>
          <w:ilvl w:val="2"/>
          <w:numId w:val="1"/>
        </w:numPr>
        <w:spacing w:before="206" w:after="206"/>
        <w:rPr/>
      </w:pPr>
      <w:bookmarkStart w:id="123" w:name="__RefHeading___Toc10392_2198631117"/>
      <w:bookmarkStart w:id="124" w:name="_Toc32399"/>
      <w:bookmarkEnd w:id="123"/>
      <w:r>
        <w:rPr/>
        <w:t>航拍图像目标检测特点</w:t>
      </w:r>
      <w:bookmarkEnd w:id="124"/>
    </w:p>
    <w:p>
      <w:pPr>
        <w:pStyle w:val="Style12"/>
        <w:ind w:firstLine="503"/>
        <w:rPr/>
      </w:pPr>
      <w:r>
        <w:rPr/>
        <w:t>无人机航拍图像目标识别是低空遥感与计算机视觉交叉领域的重要任务，其目标是在无人机采集的图像或视频中识别行人、车辆、自行车、摩托车、三轮车、公交车、卡车等对象，并给出目标所在的空间位置。与普通自然图像相比，航拍图像通常具有视野范围大、拍摄高度变化明显、目标尺度跨度大和背景内容复杂等特点。在交通监测、城市治理、灾害救援和安防巡检等应用中，系统不仅需要判断图像中是否存在目标，还需要在复杂场景下完成准确定位。</w:t>
      </w:r>
    </w:p>
    <w:p>
      <w:pPr>
        <w:pStyle w:val="Style12"/>
        <w:ind w:firstLine="503"/>
        <w:rPr/>
      </w:pPr>
      <w:r>
        <w:rPr/>
        <w:t>从成像视角看，无人机图像多为俯视或斜俯视视角，目标外观与地面平视图像存在显著差异。例如，车辆在航拍图像中主要表现为顶部轮廓，行人可能仅呈现为较小块状区域，摩托车、自行车和三轮车等类别在低分辨率条件下更难区分。这种视角差异会造成明显的域偏移，使得在通用自然图像数据集上训练或预训练的检测模型直接迁移到航拍场景时性能下降。</w:t>
      </w:r>
    </w:p>
    <w:p>
      <w:pPr>
        <w:pStyle w:val="Style12"/>
        <w:ind w:firstLine="503"/>
        <w:rPr/>
      </w:pPr>
      <w:r>
        <w:rPr/>
        <w:t>从目标分布看，航拍图像通常覆盖较大范围，同一幅图像中可能同时包含大量同类或相近类别目标。以道路交通场景为例，车辆常以密集队列形式出现，行人与非机动车可能在路口、停车区域或道路边缘混杂分布。目标之间距离近、遮挡明显，模型容易出现相邻目标合并、重复检测或类别混淆等问题。因此，航拍图像识别不仅要求模型具有较强的候选生成能力，还要求后处理和分数校准模块能够在召回率与精确率之间取得平衡。</w:t>
      </w:r>
    </w:p>
    <w:p>
      <w:pPr>
        <w:pStyle w:val="Style12"/>
        <w:ind w:firstLine="503"/>
        <w:rPr/>
      </w:pPr>
      <w:r>
        <w:rPr/>
        <w:t xml:space="preserve">从任务形式看，航拍图像目标识别通常可以表示为边界框预测问题。给定输入图像 </w:t>
      </w:r>
      <w:r>
        <w:rPr/>
        <w:t>I</w:t>
      </w:r>
      <w:r>
        <w:rPr/>
        <w:t>，检测模型需要输出预测集合：</w:t>
      </w:r>
    </w:p>
    <w:tbl>
      <w:tblPr>
        <w:tblStyle w:val="15"/>
        <w:tblpPr w:vertAnchor="text" w:horzAnchor="page" w:leftFromText="180" w:rightFromText="180" w:tblpX="1707" w:tblpY="382"/>
        <w:tblW w:w="8721" w:type="dxa"/>
        <w:jc w:val="left"/>
        <w:tblInd w:w="108" w:type="dxa"/>
        <w:tblLayout w:type="fixed"/>
        <w:tblCellMar>
          <w:top w:w="0" w:type="dxa"/>
          <w:left w:w="108" w:type="dxa"/>
          <w:bottom w:w="0" w:type="dxa"/>
          <w:right w:w="108" w:type="dxa"/>
        </w:tblCellMar>
      </w:tblPr>
      <w:tblGrid>
        <w:gridCol w:w="1090"/>
        <w:gridCol w:w="6540"/>
        <w:gridCol w:w="1091"/>
      </w:tblGrid>
      <w:tr>
        <w:trPr>
          <w:trHeight w:val="822" w:hRule="exact"/>
        </w:trPr>
        <w:tc>
          <w:tcPr>
            <w:tcW w:w="1090" w:type="dxa"/>
            <w:tcBorders>
              <w:top w:val="nil"/>
              <w:left w:val="nil"/>
              <w:bottom w:val="nil"/>
              <w:right w:val="nil"/>
            </w:tcBorders>
            <w:vAlign w:val="center"/>
          </w:tcPr>
          <w:p>
            <w:pPr>
              <w:pStyle w:val="Normal"/>
              <w:widowControl w:val="false"/>
              <w:spacing w:before="0" w:after="0"/>
              <w:jc w:val="center"/>
              <w:rPr/>
            </w:pPr>
            <w:r>
              <w:rPr/>
            </w:r>
          </w:p>
        </w:tc>
        <w:tc>
          <w:tcPr>
            <w:tcW w:w="6540" w:type="dxa"/>
            <w:tcBorders>
              <w:top w:val="nil"/>
              <w:left w:val="nil"/>
              <w:bottom w:val="nil"/>
              <w:right w:val="nil"/>
            </w:tcBorders>
            <w:vAlign w:val="center"/>
          </w:tcPr>
          <w:p>
            <w:pPr>
              <w:pStyle w:val="Style12"/>
              <w:widowControl w:val="false"/>
              <w:spacing w:before="0" w:after="0"/>
              <w:ind w:firstLine="503"/>
              <w:jc w:val="center"/>
              <w:rPr/>
            </w:pPr>
            <w:r>
              <w:rPr/>
            </w:r>
            <m:oMathPara xmlns:m="http://schemas.openxmlformats.org/officeDocument/2006/math">
              <m:oMathParaPr>
                <m:jc m:val="center"/>
              </m:oMathParaPr>
              <m:oMath>
                <m:r>
                  <w:rPr>
                    <w:rFonts w:ascii="Cambria Math" w:hAnsi="Cambria Math"/>
                  </w:rPr>
                  <m:t xml:space="preserve">Y</m:t>
                </m:r>
                <m:r>
                  <w:rPr>
                    <w:rFonts w:ascii="Cambria Math" w:hAnsi="Cambria Math"/>
                  </w:rPr>
                  <m:t xml:space="preserve">=</m:t>
                </m:r>
                <m:r>
                  <w:rPr>
                    <w:rFonts w:ascii="Cambria Math" w:hAnsi="Cambria Math"/>
                  </w:rPr>
                  <m:t xml:space="preserve">{</m:t>
                </m:r>
                <m:d>
                  <m:dPr>
                    <m:begChr m:val="("/>
                    <m:endChr m:val=")"/>
                  </m:dPr>
                  <m:e>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i</m:t>
                        </m:r>
                      </m:sub>
                    </m:sSub>
                  </m:e>
                </m:d>
                <m:sSubSup>
                  <m:e>
                    <m:r>
                      <w:rPr>
                        <w:rFonts w:ascii="Cambria Math" w:hAnsi="Cambria Math"/>
                      </w:rPr>
                      <m:t xml:space="preserve">}</m:t>
                    </m:r>
                  </m:e>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sSubSup>
              </m:oMath>
            </m:oMathPara>
          </w:p>
        </w:tc>
        <w:tc>
          <w:tcPr>
            <w:tcW w:w="1091" w:type="dxa"/>
            <w:tcBorders>
              <w:top w:val="nil"/>
              <w:left w:val="nil"/>
              <w:bottom w:val="nil"/>
              <w:right w:val="nil"/>
            </w:tcBorders>
            <w:vAlign w:val="center"/>
          </w:tcPr>
          <w:p>
            <w:pPr>
              <w:pStyle w:val="Style14"/>
              <w:widowControl w:val="false"/>
              <w:spacing w:before="0" w:after="0"/>
              <w:rPr/>
            </w:pPr>
            <w:r>
              <w:rPr/>
              <w:t>（</w:t>
            </w:r>
            <w:r>
              <w:fldChar w:fldCharType="begin"/>
            </w:r>
            <w:r>
              <w:rPr/>
              <w:instrText xml:space="preserve">STYLEREF 1 \s</w:instrText>
            </w:r>
            <w:r>
              <w:rPr/>
            </w:r>
            <w:r>
              <w:rPr/>
              <w:fldChar w:fldCharType="separate"/>
            </w:r>
            <w:r>
              <w:rPr/>
              <w:t>2</w:t>
            </w:r>
            <w:r>
              <w:rPr/>
            </w:r>
            <w:r>
              <w:rPr/>
              <w:fldChar w:fldCharType="end"/>
            </w:r>
            <w:r>
              <w:rPr/>
              <w:t>-</w:t>
            </w:r>
            <w:r>
              <w:rPr/>
              <w:fldChar w:fldCharType="begin"/>
            </w:r>
            <w:r>
              <w:rPr/>
              <w:instrText xml:space="preserve"> SEQ 公式 \* ARABIC </w:instrText>
            </w:r>
            <w:r>
              <w:rPr/>
              <w:fldChar w:fldCharType="separate"/>
            </w:r>
            <w:r>
              <w:rPr/>
              <w:t>1</w:t>
            </w:r>
            <w:r>
              <w:rPr/>
              <w:fldChar w:fldCharType="end"/>
            </w:r>
            <w:r>
              <w:rPr/>
              <w:t>）</w:t>
            </w:r>
          </w:p>
        </w:tc>
      </w:tr>
    </w:tbl>
    <w:p>
      <w:pPr>
        <w:pStyle w:val="Style12"/>
        <w:ind w:hanging="0"/>
        <w:rPr/>
      </w:pPr>
      <w:r/>
      <w:r>
        <w:rPr/>
        <w:br/>
      </w:r>
      <w:r>
        <w:rPr>
          <w:rStyle w:val="Char1"/>
        </w:rPr>
        <w:t>其中</w:t>
      </w:r>
      <w:r>
        <w:rPr/>
      </w:r>
      <m:oMath xmlns:m="http://schemas.openxmlformats.org/officeDocument/2006/math">
        <m:sSub>
          <m:e>
            <m:r>
              <w:rPr>
                <w:rFonts w:ascii="Cambria Math" w:hAnsi="Cambria Math"/>
              </w:rPr>
              <m:t xml:space="preserve">b</m:t>
            </m:r>
          </m:e>
          <m:sub>
            <m:r>
              <w:rPr>
                <w:rFonts w:ascii="Cambria Math" w:hAnsi="Cambria Math"/>
              </w:rPr>
              <m:t xml:space="preserve">i</m:t>
            </m:r>
          </m:sub>
        </m:sSub>
      </m:oMath>
      <w:r>
        <w:rPr>
          <w:rStyle w:val="Char1"/>
        </w:rPr>
        <w:t xml:space="preserve">表示第 </w:t>
      </w:r>
      <w:r>
        <w:rPr>
          <w:rStyle w:val="Char1"/>
        </w:rPr>
        <w:t xml:space="preserve">i </w:t>
      </w:r>
      <w:r>
        <w:rPr>
          <w:rStyle w:val="Char1"/>
        </w:rPr>
        <w:t>个目标的边界框坐标，</w:t>
      </w:r>
      <w:r>
        <w:rPr/>
      </w:r>
      <m:oMath xmlns:m="http://schemas.openxmlformats.org/officeDocument/2006/math">
        <m:sSub>
          <m:e>
            <m:r>
              <w:rPr>
                <w:rFonts w:ascii="Cambria Math" w:hAnsi="Cambria Math"/>
              </w:rPr>
              <m:t xml:space="preserve">c</m:t>
            </m:r>
          </m:e>
          <m:sub>
            <m:r>
              <w:rPr>
                <w:rFonts w:ascii="Cambria Math" w:hAnsi="Cambria Math"/>
              </w:rPr>
              <m:t xml:space="preserve">i</m:t>
            </m:r>
          </m:sub>
        </m:sSub>
      </m:oMath>
      <w:r>
        <w:rPr>
          <w:rStyle w:val="Char1"/>
        </w:rPr>
        <w:t>表示类别标签，</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oMath>
      <w:r>
        <w:rPr>
          <w:rStyle w:val="Char1"/>
        </w:rPr>
        <w:t xml:space="preserve">表示置信度分数。传统封闭类别检测模型通常在固定类别集合上进行训练和测试，而开放词表检测模型可以根据文本提示动态指定目标类别。本文研究处于二者之间：一方面需要在 </w:t>
      </w:r>
      <w:r>
        <w:rPr>
          <w:rStyle w:val="Char1"/>
        </w:rPr>
        <w:t xml:space="preserve">VisDrone </w:t>
      </w:r>
      <w:r>
        <w:rPr>
          <w:rStyle w:val="Char1"/>
        </w:rPr>
        <w:t>等航拍检测数据集上完成固定类别识别，另一方面希望</w:t>
      </w:r>
      <w:r>
        <w:rPr/>
        <w:t>利用文本提示和类别别名提升模型对小目标和弱类别的召回能力。</w:t>
      </w:r>
    </w:p>
    <w:p>
      <w:pPr>
        <w:pStyle w:val="231"/>
        <w:numPr>
          <w:ilvl w:val="2"/>
          <w:numId w:val="1"/>
        </w:numPr>
        <w:spacing w:before="206" w:after="206"/>
        <w:rPr/>
      </w:pPr>
      <w:bookmarkStart w:id="125" w:name="__RefHeading___Toc10390_2198631117"/>
      <w:bookmarkStart w:id="126" w:name="_Toc7292"/>
      <w:bookmarkEnd w:id="125"/>
      <w:r>
        <w:rPr/>
        <w:t>小目标与密集目标识别难点</w:t>
      </w:r>
      <w:bookmarkEnd w:id="126"/>
    </w:p>
    <w:p>
      <w:pPr>
        <w:pStyle w:val="Style12"/>
        <w:ind w:firstLine="503"/>
        <w:rPr/>
      </w:pPr>
      <w:r>
        <w:rPr/>
        <w:t>小目标问题是无人机航拍图像识别中的核心难点。由于无人机拍摄高度通常较高，感兴趣目标在整幅图像中所占像素比例较小。深度学习模型在输入阶段往往需要将原始高分辨率图像缩放到固定尺寸，经过多层卷积或视觉编码后，小目标的纹理、边缘和局部形状信息可能被进一步压缩甚至丢失。这会直接导致候选框召回率下降，即模型无法在初始阶段发现足够多的真实目标。</w:t>
      </w:r>
    </w:p>
    <w:p>
      <w:pPr>
        <w:pStyle w:val="Style12"/>
        <w:ind w:firstLine="503"/>
        <w:rPr/>
      </w:pPr>
      <w:r>
        <w:rPr/>
        <w:t>密集目标进一步加剧了识别难度。在城市道路、停车场和人群聚集区域中，多个目标可能相互紧邻或部分重叠。对于车辆、行人、</w:t>
      </w:r>
      <w:r>
        <w:rPr/>
        <w:t>people</w:t>
      </w:r>
      <w:r>
        <w:rPr/>
        <w:t>、</w:t>
      </w:r>
      <w:r>
        <w:rPr/>
        <w:t>motor</w:t>
      </w:r>
      <w:r>
        <w:rPr/>
        <w:t>、</w:t>
      </w:r>
      <w:r>
        <w:rPr/>
        <w:t>bicycle</w:t>
      </w:r>
      <w:r>
        <w:rPr/>
        <w:t>、</w:t>
      </w:r>
      <w:r>
        <w:rPr/>
        <w:t>tricycle</w:t>
      </w:r>
      <w:r>
        <w:rPr/>
        <w:t>、</w:t>
      </w:r>
      <w:r>
        <w:rPr/>
        <w:t>awning tricycle</w:t>
      </w:r>
      <w:r>
        <w:rPr/>
        <w:t>等类别，目标外观在俯视视角下差异有限，且相邻目标之间的边界不清晰。模型在这种场景下容易出现三类错误：第一，将多个相邻目标合并为一个较大候选框；第二，为同一目标生成多个重复候选框；第三，将相近类别互相混淆，造成类别预测错误或置信度排序不稳定。</w:t>
      </w:r>
    </w:p>
    <w:p>
      <w:pPr>
        <w:pStyle w:val="Style12"/>
        <w:ind w:firstLine="503"/>
        <w:rPr/>
      </w:pPr>
      <w:r>
        <w:rPr/>
        <w:t>多尺度变化也是影响航拍识别性能的重要因素。同一幅图像中，近处车辆可能具有较清晰的几何轮廓，而远处车辆仅占据很少像素。若模型采用单一尺度特征进行识别，往往难以同时兼顾大目标定位精度和小目标召回能力。常见缓解方法包括图像金字塔、多尺度特征融合、滑动窗口切片、局部区域放大和低阈值候选补充等。这些方法的共同目标是在保留全局上下文的同时，提高模型对局部微小目标的感知能力。</w:t>
      </w:r>
      <w:r>
        <w:rPr>
          <w:vertAlign w:val="superscript"/>
        </w:rPr>
        <w:t xml:space="preserve"> </w:t>
      </w:r>
      <w:r>
        <w:rPr>
          <w:vertAlign w:val="superscript"/>
        </w:rPr>
        <w:fldChar w:fldCharType="begin"/>
      </w:r>
      <w:r>
        <w:rPr>
          <w:vertAlign w:val="superscript"/>
        </w:rPr>
        <w:instrText xml:space="preserve"> REF _Ref926 \r \h </w:instrText>
      </w:r>
      <w:r>
        <w:rPr>
          <w:vertAlign w:val="superscript"/>
        </w:rPr>
        <w:fldChar w:fldCharType="separate"/>
      </w:r>
      <w:r>
        <w:rPr>
          <w:vertAlign w:val="superscript"/>
        </w:rPr>
        <w:t>[5]</w:t>
      </w:r>
      <w:r>
        <w:rPr>
          <w:vertAlign w:val="superscript"/>
        </w:rPr>
        <w:fldChar w:fldCharType="end"/>
      </w:r>
      <w:r>
        <w:rPr>
          <w:vertAlign w:val="superscript"/>
        </w:rPr>
        <w:fldChar w:fldCharType="begin"/>
      </w:r>
      <w:r>
        <w:rPr>
          <w:vertAlign w:val="superscript"/>
        </w:rPr>
        <w:instrText xml:space="preserve"> REF _Ref929 \r \h </w:instrText>
      </w:r>
      <w:r>
        <w:rPr>
          <w:vertAlign w:val="superscript"/>
        </w:rPr>
        <w:fldChar w:fldCharType="separate"/>
      </w:r>
      <w:r>
        <w:rPr>
          <w:vertAlign w:val="superscript"/>
        </w:rPr>
        <w:t>[6]</w:t>
      </w:r>
      <w:r>
        <w:rPr>
          <w:vertAlign w:val="superscript"/>
        </w:rPr>
        <w:fldChar w:fldCharType="end"/>
      </w:r>
    </w:p>
    <w:p>
      <w:pPr>
        <w:pStyle w:val="Style12"/>
        <w:ind w:firstLine="503"/>
        <w:rPr/>
      </w:pPr>
      <w:r>
        <w:rPr/>
        <w:t>在本文研究中，小目标召回增强是重要技术环节之一。基础开放词表检测模型能够根据文本提示生成候选框，但在航拍小目标类别上仍容易漏检。为提高召回率，可以采用更低的候选生成阈值、增加类别别名提示、对小面积候选引入先验加权，或对易混淆类别构建更丰富的提示词组合。然而，召回增强通常会同时带来更多冗余框和误检框。因此，航拍小目标识别不能只追求候选数量增加，还需要配合候选框筛选、重排序和置信度校准机制，以在召回率和精确率之间取得平衡。</w:t>
      </w:r>
    </w:p>
    <w:p>
      <w:pPr>
        <w:pStyle w:val="Style12"/>
        <w:ind w:firstLine="503"/>
        <w:rPr/>
      </w:pPr>
      <w:r>
        <w:rPr/>
        <w:t>从特征提取角度看，小目标难以识别的根本原因在于其有效像素数量有限。深度卷积网络或视觉</w:t>
      </w:r>
      <w:r>
        <w:rPr/>
        <w:t>Transformer</w:t>
      </w:r>
      <w:r>
        <w:rPr/>
        <w:t>在进行下采样和特征聚合时，会逐步扩大感受野并压缩空间分辨率。对于大目标而言，这一过程有助于提取更强的语义特征；但对于小目标而言，目标区域可能在特征图中只对应极少数位置，甚至与背景纹理混合在一起。尤其是在无人机航拍道路场景中，车辆阴影、道路标线、树木遮挡和建筑纹理都可能与小目标外观相似，导致模型难以从局部视觉模式中稳定区分目标与背景。</w:t>
      </w:r>
    </w:p>
    <w:p>
      <w:pPr>
        <w:pStyle w:val="Style12"/>
        <w:ind w:firstLine="503"/>
        <w:rPr/>
      </w:pPr>
      <w:r>
        <w:rPr/>
        <w:t>从候选生成角度看，小目标通常具有较低置信度。通用检测模型在训练中会更容易学习到尺寸较大、外观清晰的目标，而小目标由于标注框尺寸小、特征弱、定位偏移影响大，在推理时往往得分偏低。如果直接使用较高置信度阈值，这部分目标会在候选阶段被过滤，后续模块无法再恢复。因此，许多航拍检测方法倾向于在候选生成阶段降低阈值，先尽可能保留潜在目标，再通过后续筛选模块降低误检。</w:t>
      </w:r>
    </w:p>
    <w:p>
      <w:pPr>
        <w:pStyle w:val="Style12"/>
        <w:ind w:firstLine="503"/>
        <w:rPr/>
      </w:pPr>
      <w:r>
        <w:rPr/>
        <w:t>从后处理角度看，密集小目标对</w:t>
      </w:r>
      <w:r>
        <w:rPr/>
        <w:t>NMS</w:t>
      </w:r>
      <w:r>
        <w:rPr/>
        <w:t>提出了特殊挑战。</w:t>
      </w:r>
      <w:r>
        <w:rPr/>
        <w:t>NMS</w:t>
      </w:r>
      <w:r>
        <w:rPr/>
        <w:t>的核心假设是高度重叠的候选框大概率属于同一目标，但在航拍密集场景中，相邻目标之间本身就可能距离很近，甚至真实框也具有一定重叠。若</w:t>
      </w:r>
      <w:r>
        <w:rPr/>
        <w:t>NMS</w:t>
      </w:r>
      <w:r>
        <w:rPr/>
        <w:t>阈值设置过低，相邻真实目标会被错误抑制，导致召回率下降；若阈值设置过高，则重复框无法有效删除，影响精确率和</w:t>
      </w:r>
      <w:r>
        <w:rPr/>
        <w:t>mAP</w:t>
      </w:r>
      <w:r>
        <w:rPr/>
        <w:t>。因此，本文在后续实验中不仅关注候选生成阶段的召回增强，也关注候选压缩、分数重排序和类别感知后处理对最终指标的影响。</w:t>
      </w:r>
    </w:p>
    <w:p>
      <w:pPr>
        <w:pStyle w:val="23"/>
        <w:numPr>
          <w:ilvl w:val="1"/>
          <w:numId w:val="1"/>
        </w:numPr>
        <w:spacing w:before="206" w:after="206"/>
        <w:rPr/>
      </w:pPr>
      <w:bookmarkStart w:id="127" w:name="__RefHeading___Toc10346_2198631117"/>
      <w:bookmarkStart w:id="128" w:name="_Toc29128"/>
      <w:bookmarkEnd w:id="127"/>
      <w:r>
        <w:rPr/>
        <w:t>视觉定位与开放词表检测方法</w:t>
      </w:r>
      <w:bookmarkEnd w:id="128"/>
    </w:p>
    <w:p>
      <w:pPr>
        <w:pStyle w:val="231"/>
        <w:numPr>
          <w:ilvl w:val="2"/>
          <w:numId w:val="1"/>
        </w:numPr>
        <w:spacing w:before="206" w:after="206"/>
        <w:rPr/>
      </w:pPr>
      <w:bookmarkStart w:id="129" w:name="__RefHeading___Toc10388_2198631117"/>
      <w:bookmarkStart w:id="130" w:name="_Toc19483"/>
      <w:bookmarkEnd w:id="129"/>
      <w:r>
        <w:rPr/>
        <w:t>视觉定位任务定义</w:t>
      </w:r>
      <w:bookmarkEnd w:id="130"/>
    </w:p>
    <w:p>
      <w:pPr>
        <w:pStyle w:val="Style12"/>
        <w:ind w:firstLine="503"/>
        <w:rPr/>
      </w:pPr>
      <w:r>
        <w:rPr/>
        <w:t>视觉定位（</w:t>
      </w:r>
      <w:r>
        <w:rPr/>
        <w:t>Visual Grounding</w:t>
      </w:r>
      <w:r>
        <w:rPr/>
        <w:t>）旨在根据自然语言查询，在图像中定位与查</w:t>
      </w:r>
      <w:r>
        <w:rPr>
          <w:rStyle w:val="Char1"/>
        </w:rPr>
        <w:t>询语义匹配的目标区域。给定图像</w:t>
      </w:r>
      <w:r>
        <w:rPr/>
      </w:r>
      <m:oMath xmlns:m="http://schemas.openxmlformats.org/officeDocument/2006/math">
        <m:r>
          <w:rPr>
            <w:rFonts w:ascii="Cambria Math" w:hAnsi="Cambria Math"/>
          </w:rPr>
          <m:t xml:space="preserve">I</m:t>
        </m:r>
      </m:oMath>
      <w:r>
        <w:rPr>
          <w:rStyle w:val="Char1"/>
        </w:rPr>
        <w:t>和文本查询</w:t>
      </w:r>
      <w:r>
        <w:rPr/>
      </w:r>
      <m:oMath xmlns:m="http://schemas.openxmlformats.org/officeDocument/2006/math">
        <m:r>
          <w:rPr>
            <w:rFonts w:ascii="Cambria Math" w:hAnsi="Cambria Math"/>
          </w:rPr>
          <m:t xml:space="preserve">T</m:t>
        </m:r>
      </m:oMath>
      <w:r>
        <w:rPr>
          <w:rStyle w:val="Char1"/>
        </w:rPr>
        <w:t>，模型需要输出一个或多个边界框</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sSubSup>
          <m:e>
            <m:r>
              <w:rPr>
                <w:rFonts w:ascii="Cambria Math" w:hAnsi="Cambria Math"/>
              </w:rPr>
              <m:t xml:space="preserve">}</m:t>
            </m:r>
          </m:e>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sSubSup>
      </m:oMath>
      <w:r>
        <w:rPr>
          <w:rStyle w:val="Char1"/>
        </w:rPr>
        <w:t>，其中每个边界框对应图像中与文本描述相关的目标。与传</w:t>
      </w:r>
      <w:r>
        <w:rPr/>
        <w:t>统目标检测相比，视觉定位的输入不再只是图像，而是图像与文本的组合；模型不仅需要识别目标类别，还需要理解文本中的属性、方位、数量和上下文关系。</w:t>
      </w:r>
    </w:p>
    <w:p>
      <w:pPr>
        <w:pStyle w:val="Style12"/>
        <w:rPr/>
      </w:pPr>
      <w:r>
        <w:rPr/>
        <w:t>早期视觉定位方法多采用两阶段流程。第一阶段使用目标检测器生成候选框，第二阶段使用文本编码器提取语言特征，并计算候选框视觉特征与文本特征之间的匹配分数。该范式具有较好的可解释性，也便于利用成熟检测器的候选生成能力，但其性能高度依赖候选框质量。如果第一阶段没有生成覆盖目标的候选框，后续文本匹配模块无法弥补漏检问题。近年来，</w:t>
      </w:r>
      <w:r>
        <w:rPr/>
        <w:t>Transformer</w:t>
      </w:r>
      <w:r>
        <w:rPr/>
        <w:t>架构和视觉语言预训练推动了一阶段视觉定位方法的发展，模型能够在统一网络中进行视觉特征、语言特征和跨模态交互建模，从而提升开放场景下的定位能力。</w:t>
      </w:r>
    </w:p>
    <w:p>
      <w:pPr>
        <w:pStyle w:val="Style12"/>
        <w:ind w:firstLine="503"/>
        <w:rPr/>
      </w:pPr>
      <w:r>
        <w:rPr/>
        <w:t>对于无人机航拍任务而言，视觉定位具有较强应用价值。一方面，实际用户经常以自然语言方式描述目标，而不是只给出固定类别名称；另一方面，航拍图像中同一类别实例数量较多，仅检测类别不足以满足精细化检索需求。因此，本文将视觉语言模型引入航拍图像识别流程，通过文本提示生成候选目标区域，并在后续模块中对候选框进行筛选和校准。</w:t>
      </w:r>
    </w:p>
    <w:p>
      <w:pPr>
        <w:pStyle w:val="231"/>
        <w:numPr>
          <w:ilvl w:val="2"/>
          <w:numId w:val="1"/>
        </w:numPr>
        <w:spacing w:before="206" w:after="206"/>
        <w:rPr/>
      </w:pPr>
      <w:bookmarkStart w:id="131" w:name="__RefHeading___Toc10386_2198631117"/>
      <w:bookmarkStart w:id="132" w:name="_Toc14382"/>
      <w:bookmarkEnd w:id="131"/>
      <w:r>
        <w:rPr/>
        <w:t>开放词表候选生成模型</w:t>
      </w:r>
      <w:bookmarkEnd w:id="132"/>
    </w:p>
    <w:p>
      <w:pPr>
        <w:pStyle w:val="Style12"/>
        <w:ind w:firstLine="503"/>
        <w:rPr/>
      </w:pPr>
      <w:r>
        <w:rPr/>
        <w:t xml:space="preserve">开放词表检测模型能够根据文本提示在图像中定位目标，相比传统封闭类别检测模型具有更强的类别扩展能力。本文选取 </w:t>
      </w:r>
      <w:r>
        <w:rPr/>
        <w:t xml:space="preserve">Grounding DINO </w:t>
      </w:r>
      <w:r>
        <w:rPr/>
        <w:t xml:space="preserve">作为基础候选生成模型，其输入由图像和文本提示共同组成，模型通过图像特征与文本语义之间的匹配关系生成候选框，并输出对应的类别响应分数。对于无人机航拍图像而言，这一机制具有较高适用性：一方面，航拍数据中的目标类别可以通过自然语言提示灵活指定；另一方面，模型不需要针对每个新类别重新训练完整检测器，便于在不同航拍场景中扩展。 </w:t>
      </w:r>
      <w:r>
        <w:rPr>
          <w:vertAlign w:val="superscript"/>
        </w:rPr>
        <w:fldChar w:fldCharType="begin"/>
      </w:r>
      <w:r>
        <w:rPr>
          <w:vertAlign w:val="superscript"/>
        </w:rPr>
        <w:instrText xml:space="preserve"> REF _Ref1014 \r \h </w:instrText>
      </w:r>
      <w:r>
        <w:rPr>
          <w:vertAlign w:val="superscript"/>
        </w:rPr>
        <w:fldChar w:fldCharType="separate"/>
      </w:r>
      <w:r>
        <w:rPr>
          <w:vertAlign w:val="superscript"/>
        </w:rPr>
        <w:t>[9]</w:t>
      </w:r>
      <w:r>
        <w:rPr>
          <w:vertAlign w:val="superscript"/>
        </w:rPr>
        <w:fldChar w:fldCharType="end"/>
      </w:r>
      <w:r>
        <w:rPr>
          <w:vertAlign w:val="superscript"/>
        </w:rPr>
        <w:fldChar w:fldCharType="begin"/>
      </w:r>
      <w:r>
        <w:rPr>
          <w:vertAlign w:val="superscript"/>
        </w:rPr>
        <w:instrText xml:space="preserve"> REF _Ref1027 \r \h </w:instrText>
      </w:r>
      <w:r>
        <w:rPr>
          <w:vertAlign w:val="superscript"/>
        </w:rPr>
        <w:fldChar w:fldCharType="separate"/>
      </w:r>
      <w:r>
        <w:rPr>
          <w:vertAlign w:val="superscript"/>
        </w:rPr>
        <w:t>[10]</w:t>
      </w:r>
      <w:r>
        <w:rPr>
          <w:vertAlign w:val="superscript"/>
        </w:rPr>
        <w:fldChar w:fldCharType="end"/>
      </w:r>
      <w:r>
        <w:rPr>
          <w:vertAlign w:val="superscript"/>
        </w:rPr>
        <w:fldChar w:fldCharType="begin"/>
      </w:r>
      <w:r>
        <w:rPr>
          <w:vertAlign w:val="superscript"/>
        </w:rPr>
        <w:instrText xml:space="preserve"> REF _Ref1030 \r \h </w:instrText>
      </w:r>
      <w:r>
        <w:rPr>
          <w:vertAlign w:val="superscript"/>
        </w:rPr>
        <w:fldChar w:fldCharType="separate"/>
      </w:r>
      <w:r>
        <w:rPr>
          <w:vertAlign w:val="superscript"/>
        </w:rPr>
        <w:t>[11]</w:t>
      </w:r>
      <w:r>
        <w:rPr>
          <w:vertAlign w:val="superscript"/>
        </w:rPr>
        <w:fldChar w:fldCharType="end"/>
      </w:r>
      <w:r>
        <w:rPr>
          <w:vertAlign w:val="superscript"/>
        </w:rPr>
        <w:fldChar w:fldCharType="begin"/>
      </w:r>
      <w:r>
        <w:rPr>
          <w:vertAlign w:val="superscript"/>
        </w:rPr>
        <w:instrText xml:space="preserve"> REF _Ref1033 \r \h </w:instrText>
      </w:r>
      <w:r>
        <w:rPr>
          <w:vertAlign w:val="superscript"/>
        </w:rPr>
        <w:fldChar w:fldCharType="separate"/>
      </w:r>
      <w:r>
        <w:rPr>
          <w:vertAlign w:val="superscript"/>
        </w:rPr>
        <w:t>[12]</w:t>
      </w:r>
      <w:r>
        <w:rPr>
          <w:vertAlign w:val="superscript"/>
        </w:rPr>
        <w:fldChar w:fldCharType="end"/>
      </w:r>
      <w:r>
        <w:rPr>
          <w:vertAlign w:val="superscript"/>
        </w:rPr>
        <w:fldChar w:fldCharType="begin"/>
      </w:r>
      <w:r>
        <w:rPr>
          <w:vertAlign w:val="superscript"/>
        </w:rPr>
        <w:instrText xml:space="preserve"> REF _Ref1037 \r \h </w:instrText>
      </w:r>
      <w:r>
        <w:rPr>
          <w:vertAlign w:val="superscript"/>
        </w:rPr>
        <w:fldChar w:fldCharType="separate"/>
      </w:r>
      <w:r>
        <w:rPr>
          <w:vertAlign w:val="superscript"/>
        </w:rPr>
        <w:t>[13]</w:t>
      </w:r>
      <w:r>
        <w:rPr>
          <w:vertAlign w:val="superscript"/>
        </w:rPr>
        <w:fldChar w:fldCharType="end"/>
      </w:r>
      <w:r>
        <w:rPr>
          <w:vertAlign w:val="superscript"/>
        </w:rPr>
        <w:fldChar w:fldCharType="begin"/>
      </w:r>
      <w:r>
        <w:rPr>
          <w:vertAlign w:val="superscript"/>
        </w:rPr>
        <w:instrText xml:space="preserve"> REF _Ref1040 \r \h </w:instrText>
      </w:r>
      <w:r>
        <w:rPr>
          <w:vertAlign w:val="superscript"/>
        </w:rPr>
        <w:fldChar w:fldCharType="separate"/>
      </w:r>
      <w:r>
        <w:rPr>
          <w:vertAlign w:val="superscript"/>
        </w:rPr>
        <w:t>[14]</w:t>
      </w:r>
      <w:r>
        <w:rPr>
          <w:vertAlign w:val="superscript"/>
        </w:rPr>
        <w:fldChar w:fldCharType="end"/>
      </w:r>
    </w:p>
    <w:p>
      <w:pPr>
        <w:pStyle w:val="Style12"/>
        <w:ind w:firstLine="503"/>
        <w:rPr/>
      </w:pPr>
      <w:r>
        <w:rPr/>
        <w:t>在本文框架中，基础候选生成模型主要承担初始候选框生成器的作用。给定航拍图像和文本提示后，模型输出一组候选框及其原始置信度。后续模块并不直接将这些候选作为最终结果，而是进一步结合候选框几何属性、提示词来源、类别别名、小目标先验和查询匹配分数等信息，对候选框进行重新排序和筛选。这种处理方式能够充分利用开放词表检测模型的候选生成能力，同时降低通用模型直接迁移到无人机场景时产生的域偏移影响。</w:t>
      </w:r>
    </w:p>
    <w:p>
      <w:pPr>
        <w:pStyle w:val="Style12"/>
        <w:ind w:firstLine="503"/>
        <w:rPr/>
      </w:pPr>
      <w:r>
        <w:rPr/>
        <w:t>需要指出的是，基础候选生成模型的输出质量与文本提示密切相关。对于同一类目标，不同提示词可能产生不同候选集合。例如，在航拍场景中，</w:t>
      </w:r>
      <w:r>
        <w:rPr/>
        <w:t>pedestrian</w:t>
      </w:r>
      <w:r>
        <w:rPr/>
        <w:t>、</w:t>
      </w:r>
      <w:r>
        <w:rPr/>
        <w:t>person</w:t>
      </w:r>
      <w:r>
        <w:rPr/>
        <w:t>、</w:t>
      </w:r>
      <w:r>
        <w:rPr/>
        <w:t xml:space="preserve">people </w:t>
      </w:r>
      <w:r>
        <w:rPr/>
        <w:t>等词可能对应不同粒度的人体目标；</w:t>
      </w:r>
      <w:r>
        <w:rPr/>
        <w:t>motor</w:t>
      </w:r>
      <w:r>
        <w:rPr/>
        <w:t>、</w:t>
      </w:r>
      <w:r>
        <w:rPr/>
        <w:t>motorbike</w:t>
      </w:r>
      <w:r>
        <w:rPr/>
        <w:t>、</w:t>
      </w:r>
      <w:r>
        <w:rPr/>
        <w:t xml:space="preserve">scooter </w:t>
      </w:r>
      <w:r>
        <w:rPr/>
        <w:t>等词可能在低分辨率图像中召回相近类别目标。合理设计文本提示和类别别名，有助于提升小目标和弱类别的召回能力。但提示词扩展也会引入噪声，因此需要与后续校准模块配合使用。</w:t>
      </w:r>
    </w:p>
    <w:p>
      <w:pPr>
        <w:pStyle w:val="Style12"/>
        <w:ind w:firstLine="503"/>
        <w:rPr/>
      </w:pPr>
      <w:r>
        <w:rPr/>
        <w:t>设某一类别</w:t>
      </w:r>
      <w:r>
        <w:rPr/>
        <w:t>c</w:t>
      </w:r>
      <w:r>
        <w:rPr/>
        <w:t>的提示词集合为</w:t>
      </w:r>
      <w:r>
        <w:rPr/>
      </w:r>
      <m:oMath xmlns:m="http://schemas.openxmlformats.org/officeDocument/2006/math">
        <m:sSub>
          <m:e>
            <m:r>
              <w:rPr>
                <w:rFonts w:ascii="Cambria Math" w:hAnsi="Cambria Math"/>
              </w:rPr>
              <m:t xml:space="preserve">P</m:t>
            </m:r>
          </m:e>
          <m:sub>
            <m:r>
              <w:rPr>
                <w:rFonts w:ascii="Cambria Math" w:hAnsi="Cambria Math"/>
              </w:rPr>
              <m:t xml:space="preserve">c</m:t>
            </m:r>
          </m:sub>
        </m:sSub>
        <m:r>
          <w:rPr>
            <w:rFonts w:ascii="Cambria Math" w:hAnsi="Cambria Math"/>
          </w:rPr>
          <m:t xml:space="preserve">=</m:t>
        </m:r>
        <m:r>
          <w:rPr>
            <w:rFonts w:ascii="Cambria Math" w:hAnsi="Cambria Math"/>
          </w:rPr>
          <m:t xml:space="preserve">{</m:t>
        </m:r>
        <m:sSub>
          <m:e>
            <m:r>
              <w:rPr>
                <w:rFonts w:ascii="Cambria Math" w:hAnsi="Cambria Math"/>
              </w:rPr>
              <m:t xml:space="preserve">p</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p</m:t>
            </m:r>
          </m:e>
          <m:sub>
            <m:r>
              <w:rPr>
                <w:rFonts w:ascii="Cambria Math" w:hAnsi="Cambria Math"/>
              </w:rPr>
              <m:t xml:space="preserve">m</m:t>
            </m:r>
          </m:sub>
        </m:sSub>
        <m:r>
          <w:rPr>
            <w:rFonts w:ascii="Cambria Math" w:hAnsi="Cambria Math"/>
          </w:rPr>
          <m:t xml:space="preserve">}</m:t>
        </m:r>
      </m:oMath>
      <w:r>
        <w:rPr/>
        <w:t>，开放词表检测模型为</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m:t>
            </m:r>
          </m:e>
        </m:d>
      </m:oMath>
      <w:r>
        <w:rPr/>
        <w:t>，则该类别的候选框集合可表示为：</w:t>
      </w:r>
    </w:p>
    <w:tbl>
      <w:tblPr>
        <w:tblStyle w:val="15"/>
        <w:tblpPr w:vertAnchor="text" w:horzAnchor="page" w:leftFromText="180" w:rightFromText="180" w:tblpX="1707" w:tblpY="382"/>
        <w:tblW w:w="8721" w:type="dxa"/>
        <w:jc w:val="left"/>
        <w:tblInd w:w="108" w:type="dxa"/>
        <w:tblLayout w:type="fixed"/>
        <w:tblCellMar>
          <w:top w:w="0" w:type="dxa"/>
          <w:left w:w="108" w:type="dxa"/>
          <w:bottom w:w="0" w:type="dxa"/>
          <w:right w:w="108" w:type="dxa"/>
        </w:tblCellMar>
      </w:tblPr>
      <w:tblGrid>
        <w:gridCol w:w="1090"/>
        <w:gridCol w:w="6540"/>
        <w:gridCol w:w="1091"/>
      </w:tblGrid>
      <w:tr>
        <w:trPr>
          <w:trHeight w:val="822" w:hRule="exact"/>
        </w:trPr>
        <w:tc>
          <w:tcPr>
            <w:tcW w:w="1090" w:type="dxa"/>
            <w:tcBorders>
              <w:top w:val="nil"/>
              <w:left w:val="nil"/>
              <w:bottom w:val="nil"/>
              <w:right w:val="nil"/>
            </w:tcBorders>
            <w:vAlign w:val="center"/>
          </w:tcPr>
          <w:p>
            <w:pPr>
              <w:pStyle w:val="Normal"/>
              <w:widowControl w:val="false"/>
              <w:spacing w:before="0" w:after="0"/>
              <w:jc w:val="center"/>
              <w:rPr/>
            </w:pPr>
            <w:r>
              <w:rPr/>
            </w:r>
          </w:p>
        </w:tc>
        <w:tc>
          <w:tcPr>
            <w:tcW w:w="6540" w:type="dxa"/>
            <w:tcBorders>
              <w:top w:val="nil"/>
              <w:left w:val="nil"/>
              <w:bottom w:val="nil"/>
              <w:right w:val="nil"/>
            </w:tcBorders>
            <w:vAlign w:val="center"/>
          </w:tcPr>
          <w:p>
            <w:pPr>
              <w:pStyle w:val="Style12"/>
              <w:widowControl w:val="false"/>
              <w:spacing w:before="0" w:after="0"/>
              <w:ind w:firstLine="503"/>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c</m:t>
                    </m:r>
                  </m:sub>
                </m:sSub>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m</m:t>
                </m:r>
                <m:r>
                  <w:rPr>
                    <w:rFonts w:ascii="Cambria Math" w:hAnsi="Cambria Math"/>
                  </w:rPr>
                  <m:t xml:space="preserve">G</m:t>
                </m:r>
                <m:d>
                  <m:dPr>
                    <m:begChr m:val="("/>
                    <m:endChr m:val=")"/>
                  </m:dPr>
                  <m:e>
                    <m:r>
                      <w:rPr>
                        <w:rFonts w:ascii="Cambria Math" w:hAnsi="Cambria Math"/>
                      </w:rPr>
                      <m:t xml:space="preserve">I</m:t>
                    </m:r>
                    <m:r>
                      <w:rPr>
                        <w:rFonts w:ascii="Cambria Math" w:hAnsi="Cambria Math"/>
                      </w:rPr>
                      <m:t xml:space="preserve">,</m:t>
                    </m:r>
                    <m:sSub>
                      <m:e>
                        <m:r>
                          <w:rPr>
                            <w:rFonts w:ascii="Cambria Math" w:hAnsi="Cambria Math"/>
                          </w:rPr>
                          <m:t xml:space="preserve">p</m:t>
                        </m:r>
                      </m:e>
                      <m:sub>
                        <m:r>
                          <w:rPr>
                            <w:rFonts w:ascii="Cambria Math" w:hAnsi="Cambria Math"/>
                          </w:rPr>
                          <m:t xml:space="preserve">j</m:t>
                        </m:r>
                      </m:sub>
                    </m:sSub>
                  </m:e>
                </m:d>
                <m:r>
                  <w:rPr>
                    <w:rFonts w:ascii="Cambria Math" w:hAnsi="Cambria Math"/>
                  </w:rPr>
                  <m:t xml:space="preserve">.</m:t>
                </m:r>
              </m:oMath>
            </m:oMathPara>
          </w:p>
        </w:tc>
        <w:tc>
          <w:tcPr>
            <w:tcW w:w="1091" w:type="dxa"/>
            <w:tcBorders>
              <w:top w:val="nil"/>
              <w:left w:val="nil"/>
              <w:bottom w:val="nil"/>
              <w:right w:val="nil"/>
            </w:tcBorders>
            <w:vAlign w:val="center"/>
          </w:tcPr>
          <w:p>
            <w:pPr>
              <w:pStyle w:val="Style14"/>
              <w:widowControl w:val="false"/>
              <w:spacing w:before="0" w:after="0"/>
              <w:rPr/>
            </w:pPr>
            <w:r>
              <w:rPr/>
              <w:t>（</w:t>
            </w:r>
            <w:r>
              <w:fldChar w:fldCharType="begin"/>
            </w:r>
            <w:r>
              <w:rPr/>
              <w:instrText xml:space="preserve">STYLEREF 1 \s</w:instrText>
            </w:r>
            <w:r>
              <w:rPr/>
            </w:r>
            <w:r>
              <w:rPr/>
              <w:fldChar w:fldCharType="separate"/>
            </w:r>
            <w:r>
              <w:rPr/>
              <w:t>2</w:t>
            </w:r>
            <w:r>
              <w:rPr/>
            </w:r>
            <w:r>
              <w:rPr/>
              <w:fldChar w:fldCharType="end"/>
            </w:r>
            <w:r>
              <w:rPr/>
              <w:t>-2</w:t>
            </w:r>
            <w:r>
              <w:rPr/>
              <w:t>）</w:t>
            </w:r>
          </w:p>
        </w:tc>
      </w:tr>
    </w:tbl>
    <w:p>
      <w:pPr>
        <w:pStyle w:val="Style12"/>
        <w:ind w:firstLine="503"/>
        <w:rPr/>
      </w:pPr>
      <w:r/>
      <w:r>
        <w:rPr/>
        <w:br/>
      </w:r>
    </w:p>
    <w:p>
      <w:pPr>
        <w:pStyle w:val="Style12"/>
        <w:ind w:firstLine="503"/>
        <w:rPr/>
      </w:pPr>
      <w:r>
        <w:rPr/>
        <w:t>通过对不同提示词生成的候选集合取并集，模型能够获得更高的候选覆盖率。但多个提示词可能召回同一目标，候选集合中也会出现重复框和低质量框，因此需要在后续阶段进行候选合并、分数校准和类别感知筛选。</w:t>
      </w:r>
    </w:p>
    <w:p>
      <w:pPr>
        <w:pStyle w:val="Style12"/>
        <w:ind w:firstLine="503"/>
        <w:rPr/>
      </w:pPr>
      <w:r>
        <w:rPr/>
        <w:t xml:space="preserve">基础候选生成模型的优势在于开放词表泛化能力较强，能够通过文本提示灵活指定检测目标。然而，对于航拍图像而言，该类模型仍存在三方面不足。第一，通用预训练数据与航拍数据存在视角差异，导致模型对俯视小目标的响应不稳定。第二，文本提示与航拍类别之间存在语义粒度差异，例如 </w:t>
      </w:r>
      <w:r>
        <w:rPr/>
        <w:t xml:space="preserve">people </w:t>
      </w:r>
      <w:r>
        <w:rPr/>
        <w:t xml:space="preserve">与 </w:t>
      </w:r>
      <w:r>
        <w:rPr/>
        <w:t xml:space="preserve">pedestrian </w:t>
      </w:r>
      <w:r>
        <w:rPr/>
        <w:t xml:space="preserve">在数据集标注中是两个类别，但在自然语言中常存在重叠表达。第三，模型输出的原始分数更多反映通用图文匹配置信度，不一定与目标数据集上的真实检测可靠性严格一致。因此，本文没有把基础模型视为完整最终模型，而是将其作为候选生成基础，并进一步研究候选框重排序和闭环校准。 </w:t>
      </w:r>
      <w:r>
        <w:rPr>
          <w:vertAlign w:val="superscript"/>
        </w:rPr>
        <w:fldChar w:fldCharType="begin"/>
      </w:r>
      <w:r>
        <w:rPr>
          <w:vertAlign w:val="superscript"/>
        </w:rPr>
        <w:instrText xml:space="preserve"> REF _Ref1014 \r \h </w:instrText>
      </w:r>
      <w:r>
        <w:rPr>
          <w:vertAlign w:val="superscript"/>
        </w:rPr>
        <w:fldChar w:fldCharType="separate"/>
      </w:r>
      <w:r>
        <w:rPr>
          <w:vertAlign w:val="superscript"/>
        </w:rPr>
        <w:t>[9]</w:t>
      </w:r>
      <w:r>
        <w:rPr>
          <w:vertAlign w:val="superscript"/>
        </w:rPr>
        <w:fldChar w:fldCharType="end"/>
      </w:r>
      <w:r>
        <w:rPr>
          <w:vertAlign w:val="superscript"/>
        </w:rPr>
        <w:fldChar w:fldCharType="begin"/>
      </w:r>
      <w:r>
        <w:rPr>
          <w:vertAlign w:val="superscript"/>
        </w:rPr>
        <w:instrText xml:space="preserve"> REF _Ref1037 \r \h </w:instrText>
      </w:r>
      <w:r>
        <w:rPr>
          <w:vertAlign w:val="superscript"/>
        </w:rPr>
        <w:fldChar w:fldCharType="separate"/>
      </w:r>
      <w:r>
        <w:rPr>
          <w:vertAlign w:val="superscript"/>
        </w:rPr>
        <w:t>[13]</w:t>
      </w:r>
      <w:r>
        <w:rPr>
          <w:vertAlign w:val="superscript"/>
        </w:rPr>
        <w:fldChar w:fldCharType="end"/>
      </w:r>
      <w:r>
        <w:rPr>
          <w:vertAlign w:val="superscript"/>
        </w:rPr>
        <w:fldChar w:fldCharType="begin"/>
      </w:r>
      <w:r>
        <w:rPr>
          <w:vertAlign w:val="superscript"/>
        </w:rPr>
        <w:instrText xml:space="preserve"> REF _Ref1040 \r \h </w:instrText>
      </w:r>
      <w:r>
        <w:rPr>
          <w:vertAlign w:val="superscript"/>
        </w:rPr>
        <w:fldChar w:fldCharType="separate"/>
      </w:r>
      <w:r>
        <w:rPr>
          <w:vertAlign w:val="superscript"/>
        </w:rPr>
        <w:t>[14]</w:t>
      </w:r>
      <w:r>
        <w:rPr>
          <w:vertAlign w:val="superscript"/>
        </w:rPr>
        <w:fldChar w:fldCharType="end"/>
      </w:r>
    </w:p>
    <w:p>
      <w:pPr>
        <w:pStyle w:val="231"/>
        <w:numPr>
          <w:ilvl w:val="2"/>
          <w:numId w:val="1"/>
        </w:numPr>
        <w:spacing w:before="206" w:after="206"/>
        <w:rPr>
          <w:lang w:val="en-US"/>
        </w:rPr>
      </w:pPr>
      <w:bookmarkStart w:id="133" w:name="__RefHeading___Toc10384_2198631117"/>
      <w:bookmarkStart w:id="134" w:name="_Toc9665"/>
      <w:bookmarkEnd w:id="133"/>
      <w:r>
        <w:rPr>
          <w:lang w:val="en-US"/>
        </w:rPr>
        <w:t>候选框特征和置信度校准</w:t>
      </w:r>
      <w:bookmarkEnd w:id="134"/>
    </w:p>
    <w:p>
      <w:pPr>
        <w:pStyle w:val="Style12"/>
        <w:ind w:firstLine="503"/>
        <w:rPr/>
      </w:pPr>
      <w:r>
        <w:rPr/>
        <w:t>开放词表检测模型输出的候选框分数并不一定能够直接作为最终置信度使用。理想情况下，分数越高的候选框越应该对应真实目标，分数越低的候选框越可能是背景或错误框。但在实际航拍场景中，候选分数会受到提示词、目标尺度、类别频次和背景相似度等因素影响。例如，小目标候选可能因为视觉特征弱而得分偏低，但它仍可能是真实目标；某些背景区域可能因为与文本提示存在弱相关而获得较高分数。若直接按照原始分数排序，就可能导致</w:t>
      </w:r>
      <w:r>
        <w:rPr/>
        <w:t>mAP</w:t>
      </w:r>
      <w:r>
        <w:rPr/>
        <w:t xml:space="preserve">下降。 </w:t>
      </w:r>
      <w:r>
        <w:rPr>
          <w:vertAlign w:val="superscript"/>
        </w:rPr>
        <w:fldChar w:fldCharType="begin"/>
      </w:r>
      <w:r>
        <w:rPr>
          <w:vertAlign w:val="superscript"/>
        </w:rPr>
        <w:instrText xml:space="preserve"> REF _Ref1037 \r \h </w:instrText>
      </w:r>
      <w:r>
        <w:rPr>
          <w:vertAlign w:val="superscript"/>
        </w:rPr>
        <w:fldChar w:fldCharType="separate"/>
      </w:r>
      <w:r>
        <w:rPr>
          <w:vertAlign w:val="superscript"/>
        </w:rPr>
        <w:t>[13]</w:t>
      </w:r>
      <w:r>
        <w:rPr>
          <w:vertAlign w:val="superscript"/>
        </w:rPr>
        <w:fldChar w:fldCharType="end"/>
      </w:r>
      <w:r>
        <w:rPr>
          <w:vertAlign w:val="superscript"/>
        </w:rPr>
        <w:fldChar w:fldCharType="begin"/>
      </w:r>
      <w:r>
        <w:rPr>
          <w:vertAlign w:val="superscript"/>
        </w:rPr>
        <w:instrText xml:space="preserve"> REF _Ref1040 \r \h </w:instrText>
      </w:r>
      <w:r>
        <w:rPr>
          <w:vertAlign w:val="superscript"/>
        </w:rPr>
        <w:fldChar w:fldCharType="separate"/>
      </w:r>
      <w:r>
        <w:rPr>
          <w:vertAlign w:val="superscript"/>
        </w:rPr>
        <w:t>[14]</w:t>
      </w:r>
      <w:r>
        <w:rPr>
          <w:vertAlign w:val="superscript"/>
        </w:rPr>
        <w:fldChar w:fldCharType="end"/>
      </w:r>
    </w:p>
    <w:p>
      <w:pPr>
        <w:pStyle w:val="Style12"/>
        <w:ind w:firstLine="503"/>
        <w:rPr/>
      </w:pPr>
      <w:r>
        <w:rPr/>
        <w:t>置信度校准的目标是重新估计候选框可靠性，使分数排序更符合真实检测质量。设候选框特征</w:t>
      </w:r>
      <w:r>
        <w:rPr/>
      </w:r>
      <m:oMath xmlns:m="http://schemas.openxmlformats.org/officeDocument/2006/math">
        <m:sSub>
          <m:e>
            <m:r>
              <w:rPr>
                <w:rFonts w:ascii="Cambria Math" w:hAnsi="Cambria Math"/>
              </w:rPr>
              <m:t xml:space="preserve">x</m:t>
            </m:r>
          </m:e>
          <m:sub>
            <m:r>
              <w:rPr>
                <w:rFonts w:ascii="Cambria Math" w:hAnsi="Cambria Math"/>
              </w:rPr>
              <m:t xml:space="preserve">i</m:t>
            </m:r>
          </m:sub>
        </m:sSub>
      </m:oMath>
      <w:r>
        <w:rPr/>
        <w:t>为，校准模型可以学习一个函数</w:t>
      </w:r>
      <w:r>
        <w:rPr/>
      </w:r>
      <m:oMath xmlns:m="http://schemas.openxmlformats.org/officeDocument/2006/math">
        <m:sSub>
          <m:e>
            <m:r>
              <w:rPr>
                <w:rFonts w:ascii="Cambria Math" w:hAnsi="Cambria Math"/>
              </w:rPr>
              <m:t xml:space="preserve">f</m:t>
            </m:r>
          </m:e>
          <m:sub>
            <m:r>
              <w:rPr>
                <w:rFonts w:ascii="Cambria Math" w:hAnsi="Cambria Math"/>
              </w:rPr>
              <m:t xml:space="preserve">ϕ</m:t>
            </m:r>
          </m:sub>
        </m:sSub>
        <m:d>
          <m:dPr>
            <m:begChr m:val="("/>
            <m:endChr m:val=")"/>
          </m:dPr>
          <m:e>
            <m:sSub>
              <m:e>
                <m:r>
                  <w:rPr>
                    <w:rFonts w:ascii="Cambria Math" w:hAnsi="Cambria Math"/>
                  </w:rPr>
                  <m:t xml:space="preserve">x</m:t>
                </m:r>
              </m:e>
              <m:sub>
                <m:r>
                  <w:rPr>
                    <w:rFonts w:ascii="Cambria Math" w:hAnsi="Cambria Math"/>
                  </w:rPr>
                  <m:t xml:space="preserve">i</m:t>
                </m:r>
              </m:sub>
            </m:sSub>
          </m:e>
        </m:d>
      </m:oMath>
      <w:r>
        <w:rPr/>
        <w:t>输出新的分数</w:t>
      </w:r>
      <w:r>
        <w:rPr/>
      </w:r>
      <m:oMath xmlns:m="http://schemas.openxmlformats.org/officeDocument/2006/math">
        <m:sSub>
          <m:e>
            <m:acc>
              <m:accPr>
                <m:chr m:val="^"/>
              </m:accPr>
              <m:e>
                <m:r>
                  <w:rPr>
                    <w:rFonts w:ascii="Cambria Math" w:hAnsi="Cambria Math"/>
                  </w:rPr>
                  <m:t xml:space="preserve">s</m:t>
                </m:r>
              </m:e>
            </m:acc>
          </m:e>
          <m:sub>
            <m:r>
              <w:rPr>
                <w:rFonts w:ascii="Cambria Math" w:hAnsi="Cambria Math"/>
              </w:rPr>
              <m:t xml:space="preserve">i</m:t>
            </m:r>
          </m:sub>
        </m:sSub>
      </m:oMath>
      <w:r>
        <w:rPr/>
        <w:t>：</w:t>
      </w:r>
    </w:p>
    <w:tbl>
      <w:tblPr>
        <w:tblStyle w:val="15"/>
        <w:tblpPr w:vertAnchor="text" w:horzAnchor="page" w:leftFromText="180" w:rightFromText="180" w:tblpX="1708" w:tblpY="-112"/>
        <w:tblW w:w="8721" w:type="dxa"/>
        <w:jc w:val="left"/>
        <w:tblInd w:w="108" w:type="dxa"/>
        <w:tblLayout w:type="fixed"/>
        <w:tblCellMar>
          <w:top w:w="0" w:type="dxa"/>
          <w:left w:w="108" w:type="dxa"/>
          <w:bottom w:w="0" w:type="dxa"/>
          <w:right w:w="108" w:type="dxa"/>
        </w:tblCellMar>
      </w:tblPr>
      <w:tblGrid>
        <w:gridCol w:w="1090"/>
        <w:gridCol w:w="6540"/>
        <w:gridCol w:w="1091"/>
      </w:tblGrid>
      <w:tr>
        <w:trPr>
          <w:trHeight w:val="822" w:hRule="exact"/>
        </w:trPr>
        <w:tc>
          <w:tcPr>
            <w:tcW w:w="1090" w:type="dxa"/>
            <w:tcBorders>
              <w:top w:val="nil"/>
              <w:left w:val="nil"/>
              <w:bottom w:val="nil"/>
              <w:right w:val="nil"/>
            </w:tcBorders>
            <w:vAlign w:val="center"/>
          </w:tcPr>
          <w:p>
            <w:pPr>
              <w:pStyle w:val="Normal"/>
              <w:widowControl w:val="false"/>
              <w:spacing w:before="0" w:after="0"/>
              <w:jc w:val="center"/>
              <w:rPr/>
            </w:pPr>
            <w:r>
              <w:rPr/>
            </w:r>
          </w:p>
        </w:tc>
        <w:tc>
          <w:tcPr>
            <w:tcW w:w="6540" w:type="dxa"/>
            <w:tcBorders>
              <w:top w:val="nil"/>
              <w:left w:val="nil"/>
              <w:bottom w:val="nil"/>
              <w:right w:val="nil"/>
            </w:tcBorders>
            <w:vAlign w:val="center"/>
          </w:tcPr>
          <w:p>
            <w:pPr>
              <w:pStyle w:val="Style12"/>
              <w:widowControl w:val="false"/>
              <w:spacing w:before="0" w:after="0"/>
              <w:ind w:firstLine="503"/>
              <w:jc w:val="center"/>
              <w:rPr/>
            </w:pPr>
            <w:r>
              <w:rPr/>
            </w:r>
            <m:oMathPara xmlns:m="http://schemas.openxmlformats.org/officeDocument/2006/math">
              <m:oMathParaPr>
                <m:jc m:val="center"/>
              </m:oMathParaPr>
              <m:oMath>
                <m:sSub>
                  <m:e>
                    <m:acc>
                      <m:accPr>
                        <m:chr m:val="^"/>
                      </m:accPr>
                      <m:e>
                        <m:r>
                          <w:rPr>
                            <w:rFonts w:ascii="Cambria Math" w:hAnsi="Cambria Math"/>
                          </w:rPr>
                          <m:t xml:space="preserve">s</m:t>
                        </m:r>
                      </m:e>
                    </m:acc>
                  </m:e>
                  <m:sub>
                    <m:r>
                      <w:rPr>
                        <w:rFonts w:ascii="Cambria Math" w:hAnsi="Cambria Math"/>
                      </w:rPr>
                      <m:t xml:space="preserve">i</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ϕ</m:t>
                    </m:r>
                  </m:sub>
                </m:sSub>
                <m:d>
                  <m:dPr>
                    <m:begChr m:val="("/>
                    <m:endChr m:val=")"/>
                  </m:dPr>
                  <m:e>
                    <m:sSub>
                      <m:e>
                        <m:r>
                          <w:rPr>
                            <w:rFonts w:ascii="Cambria Math" w:hAnsi="Cambria Math"/>
                          </w:rPr>
                          <m:t xml:space="preserve">x</m:t>
                        </m:r>
                      </m:e>
                      <m:sub>
                        <m:r>
                          <w:rPr>
                            <w:rFonts w:ascii="Cambria Math" w:hAnsi="Cambria Math"/>
                          </w:rPr>
                          <m:t xml:space="preserve">i</m:t>
                        </m:r>
                      </m:sub>
                    </m:sSub>
                  </m:e>
                </m:d>
                <m:r>
                  <w:rPr>
                    <w:rFonts w:ascii="Cambria Math" w:hAnsi="Cambria Math"/>
                  </w:rPr>
                  <m:t xml:space="preserve">.</m:t>
                </m:r>
              </m:oMath>
            </m:oMathPara>
          </w:p>
        </w:tc>
        <w:tc>
          <w:tcPr>
            <w:tcW w:w="1091" w:type="dxa"/>
            <w:tcBorders>
              <w:top w:val="nil"/>
              <w:left w:val="nil"/>
              <w:bottom w:val="nil"/>
              <w:right w:val="nil"/>
            </w:tcBorders>
            <w:vAlign w:val="center"/>
          </w:tcPr>
          <w:p>
            <w:pPr>
              <w:pStyle w:val="Style14"/>
              <w:widowControl w:val="false"/>
              <w:spacing w:before="0" w:after="0"/>
              <w:rPr/>
            </w:pPr>
            <w:r>
              <w:rPr/>
              <w:t>（</w:t>
            </w:r>
            <w:r>
              <w:fldChar w:fldCharType="begin"/>
            </w:r>
            <w:r>
              <w:rPr/>
              <w:instrText xml:space="preserve">STYLEREF 1 \s</w:instrText>
            </w:r>
            <w:r>
              <w:rPr/>
            </w:r>
            <w:r>
              <w:rPr/>
              <w:fldChar w:fldCharType="separate"/>
            </w:r>
            <w:r>
              <w:rPr/>
              <w:t>2</w:t>
            </w:r>
            <w:r>
              <w:rPr/>
            </w:r>
            <w:r>
              <w:rPr/>
              <w:fldChar w:fldCharType="end"/>
            </w:r>
            <w:r>
              <w:rPr/>
              <w:t>-3</w:t>
            </w:r>
            <w:r>
              <w:rPr/>
              <w:t>）</w:t>
            </w:r>
          </w:p>
        </w:tc>
      </w:tr>
    </w:tbl>
    <w:p>
      <w:pPr>
        <w:pStyle w:val="Style12"/>
        <w:ind w:hanging="0"/>
        <w:rPr/>
      </w:pPr>
      <w:r/>
      <w:r>
        <w:rPr/>
        <w:br/>
      </w:r>
      <w:r>
        <w:rPr/>
        <w:t>其中</w:t>
      </w:r>
      <w:r>
        <w:rPr/>
      </w:r>
      <m:oMath xmlns:m="http://schemas.openxmlformats.org/officeDocument/2006/math">
        <m:sSub>
          <m:e>
            <m:r>
              <w:rPr>
                <w:rFonts w:ascii="Cambria Math" w:hAnsi="Cambria Math"/>
              </w:rPr>
              <m:t xml:space="preserve">x</m:t>
            </m:r>
          </m:e>
          <m:sub>
            <m:r>
              <w:rPr>
                <w:rFonts w:ascii="Cambria Math" w:hAnsi="Cambria Math"/>
              </w:rPr>
              <m:t xml:space="preserve">i</m:t>
            </m:r>
          </m:sub>
        </m:sSub>
      </m:oMath>
      <w:r>
        <w:rPr/>
        <w:t>可以包含候选框坐标、宽高比、面积占比、原始分数、类别编号、提示词来源、文本匹配特征和图像区域统计特征等。经过校准后，模型应尽可能将真实目标候选排在前面，将误检和重复候选排在后面。</w:t>
      </w:r>
    </w:p>
    <w:p>
      <w:pPr>
        <w:pStyle w:val="Style12"/>
        <w:ind w:firstLine="503"/>
        <w:rPr/>
      </w:pPr>
      <w:r>
        <w:rPr/>
        <w:t>对于本文任务而言，置信度校准与候选召回增强是一组相互配合的模块。低阈值和别名提示能够提高候选池上限，但会引入噪声；校准模块则负责从更大的候选池中挑选更可靠的候选框。若候选池缺少真实目标，校准模块无从发挥作用；若候选池过于嘈杂且缺少有效校准，最终精确率会下降。因此，本文后续实验将围绕候选召回和候选排序两个方向展开。</w:t>
      </w:r>
    </w:p>
    <w:p>
      <w:pPr>
        <w:pStyle w:val="23"/>
        <w:numPr>
          <w:ilvl w:val="1"/>
          <w:numId w:val="1"/>
        </w:numPr>
        <w:spacing w:before="206" w:after="206"/>
        <w:rPr/>
      </w:pPr>
      <w:bookmarkStart w:id="135" w:name="__RefHeading___Toc10344_2198631117"/>
      <w:bookmarkStart w:id="136" w:name="_Toc7892"/>
      <w:bookmarkEnd w:id="135"/>
      <w:r>
        <w:rPr/>
        <w:t>强化学习在候选框筛选中的应用</w:t>
      </w:r>
      <w:bookmarkEnd w:id="136"/>
    </w:p>
    <w:p>
      <w:pPr>
        <w:pStyle w:val="Style12"/>
        <w:ind w:firstLine="503"/>
        <w:rPr/>
      </w:pPr>
      <w:r>
        <w:rPr/>
        <w:t>本文所称闭环，是指系统能够根据候选生成结果和评价反馈调整候选筛选策略。具体而言，系统首先通过基础候选生成模型和文本提示生成候选框，再根据候选框特征训练筛选或校准模块；随后，评价模块根据真实标注或验证集指标反馈当前策略的不足，候选生成阈值、提示词策略、重排序模型或后处理参数可以进一步被调整。经过多轮迭代后，系统能够逐步形成更适合航拍数据分布的候选决策机制。</w:t>
      </w:r>
    </w:p>
    <w:p>
      <w:pPr>
        <w:pStyle w:val="Style12"/>
        <w:ind w:firstLine="503"/>
        <w:rPr/>
      </w:pPr>
      <w:r>
        <w:rPr/>
        <w:t>与单纯监督学习打分器相比，强化学习式闭环校准更强调候选集合层面的整体效果。监督学习通常对单个候选框进行独立分类，难以直接反映候选集合经过后处理后的精确率、召回率和</w:t>
      </w:r>
      <w:r>
        <w:rPr/>
        <w:t>mAP</w:t>
      </w:r>
      <w:r>
        <w:rPr/>
        <w:t>变化；而强化学习可以将最终检测结果作为反馈，使模型学习到更符合评价指标的选择策略。对于无人机航拍小目标场景，这一点尤为重要，因为低阈值召回增强会显著扩大候选集合，必须通过更强的筛选策略抑制新增噪声。</w:t>
      </w:r>
    </w:p>
    <w:p>
      <w:pPr>
        <w:pStyle w:val="Style12"/>
        <w:ind w:firstLine="503"/>
        <w:rPr/>
      </w:pPr>
      <w:r>
        <w:rPr/>
        <w:t xml:space="preserve">需要说明的是，本文中的强化学习校准更偏向候选框级单步反馈优化，而不是复杂的长序列控制任务。其核心目的并非替代基础检测模型，而是在开放词表候选生成之后，通过反馈信号改善候选框保留、删除和排序策略。该思路能够与查询感知打分器、富元信息融合模块和类别感知 </w:t>
      </w:r>
      <w:r>
        <w:rPr/>
        <w:t xml:space="preserve">NMS </w:t>
      </w:r>
      <w:r>
        <w:rPr/>
        <w:t>共同作用，使系统在小目标召回率、定位精度和置信度排序质量之间取得更合理的平衡。</w:t>
      </w:r>
    </w:p>
    <w:p>
      <w:pPr>
        <w:pStyle w:val="23"/>
        <w:numPr>
          <w:ilvl w:val="1"/>
          <w:numId w:val="1"/>
        </w:numPr>
        <w:spacing w:before="206" w:after="206"/>
        <w:rPr/>
      </w:pPr>
      <w:bookmarkStart w:id="137" w:name="__RefHeading___Toc10342_2198631117"/>
      <w:bookmarkStart w:id="138" w:name="_Toc10407"/>
      <w:bookmarkEnd w:id="137"/>
      <w:r>
        <w:rPr/>
        <w:t>候选框处理</w:t>
      </w:r>
      <w:bookmarkEnd w:id="138"/>
    </w:p>
    <w:p>
      <w:pPr>
        <w:pStyle w:val="Style12"/>
        <w:ind w:firstLine="503"/>
        <w:rPr/>
      </w:pPr>
      <w:r>
        <w:rPr/>
        <w:t>目标检测和视觉定位模型通常会输出大量候选框，这些候选框需要经过后处理才能形成最终预测结果。后处理的目标是在尽可能保留真实目标的同时，删除低质量、重复或明显错误的候选框。最常用的后处理方法包括置信度阈值筛选和非极大值抑制。</w:t>
      </w:r>
      <w:r>
        <w:rPr>
          <w:vertAlign w:val="superscript"/>
        </w:rPr>
        <w:t xml:space="preserve"> </w:t>
      </w:r>
      <w:r>
        <w:rPr>
          <w:vertAlign w:val="superscript"/>
        </w:rPr>
        <w:fldChar w:fldCharType="begin"/>
      </w:r>
      <w:r>
        <w:rPr>
          <w:vertAlign w:val="superscript"/>
        </w:rPr>
        <w:instrText xml:space="preserve"> REF _Ref1167 \r \h </w:instrText>
      </w:r>
      <w:r>
        <w:rPr>
          <w:vertAlign w:val="superscript"/>
        </w:rPr>
        <w:fldChar w:fldCharType="separate"/>
      </w:r>
      <w:r>
        <w:rPr>
          <w:vertAlign w:val="superscript"/>
        </w:rPr>
        <w:t>[17]</w:t>
      </w:r>
      <w:r>
        <w:rPr>
          <w:vertAlign w:val="superscript"/>
        </w:rPr>
        <w:fldChar w:fldCharType="end"/>
      </w:r>
      <w:r>
        <w:rPr>
          <w:vertAlign w:val="superscript"/>
        </w:rPr>
        <w:fldChar w:fldCharType="begin"/>
      </w:r>
      <w:r>
        <w:rPr>
          <w:vertAlign w:val="superscript"/>
        </w:rPr>
        <w:instrText xml:space="preserve"> REF _Ref1170 \r \h </w:instrText>
      </w:r>
      <w:r>
        <w:rPr>
          <w:vertAlign w:val="superscript"/>
        </w:rPr>
        <w:fldChar w:fldCharType="separate"/>
      </w:r>
      <w:r>
        <w:rPr>
          <w:vertAlign w:val="superscript"/>
        </w:rPr>
        <w:t>[18]</w:t>
      </w:r>
      <w:r>
        <w:rPr>
          <w:vertAlign w:val="superscript"/>
        </w:rPr>
        <w:fldChar w:fldCharType="end"/>
      </w:r>
    </w:p>
    <w:p>
      <w:pPr>
        <w:pStyle w:val="Style12"/>
        <w:ind w:firstLine="503"/>
        <w:rPr/>
      </w:pPr>
      <w:r>
        <w:rPr/>
        <w:t>置信度阈值筛选根据候选框得分决定是否保留候选框。设候选框得分为</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oMath>
      <w:r>
        <w:rPr/>
        <w:t>，阈值为</w:t>
      </w:r>
      <w:r>
        <w:rPr/>
      </w:r>
      <m:oMath xmlns:m="http://schemas.openxmlformats.org/officeDocument/2006/math">
        <m:r>
          <w:rPr>
            <w:rFonts w:ascii="Cambria Math" w:hAnsi="Cambria Math"/>
          </w:rPr>
          <m:t xml:space="preserve">τ</m:t>
        </m:r>
      </m:oMath>
      <w:r>
        <w:rPr/>
        <w:t>，则保留条件为：</w:t>
      </w:r>
    </w:p>
    <w:tbl>
      <w:tblPr>
        <w:tblStyle w:val="15"/>
        <w:tblpPr w:vertAnchor="text" w:horzAnchor="page" w:leftFromText="180" w:rightFromText="180" w:tblpX="1788" w:tblpY="37"/>
        <w:tblW w:w="8721" w:type="dxa"/>
        <w:jc w:val="left"/>
        <w:tblInd w:w="108" w:type="dxa"/>
        <w:tblLayout w:type="fixed"/>
        <w:tblCellMar>
          <w:top w:w="0" w:type="dxa"/>
          <w:left w:w="108" w:type="dxa"/>
          <w:bottom w:w="0" w:type="dxa"/>
          <w:right w:w="108" w:type="dxa"/>
        </w:tblCellMar>
      </w:tblPr>
      <w:tblGrid>
        <w:gridCol w:w="1090"/>
        <w:gridCol w:w="6540"/>
        <w:gridCol w:w="1091"/>
      </w:tblGrid>
      <w:tr>
        <w:trPr>
          <w:trHeight w:val="822" w:hRule="exact"/>
        </w:trPr>
        <w:tc>
          <w:tcPr>
            <w:tcW w:w="1090" w:type="dxa"/>
            <w:tcBorders>
              <w:top w:val="nil"/>
              <w:left w:val="nil"/>
              <w:bottom w:val="nil"/>
              <w:right w:val="nil"/>
            </w:tcBorders>
            <w:vAlign w:val="center"/>
          </w:tcPr>
          <w:p>
            <w:pPr>
              <w:pStyle w:val="Normal"/>
              <w:widowControl w:val="false"/>
              <w:spacing w:before="0" w:after="0"/>
              <w:jc w:val="center"/>
              <w:rPr/>
            </w:pPr>
            <w:r>
              <w:rPr/>
            </w:r>
          </w:p>
        </w:tc>
        <w:tc>
          <w:tcPr>
            <w:tcW w:w="6540" w:type="dxa"/>
            <w:tcBorders>
              <w:top w:val="nil"/>
              <w:left w:val="nil"/>
              <w:bottom w:val="nil"/>
              <w:right w:val="nil"/>
            </w:tcBorders>
            <w:vAlign w:val="center"/>
          </w:tcPr>
          <w:p>
            <w:pPr>
              <w:pStyle w:val="Style12"/>
              <w:widowControl w:val="false"/>
              <w:spacing w:before="0" w:after="0"/>
              <w:ind w:firstLine="503"/>
              <w:jc w:val="center"/>
              <w:rPr/>
            </w:pPr>
            <w:r>
              <w:rPr/>
            </w:r>
            <m:oMathPara xmlns:m="http://schemas.openxmlformats.org/officeDocument/2006/math">
              <m:oMathParaPr>
                <m:jc m:val="center"/>
              </m:oMathParaPr>
              <m:oMath>
                <m:acc>
                  <m:accPr>
                    <m:chr m:val="^"/>
                  </m:accPr>
                  <m:e>
                    <m:r>
                      <w:rPr>
                        <w:rFonts w:ascii="Cambria Math" w:hAnsi="Cambria Math"/>
                      </w:rPr>
                      <m:t xml:space="preserve">C</m:t>
                    </m:r>
                  </m:e>
                </m:acc>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m:t>
                </m:r>
              </m:oMath>
            </m:oMathPara>
          </w:p>
        </w:tc>
        <w:tc>
          <w:tcPr>
            <w:tcW w:w="1091" w:type="dxa"/>
            <w:tcBorders>
              <w:top w:val="nil"/>
              <w:left w:val="nil"/>
              <w:bottom w:val="nil"/>
              <w:right w:val="nil"/>
            </w:tcBorders>
            <w:vAlign w:val="center"/>
          </w:tcPr>
          <w:p>
            <w:pPr>
              <w:pStyle w:val="Style14"/>
              <w:widowControl w:val="false"/>
              <w:spacing w:before="0" w:after="0"/>
              <w:rPr/>
            </w:pPr>
            <w:r>
              <w:rPr/>
              <w:t>（</w:t>
            </w:r>
            <w:r>
              <w:fldChar w:fldCharType="begin"/>
            </w:r>
            <w:r>
              <w:rPr/>
              <w:instrText xml:space="preserve">STYLEREF 1 \s</w:instrText>
            </w:r>
            <w:r>
              <w:rPr/>
            </w:r>
            <w:r>
              <w:rPr/>
              <w:fldChar w:fldCharType="separate"/>
            </w:r>
            <w:r>
              <w:rPr/>
              <w:t>2</w:t>
            </w:r>
            <w:r>
              <w:rPr/>
            </w:r>
            <w:r>
              <w:rPr/>
              <w:fldChar w:fldCharType="end"/>
            </w:r>
            <w:r>
              <w:rPr/>
              <w:t>-4</w:t>
            </w:r>
            <w:r>
              <w:rPr/>
              <w:t>）</w:t>
            </w:r>
          </w:p>
        </w:tc>
      </w:tr>
    </w:tbl>
    <w:p>
      <w:pPr>
        <w:pStyle w:val="Style12"/>
        <w:ind w:firstLine="503"/>
        <w:rPr/>
      </w:pPr>
      <w:r/>
      <w:r>
        <w:rPr/>
        <w:br/>
      </w:r>
      <w:r>
        <w:rPr/>
        <w:t>阈值</w:t>
      </w:r>
      <w:r>
        <w:rPr/>
      </w:r>
      <m:oMath xmlns:m="http://schemas.openxmlformats.org/officeDocument/2006/math">
        <m:r>
          <w:rPr>
            <w:rFonts w:ascii="Cambria Math" w:hAnsi="Cambria Math"/>
          </w:rPr>
          <m:t xml:space="preserve">τ</m:t>
        </m:r>
      </m:oMath>
      <w:r>
        <w:rPr/>
        <w:t>对检测结果有直接影响。阈值较高时，模型输出更保守，误检数量通常减少，但小目标和低置信度目标也容易被过滤；阈值较低时，召回率可能上升，但误检框和重复框数量也会增加。无人机航拍场景中小目标较多，基础模型对小目标的置信度往往偏低，因此阈值设置需要结合实际数据分布进行搜索。</w:t>
      </w:r>
    </w:p>
    <w:p>
      <w:pPr>
        <w:pStyle w:val="Style12"/>
        <w:ind w:firstLine="503"/>
        <w:rPr/>
      </w:pPr>
      <w:r>
        <w:rPr/>
        <w:t>非极大值抑制用于处理候选框重复问题。其基本思想是按照置信度从高到低遍历候选框，保留当前最高分候选，并删除与其</w:t>
      </w:r>
      <w:r>
        <w:rPr/>
        <w:t>IoU</w:t>
      </w:r>
      <w:r>
        <w:rPr/>
        <w:t>超过设定阈值的其他候选框。对于密集目标场景，</w:t>
      </w:r>
      <w:r>
        <w:rPr/>
        <w:t>NMS</w:t>
      </w:r>
      <w:r>
        <w:rPr/>
        <w:t>阈值同样存在权衡：阈值过低会误删相邻目标，阈值过高则会保留过多重复框。本文后续实验围绕不同候选生成策略和</w:t>
      </w:r>
      <w:r>
        <w:rPr/>
        <w:t>NMS</w:t>
      </w:r>
      <w:r>
        <w:rPr/>
        <w:t>设置进行对比，分析召回增强与候选噪声之间的关系。</w:t>
      </w:r>
    </w:p>
    <w:p>
      <w:pPr>
        <w:pStyle w:val="Style12"/>
        <w:ind w:firstLine="503"/>
        <w:rPr/>
      </w:pPr>
      <w:r>
        <w:rPr/>
        <w:t>除标准</w:t>
      </w:r>
      <w:r>
        <w:rPr/>
        <w:t>NMS</w:t>
      </w:r>
      <w:r>
        <w:rPr/>
        <w:t>外，实际检测系统中还常使用类别感知</w:t>
      </w:r>
      <w:r>
        <w:rPr/>
        <w:t>NMS</w:t>
      </w:r>
      <w:r>
        <w:rPr/>
        <w:t>和分数融合策略。类别感知</w:t>
      </w:r>
      <w:r>
        <w:rPr/>
        <w:t>NMS</w:t>
      </w:r>
      <w:r>
        <w:rPr/>
        <w:t>只在同一类别内部进行抑制，避免不同类别候选框互相删除；这对于航拍场景中易混淆类别尤其重要，因为同一位置附近可能存在</w:t>
      </w:r>
      <w:r>
        <w:rPr/>
        <w:t>bicycle</w:t>
      </w:r>
      <w:r>
        <w:rPr/>
        <w:t>、</w:t>
      </w:r>
      <w:r>
        <w:rPr/>
        <w:t>motor</w:t>
      </w:r>
      <w:r>
        <w:rPr/>
        <w:t>、</w:t>
      </w:r>
      <w:r>
        <w:rPr/>
        <w:t>tricycle</w:t>
      </w:r>
      <w:r>
        <w:rPr/>
        <w:t>等多个相近类别候选，需要由后续分数排序决定最终类别。分数融合策略则可以将多个来源的候选框分数进行组合，例如将基础模型置信度、文本匹配分数和小目标先验加权求和，得到新的候选分数。本文的富元信息融合可以看作更一般的学习式分数融合方法。</w:t>
      </w:r>
    </w:p>
    <w:p>
      <w:pPr>
        <w:pStyle w:val="Style12"/>
        <w:ind w:firstLine="503"/>
        <w:rPr/>
      </w:pPr>
      <w:r>
        <w:rPr/>
        <w:t>候选框后处理还需要考虑预测框数量与指标之间的关系。预测框数量过少时，模型可能具有较高精确率但召回不足；预测框数量过多时，模型可能命中更多真实目标，但误检数量增加，</w:t>
      </w:r>
      <w:r>
        <w:rPr/>
        <w:t>mAP</w:t>
      </w:r>
      <w:r>
        <w:rPr/>
        <w:t>和高阈值准确率可能下降。因此，在实验分析中仅观察单一指标是不够的，需要同时结合预测框数量、</w:t>
      </w:r>
      <w:r>
        <w:rPr/>
        <w:t>Acc@0.5</w:t>
      </w:r>
      <w:r>
        <w:rPr/>
        <w:t>、</w:t>
      </w:r>
      <w:r>
        <w:rPr/>
        <w:t>Acc@0.75</w:t>
      </w:r>
      <w:r>
        <w:rPr/>
        <w:t>和</w:t>
      </w:r>
      <w:r>
        <w:rPr/>
        <w:t>mAP@0.5</w:t>
      </w:r>
      <w:r>
        <w:rPr/>
        <w:t>进行判断。对于本文任务而言，理想方法应在不过度增加预测框数量的前提下提升小目标召回，并通过校准模块保持较好的排序质量。</w:t>
      </w:r>
    </w:p>
    <w:p>
      <w:pPr>
        <w:pStyle w:val="23"/>
        <w:numPr>
          <w:ilvl w:val="1"/>
          <w:numId w:val="1"/>
        </w:numPr>
        <w:spacing w:before="206" w:after="206"/>
        <w:rPr/>
      </w:pPr>
      <w:bookmarkStart w:id="139" w:name="__RefHeading___Toc10340_2198631117"/>
      <w:bookmarkStart w:id="140" w:name="_Toc6708"/>
      <w:bookmarkStart w:id="141" w:name="_Toc3245"/>
      <w:bookmarkStart w:id="142" w:name="_Toc225579650"/>
      <w:bookmarkStart w:id="143" w:name="_Toc280797197"/>
      <w:bookmarkStart w:id="144" w:name="_Toc23278"/>
      <w:bookmarkStart w:id="145" w:name="_Toc280715694"/>
      <w:bookmarkStart w:id="146" w:name="_Toc250450174"/>
      <w:bookmarkStart w:id="147" w:name="_Toc280715549"/>
      <w:bookmarkStart w:id="148" w:name="_Toc24643"/>
      <w:bookmarkStart w:id="149" w:name="_Toc280628515"/>
      <w:bookmarkStart w:id="150" w:name="_Toc15545"/>
      <w:bookmarkEnd w:id="139"/>
      <w:r>
        <w:rPr/>
        <w:t>本章小结</w:t>
      </w:r>
      <w:bookmarkEnd w:id="140"/>
      <w:bookmarkEnd w:id="141"/>
      <w:bookmarkEnd w:id="142"/>
      <w:bookmarkEnd w:id="143"/>
      <w:bookmarkEnd w:id="144"/>
      <w:bookmarkEnd w:id="145"/>
      <w:bookmarkEnd w:id="146"/>
      <w:bookmarkEnd w:id="147"/>
      <w:bookmarkEnd w:id="148"/>
      <w:bookmarkEnd w:id="149"/>
      <w:bookmarkEnd w:id="150"/>
    </w:p>
    <w:p>
      <w:pPr>
        <w:pStyle w:val="Style12"/>
        <w:ind w:firstLine="503"/>
        <w:rPr/>
      </w:pPr>
      <w:r>
        <w:rPr/>
        <w:t>本章围绕本文研究所涉及的背景知识进行了系统介绍。首先，针对无人机航拍图像目标识别任务，分析了航拍图像在俯视视角、小目标、多尺度变化、目标密集分布和类别混淆等方面的特点，并说明了小目标召回与候选框筛选之间的矛盾。随后，本章介绍了视觉定位和开放词表检测的基本概念，阐述了文本提示驱动的候选框生成机制，说明其适合作为本文方法的基础候选生成器。接着，本章介绍了强化学习的基本要素、策略梯度方法以及强化学习在候选框筛选中的应用方式，为后续闭环校准模块设计提供理论基础。最后，本章介绍了候选框后处理方法和主要评价指标，包括</w:t>
      </w:r>
      <w:r>
        <w:rPr/>
        <w:t>IoU</w:t>
      </w:r>
      <w:r>
        <w:rPr/>
        <w:t>、</w:t>
      </w:r>
      <w:r>
        <w:rPr/>
        <w:t>Acc@0.5</w:t>
      </w:r>
      <w:r>
        <w:rPr/>
        <w:t>、</w:t>
      </w:r>
      <w:r>
        <w:rPr/>
        <w:t>Acc@0.75</w:t>
      </w:r>
      <w:r>
        <w:rPr/>
        <w:t>和</w:t>
      </w:r>
      <w:r>
        <w:rPr/>
        <w:t>mAP@0.5</w:t>
      </w:r>
      <w:r>
        <w:rPr/>
        <w:t>。</w:t>
      </w:r>
    </w:p>
    <w:p>
      <w:pPr>
        <w:pStyle w:val="Style12"/>
        <w:ind w:firstLine="503"/>
        <w:rPr/>
      </w:pPr>
      <w:r>
        <w:rPr/>
        <w:t>通过本章的介绍可以看出，面向无人机航拍场景的图像识别不仅需要开放词表模型提供灵活的候选生成能力，还需要针对小目标和密集目标特点进行召回增强、后处理优化和置信度校准。上述背景知识为第三章中强化学习驱动的闭环航拍图像识别方法设计奠定了基础。</w:t>
      </w:r>
    </w:p>
    <w:p>
      <w:pPr>
        <w:pStyle w:val="Heading1"/>
        <w:numPr>
          <w:ilvl w:val="0"/>
          <w:numId w:val="1"/>
        </w:numPr>
        <w:spacing w:before="412" w:after="329"/>
        <w:rPr/>
      </w:pPr>
      <w:bookmarkStart w:id="151" w:name="__RefHeading___Toc10294_2198631117"/>
      <w:bookmarkEnd w:id="151"/>
      <w:r>
        <w:rPr/>
        <w:t>Qwen</w:t>
      </w:r>
      <w:r>
        <w:rPr/>
        <w:t>动态提示词与强化学习驱动的闭环航拍图像识别方法</w:t>
      </w:r>
    </w:p>
    <w:p>
      <w:pPr>
        <w:pStyle w:val="23"/>
        <w:numPr>
          <w:ilvl w:val="1"/>
          <w:numId w:val="1"/>
        </w:numPr>
        <w:rPr/>
      </w:pPr>
      <w:bookmarkStart w:id="152" w:name="__RefHeading___Toc10338_2198631117"/>
      <w:bookmarkEnd w:id="152"/>
      <w:r>
        <w:rPr>
          <w:b w:val="false"/>
        </w:rPr>
        <w:t>引言</w:t>
      </w:r>
    </w:p>
    <w:p>
      <w:pPr>
        <w:pStyle w:val="Style12"/>
        <w:rPr/>
      </w:pPr>
      <w:r>
        <w:rPr>
          <w:b w:val="false"/>
        </w:rPr>
        <w:t>航拍图像中的目标尺度小、分布密集且类别外观相近，单次开放词表检测容易同时出现漏检与高分误检。固定提示词虽然便于执行，却难以适应自然语言查询中的属性、关系和同义表达；无差别执行全部扩展提示又会造成候选框数量和计算开销快速增长。针对这一矛盾，本文将最新系统组织为“语义扩展—策略选择—候选融合—排序校准”的闭环流程。</w:t>
      </w:r>
    </w:p>
    <w:p>
      <w:pPr>
        <w:pStyle w:val="Style12"/>
        <w:rPr/>
      </w:pPr>
      <w:r>
        <w:rPr>
          <w:b w:val="false"/>
        </w:rPr>
        <w:t>具体而言，</w:t>
      </w:r>
      <w:r>
        <w:rPr>
          <w:b w:val="false"/>
        </w:rPr>
        <w:t xml:space="preserve">Qwen2.5-VL-3B-Instruct </w:t>
      </w:r>
      <w:r>
        <w:rPr>
          <w:b w:val="false"/>
        </w:rPr>
        <w:t xml:space="preserve">根据输入 </w:t>
      </w:r>
      <w:r>
        <w:rPr>
          <w:b w:val="false"/>
        </w:rPr>
        <w:t xml:space="preserve">query </w:t>
      </w:r>
      <w:r>
        <w:rPr>
          <w:b w:val="false"/>
        </w:rPr>
        <w:t xml:space="preserve">或 </w:t>
      </w:r>
      <w:r>
        <w:rPr>
          <w:b w:val="false"/>
        </w:rPr>
        <w:t xml:space="preserve">caption </w:t>
      </w:r>
      <w:r>
        <w:rPr>
          <w:b w:val="false"/>
        </w:rPr>
        <w:t xml:space="preserve">生成当前图像专属的短检测提示词集合；强化学习策略利用当前候选池的统计状态，对 </w:t>
      </w:r>
      <w:r>
        <w:rPr>
          <w:b w:val="false"/>
        </w:rPr>
        <w:t xml:space="preserve">STOP </w:t>
      </w:r>
      <w:r>
        <w:rPr>
          <w:b w:val="false"/>
        </w:rPr>
        <w:t xml:space="preserve">与各个动态提示动作逐一评分；被选择的提示词直接驱动 </w:t>
      </w:r>
      <w:r>
        <w:rPr>
          <w:b w:val="false"/>
        </w:rPr>
        <w:t xml:space="preserve">Grounding DINO </w:t>
      </w:r>
      <w:r>
        <w:rPr>
          <w:b w:val="false"/>
        </w:rPr>
        <w:t>生成补充候选，经合并和同类去重后形成下一轮状态；循环结束后，富元信息融合排序器利用候选来源、查询匹配、几何属性和多路分数等富元信息重标定最终置信度。该设计将语言模型的开放语义能力、强化学习的预算分配能力和监督排序器的置信度校准能力分别置于最合适的环节。</w:t>
      </w:r>
    </w:p>
    <w:p>
      <w:pPr>
        <w:pStyle w:val="Style12"/>
        <w:rPr/>
      </w:pPr>
      <w:r>
        <w:rPr>
          <w:b w:val="false"/>
        </w:rPr>
        <w:t xml:space="preserve">本章首先介绍总体框架，然后说明 </w:t>
      </w:r>
      <w:r>
        <w:rPr>
          <w:b w:val="false"/>
        </w:rPr>
        <w:t xml:space="preserve">Qwen </w:t>
      </w:r>
      <w:r>
        <w:rPr>
          <w:b w:val="false"/>
        </w:rPr>
        <w:t>动态提示词池、强化学习动态动作选择、候选合并与 富元信息融合排序器，最后给出训练和推理流程。</w:t>
      </w:r>
    </w:p>
    <w:p>
      <w:pPr>
        <w:pStyle w:val="23"/>
        <w:numPr>
          <w:ilvl w:val="1"/>
          <w:numId w:val="1"/>
        </w:numPr>
        <w:rPr/>
      </w:pPr>
      <w:bookmarkStart w:id="153" w:name="__RefHeading___Toc10336_2198631117"/>
      <w:bookmarkEnd w:id="153"/>
      <w:r>
        <w:rPr>
          <w:b w:val="false"/>
        </w:rPr>
        <w:t>方法总体框架</w:t>
      </w:r>
    </w:p>
    <w:p>
      <w:pPr>
        <w:pStyle w:val="Style12"/>
        <w:rPr/>
      </w:pPr>
      <w:r>
        <w:rPr>
          <w:b w:val="false"/>
        </w:rPr>
        <w:t xml:space="preserve">给定航拍图像 </w:t>
      </w:r>
      <w:r>
        <w:rPr>
          <w:b w:val="false"/>
        </w:rPr>
        <w:t xml:space="preserve">I </w:t>
      </w:r>
      <w:r>
        <w:rPr>
          <w:b w:val="false"/>
        </w:rPr>
        <w:t xml:space="preserve">与文本查询 </w:t>
      </w:r>
      <w:r>
        <w:rPr>
          <w:b w:val="false"/>
        </w:rPr>
        <w:t>q</w:t>
      </w:r>
      <w:r>
        <w:rPr>
          <w:b w:val="false"/>
        </w:rPr>
        <w:t>，系统输出类别、坐标和校准分数组成的检测集合。整体映射记为：</w:t>
      </w:r>
    </w:p>
    <w:p>
      <w:pPr>
        <w:pStyle w:val="Style12"/>
        <w:jc w:val="center"/>
        <w:rPr/>
      </w:pPr>
      <w:r>
        <w:rPr>
          <w:rFonts w:eastAsia="Cambria Math" w:ascii="Cambria Math" w:hAnsi="Cambria Math"/>
          <w:b w:val="false"/>
        </w:rPr>
        <w:t>Y = F_rank(F_loop(F_det(I, q, P(q))))</w:t>
      </w:r>
      <w:r>
        <w:rPr>
          <w:rFonts w:ascii="Cambria Math" w:hAnsi="Cambria Math" w:eastAsia="Cambria Math"/>
          <w:b w:val="false"/>
        </w:rPr>
        <w:t>，                         （</w:t>
      </w:r>
      <w:r>
        <w:rPr>
          <w:rFonts w:eastAsia="Cambria Math" w:ascii="Cambria Math" w:hAnsi="Cambria Math"/>
          <w:b w:val="false"/>
        </w:rPr>
        <w:t>3-1</w:t>
      </w:r>
      <w:r>
        <w:rPr>
          <w:rFonts w:ascii="Cambria Math" w:hAnsi="Cambria Math" w:eastAsia="Cambria Math"/>
          <w:b w:val="false"/>
        </w:rPr>
        <w:t>）</w:t>
      </w:r>
    </w:p>
    <w:p>
      <w:pPr>
        <w:pStyle w:val="Style12"/>
        <w:rPr/>
      </w:pPr>
      <w:r>
        <w:rPr>
          <w:b w:val="false"/>
        </w:rPr>
        <w:t>其中，</w:t>
      </w:r>
      <w:r>
        <w:rPr>
          <w:b w:val="false"/>
        </w:rPr>
        <w:t xml:space="preserve">P(q) </w:t>
      </w:r>
      <w:r>
        <w:rPr>
          <w:b w:val="false"/>
        </w:rPr>
        <w:t xml:space="preserve">表示 </w:t>
      </w:r>
      <w:r>
        <w:rPr>
          <w:b w:val="false"/>
        </w:rPr>
        <w:t xml:space="preserve">Qwen </w:t>
      </w:r>
      <w:r>
        <w:rPr>
          <w:b w:val="false"/>
        </w:rPr>
        <w:t>生成的动态提示词池，</w:t>
      </w:r>
      <w:r>
        <w:rPr>
          <w:b w:val="false"/>
        </w:rPr>
        <w:t xml:space="preserve">F_det </w:t>
      </w:r>
      <w:r>
        <w:rPr>
          <w:b w:val="false"/>
        </w:rPr>
        <w:t xml:space="preserve">表示 </w:t>
      </w:r>
      <w:r>
        <w:rPr>
          <w:b w:val="false"/>
        </w:rPr>
        <w:t xml:space="preserve">Grounding DINO </w:t>
      </w:r>
      <w:r>
        <w:rPr>
          <w:b w:val="false"/>
        </w:rPr>
        <w:t>候选生成，</w:t>
      </w:r>
      <w:r>
        <w:rPr>
          <w:b w:val="false"/>
        </w:rPr>
        <w:t xml:space="preserve">F_loop </w:t>
      </w:r>
      <w:r>
        <w:rPr>
          <w:b w:val="false"/>
        </w:rPr>
        <w:t>表示强化学习控制的多轮候选扩展，</w:t>
      </w:r>
      <w:r>
        <w:rPr>
          <w:b w:val="false"/>
        </w:rPr>
        <w:t xml:space="preserve">F_rank </w:t>
      </w:r>
      <w:r>
        <w:rPr>
          <w:b w:val="false"/>
        </w:rPr>
        <w:t xml:space="preserve">表示 富元信息融合排序。与将强化学习用于逐框保留或删除的旧方案不同，最新版本中的 </w:t>
      </w:r>
      <w:r>
        <w:rPr>
          <w:b w:val="false"/>
        </w:rPr>
        <w:t xml:space="preserve">RL </w:t>
      </w:r>
      <w:r>
        <w:rPr>
          <w:b w:val="false"/>
        </w:rPr>
        <w:t>决策对象是“下一轮是否执行某条提示词”，其作用是控制候选生成动作和计算预算；候选框的最终优先级由 富元信息融合排序器负责。</w:t>
      </w:r>
    </w:p>
    <w:p>
      <w:pPr>
        <w:pStyle w:val="Normal"/>
        <w:jc w:val="center"/>
        <w:rPr/>
      </w:pPr>
      <w:r>
        <w:rPr/>
        <w:drawing>
          <wp:inline distT="0" distB="0" distL="0" distR="0">
            <wp:extent cx="5852160" cy="2329180"/>
            <wp:effectExtent l="0" t="0" r="0" b="0"/>
            <wp:docPr id="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
                    <pic:cNvPicPr>
                      <a:picLocks noChangeAspect="1" noChangeArrowheads="1"/>
                    </pic:cNvPicPr>
                  </pic:nvPicPr>
                  <pic:blipFill>
                    <a:blip r:embed="rId16"/>
                    <a:stretch>
                      <a:fillRect/>
                    </a:stretch>
                  </pic:blipFill>
                  <pic:spPr bwMode="auto">
                    <a:xfrm>
                      <a:off x="0" y="0"/>
                      <a:ext cx="5852160" cy="2329180"/>
                    </a:xfrm>
                    <a:prstGeom prst="rect">
                      <a:avLst/>
                    </a:prstGeom>
                  </pic:spPr>
                </pic:pic>
              </a:graphicData>
            </a:graphic>
          </wp:inline>
        </w:drawing>
      </w:r>
    </w:p>
    <w:p>
      <w:pPr>
        <w:pStyle w:val="Normal"/>
        <w:spacing w:before="80" w:after="120"/>
        <w:jc w:val="center"/>
        <w:rPr/>
      </w:pPr>
      <w:r>
        <w:rPr>
          <w:rFonts w:ascii="Times New Roman" w:hAnsi="Times New Roman" w:eastAsia="黑体"/>
          <w:b w:val="false"/>
          <w:sz w:val="21"/>
        </w:rPr>
        <w:t>图</w:t>
      </w:r>
      <w:r>
        <w:rPr>
          <w:rFonts w:eastAsia="黑体"/>
          <w:b w:val="false"/>
          <w:sz w:val="21"/>
        </w:rPr>
        <w:t xml:space="preserve">3-1 Qwen </w:t>
      </w:r>
      <w:r>
        <w:rPr>
          <w:rFonts w:ascii="Times New Roman" w:hAnsi="Times New Roman" w:eastAsia="黑体"/>
          <w:b w:val="false"/>
          <w:sz w:val="21"/>
        </w:rPr>
        <w:t>动态提示词、</w:t>
      </w:r>
      <w:r>
        <w:rPr>
          <w:rFonts w:eastAsia="黑体"/>
          <w:b w:val="false"/>
          <w:sz w:val="21"/>
        </w:rPr>
        <w:t xml:space="preserve">RL </w:t>
      </w:r>
      <w:r>
        <w:rPr>
          <w:rFonts w:ascii="Times New Roman" w:hAnsi="Times New Roman" w:eastAsia="黑体"/>
          <w:b w:val="false"/>
          <w:sz w:val="21"/>
        </w:rPr>
        <w:t>闭环选择与 富元信息融合排序总体流程</w:t>
      </w:r>
    </w:p>
    <w:p>
      <w:pPr>
        <w:pStyle w:val="Style12"/>
        <w:rPr/>
      </w:pPr>
      <w:r>
        <w:rPr>
          <w:b w:val="false"/>
        </w:rPr>
        <w:t xml:space="preserve">推理从 </w:t>
      </w:r>
      <w:r>
        <w:rPr>
          <w:b w:val="false"/>
        </w:rPr>
        <w:t xml:space="preserve">query-aware </w:t>
      </w:r>
      <w:r>
        <w:rPr>
          <w:b w:val="false"/>
        </w:rPr>
        <w:t xml:space="preserve">初始候选集合 </w:t>
      </w:r>
      <w:r>
        <w:rPr>
          <w:b w:val="false"/>
        </w:rPr>
        <w:t xml:space="preserve">C0 </w:t>
      </w:r>
      <w:r>
        <w:rPr>
          <w:b w:val="false"/>
        </w:rPr>
        <w:t xml:space="preserve">开始。在第 </w:t>
      </w:r>
      <w:r>
        <w:rPr>
          <w:b w:val="false"/>
        </w:rPr>
        <w:t xml:space="preserve">t </w:t>
      </w:r>
      <w:r>
        <w:rPr>
          <w:b w:val="false"/>
        </w:rPr>
        <w:t xml:space="preserve">次决策时，系统从 </w:t>
      </w:r>
      <w:r>
        <w:rPr>
          <w:b w:val="false"/>
        </w:rPr>
        <w:t xml:space="preserve">Ct </w:t>
      </w:r>
      <w:r>
        <w:rPr>
          <w:b w:val="false"/>
        </w:rPr>
        <w:t xml:space="preserve">提取状态 </w:t>
      </w:r>
      <w:r>
        <w:rPr>
          <w:b w:val="false"/>
        </w:rPr>
        <w:t>st</w:t>
      </w:r>
      <w:r>
        <w:rPr>
          <w:b w:val="false"/>
        </w:rPr>
        <w:t xml:space="preserve">，并为尚未使用的动态提示词构造动作特征。若策略选择 </w:t>
      </w:r>
      <w:r>
        <w:rPr>
          <w:b w:val="false"/>
        </w:rPr>
        <w:t>STOP</w:t>
      </w:r>
      <w:r>
        <w:rPr>
          <w:b w:val="false"/>
        </w:rPr>
        <w:t xml:space="preserve">，则不再增加候选；若选择提示动作 </w:t>
      </w:r>
      <w:r>
        <w:rPr>
          <w:b w:val="false"/>
        </w:rPr>
        <w:t>at</w:t>
      </w:r>
      <w:r>
        <w:rPr>
          <w:b w:val="false"/>
        </w:rPr>
        <w:t xml:space="preserve">，则用该提示调用 </w:t>
      </w:r>
      <w:r>
        <w:rPr>
          <w:b w:val="false"/>
        </w:rPr>
        <w:t>Grounding DINO</w:t>
      </w:r>
      <w:r>
        <w:rPr>
          <w:b w:val="false"/>
        </w:rPr>
        <w:t xml:space="preserve">，得到补充候选 </w:t>
      </w:r>
      <w:r>
        <w:rPr>
          <w:b w:val="false"/>
        </w:rPr>
        <w:t>ΔCt</w:t>
      </w:r>
      <w:r>
        <w:rPr>
          <w:b w:val="false"/>
        </w:rPr>
        <w:t>，并执行合并与去重。三轮设置包含第一轮初始候选和后续两次反馈决策。循环结束后，所有候选统一进入 富元信息重评分和类别感知后处理。</w:t>
      </w:r>
    </w:p>
    <w:p>
      <w:pPr>
        <w:pStyle w:val="23"/>
        <w:numPr>
          <w:ilvl w:val="1"/>
          <w:numId w:val="1"/>
        </w:numPr>
        <w:rPr/>
      </w:pPr>
      <w:bookmarkStart w:id="154" w:name="__RefHeading___Toc10334_2198631117"/>
      <w:bookmarkEnd w:id="154"/>
      <w:r>
        <w:rPr>
          <w:b w:val="false"/>
        </w:rPr>
        <w:t xml:space="preserve">Qwen </w:t>
      </w:r>
      <w:r>
        <w:rPr>
          <w:b w:val="false"/>
        </w:rPr>
        <w:t>动态提示词与动作空间生成</w:t>
      </w:r>
    </w:p>
    <w:p>
      <w:pPr>
        <w:pStyle w:val="231"/>
        <w:numPr>
          <w:ilvl w:val="2"/>
          <w:numId w:val="1"/>
        </w:numPr>
        <w:rPr/>
      </w:pPr>
      <w:bookmarkStart w:id="155" w:name="__RefHeading___Toc10382_2198631117"/>
      <w:bookmarkEnd w:id="155"/>
      <w:r>
        <w:rPr>
          <w:b w:val="false"/>
        </w:rPr>
        <w:t>查询解析与结构化提示词池</w:t>
      </w:r>
    </w:p>
    <w:p>
      <w:pPr>
        <w:pStyle w:val="Style12"/>
        <w:rPr/>
      </w:pPr>
      <w:r>
        <w:rPr>
          <w:b w:val="false"/>
        </w:rPr>
        <w:t xml:space="preserve">本文使用本地 </w:t>
      </w:r>
      <w:r>
        <w:rPr>
          <w:b w:val="false"/>
        </w:rPr>
        <w:t xml:space="preserve">Qwen2.5-VL-3B-Instruct </w:t>
      </w:r>
      <w:r>
        <w:rPr>
          <w:b w:val="false"/>
        </w:rPr>
        <w:t xml:space="preserve">作为提示词提议器，而不让语言模型直接输出检测框或最终类别。模型接收自然语言查询，输出最多 </w:t>
      </w:r>
      <w:r>
        <w:rPr>
          <w:b w:val="false"/>
        </w:rPr>
        <w:t xml:space="preserve">8 </w:t>
      </w:r>
      <w:r>
        <w:rPr>
          <w:b w:val="false"/>
        </w:rPr>
        <w:t xml:space="preserve">个结构化对象，每个对象包含 </w:t>
      </w:r>
      <w:r>
        <w:rPr>
          <w:b w:val="false"/>
        </w:rPr>
        <w:t xml:space="preserve">VisDrone </w:t>
      </w:r>
      <w:r>
        <w:rPr>
          <w:b w:val="false"/>
        </w:rPr>
        <w:t xml:space="preserve">目标类别和一条简短英文检测短语。类别被约束在 </w:t>
      </w:r>
      <w:r>
        <w:rPr>
          <w:b w:val="false"/>
        </w:rPr>
        <w:t>pedestrian</w:t>
      </w:r>
      <w:r>
        <w:rPr>
          <w:b w:val="false"/>
        </w:rPr>
        <w:t>、</w:t>
      </w:r>
      <w:r>
        <w:rPr>
          <w:b w:val="false"/>
        </w:rPr>
        <w:t>people</w:t>
      </w:r>
      <w:r>
        <w:rPr>
          <w:b w:val="false"/>
        </w:rPr>
        <w:t>、</w:t>
      </w:r>
      <w:r>
        <w:rPr>
          <w:b w:val="false"/>
        </w:rPr>
        <w:t>bicycle</w:t>
      </w:r>
      <w:r>
        <w:rPr>
          <w:b w:val="false"/>
        </w:rPr>
        <w:t>、</w:t>
      </w:r>
      <w:r>
        <w:rPr>
          <w:b w:val="false"/>
        </w:rPr>
        <w:t>car</w:t>
      </w:r>
      <w:r>
        <w:rPr>
          <w:b w:val="false"/>
        </w:rPr>
        <w:t>、</w:t>
      </w:r>
      <w:r>
        <w:rPr>
          <w:b w:val="false"/>
        </w:rPr>
        <w:t>van</w:t>
      </w:r>
      <w:r>
        <w:rPr>
          <w:b w:val="false"/>
        </w:rPr>
        <w:t>、</w:t>
      </w:r>
      <w:r>
        <w:rPr>
          <w:b w:val="false"/>
        </w:rPr>
        <w:t>truck</w:t>
      </w:r>
      <w:r>
        <w:rPr>
          <w:b w:val="false"/>
        </w:rPr>
        <w:t>、</w:t>
      </w:r>
      <w:r>
        <w:rPr>
          <w:b w:val="false"/>
        </w:rPr>
        <w:t>tricycle</w:t>
      </w:r>
      <w:r>
        <w:rPr>
          <w:b w:val="false"/>
        </w:rPr>
        <w:t>、</w:t>
      </w:r>
      <w:r>
        <w:rPr>
          <w:b w:val="false"/>
        </w:rPr>
        <w:t>awning tricycle</w:t>
      </w:r>
      <w:r>
        <w:rPr>
          <w:b w:val="false"/>
        </w:rPr>
        <w:t>、</w:t>
      </w:r>
      <w:r>
        <w:rPr>
          <w:b w:val="false"/>
        </w:rPr>
        <w:t xml:space="preserve">bus </w:t>
      </w:r>
      <w:r>
        <w:rPr>
          <w:b w:val="false"/>
        </w:rPr>
        <w:t xml:space="preserve">和 </w:t>
      </w:r>
      <w:r>
        <w:rPr>
          <w:b w:val="false"/>
        </w:rPr>
        <w:t xml:space="preserve">motor </w:t>
      </w:r>
      <w:r>
        <w:rPr>
          <w:b w:val="false"/>
        </w:rPr>
        <w:t>十类中，从而保证开放表达能够落到统一评价空间。</w:t>
      </w:r>
    </w:p>
    <w:p>
      <w:pPr>
        <w:pStyle w:val="Style12"/>
        <w:jc w:val="center"/>
        <w:rPr/>
      </w:pPr>
      <w:r>
        <w:rPr>
          <w:rFonts w:eastAsia="Cambria Math" w:ascii="Cambria Math" w:hAnsi="Cambria Math"/>
          <w:b w:val="false"/>
        </w:rPr>
        <w:t>P(q) = Qwen(q) = {(c_k, p_k)}_(k=1)^K</w:t>
      </w:r>
      <w:r>
        <w:rPr>
          <w:rFonts w:ascii="Cambria Math" w:hAnsi="Cambria Math" w:eastAsia="Cambria Math"/>
          <w:b w:val="false"/>
        </w:rPr>
        <w:t>，</w:t>
      </w:r>
      <w:r>
        <w:rPr>
          <w:rFonts w:eastAsia="Cambria Math" w:ascii="Cambria Math" w:hAnsi="Cambria Math"/>
          <w:b w:val="false"/>
        </w:rPr>
        <w:t>K ≤ 8</w:t>
      </w:r>
      <w:r>
        <w:rPr>
          <w:rFonts w:ascii="Cambria Math" w:hAnsi="Cambria Math" w:eastAsia="Cambria Math"/>
          <w:b w:val="false"/>
        </w:rPr>
        <w:t>。             （</w:t>
      </w:r>
      <w:r>
        <w:rPr>
          <w:rFonts w:eastAsia="Cambria Math" w:ascii="Cambria Math" w:hAnsi="Cambria Math"/>
          <w:b w:val="false"/>
        </w:rPr>
        <w:t>3-2</w:t>
      </w:r>
      <w:r>
        <w:rPr>
          <w:rFonts w:ascii="Cambria Math" w:hAnsi="Cambria Math" w:eastAsia="Cambria Math"/>
          <w:b w:val="false"/>
        </w:rPr>
        <w:t>）</w:t>
      </w:r>
    </w:p>
    <w:p>
      <w:pPr>
        <w:pStyle w:val="Style12"/>
        <w:rPr/>
      </w:pPr>
      <w:r>
        <w:rPr>
          <w:b w:val="false"/>
        </w:rPr>
        <w:t>提示词不仅保留类别名称，还可包含颜色、服饰、位置关系和场景动作。例如查询“</w:t>
      </w:r>
      <w:r>
        <w:rPr>
          <w:b w:val="false"/>
        </w:rPr>
        <w:t>A black-clad cyclist is crossing the intersection”</w:t>
      </w:r>
      <w:r>
        <w:rPr>
          <w:b w:val="false"/>
        </w:rPr>
        <w:t>可被改写为“</w:t>
      </w:r>
      <w:r>
        <w:rPr>
          <w:b w:val="false"/>
        </w:rPr>
        <w:t>a cyclist in dark clothing moving through an intersection”</w:t>
      </w:r>
      <w:r>
        <w:rPr>
          <w:b w:val="false"/>
        </w:rPr>
        <w:t xml:space="preserve">等短语。生成结果经规范化、空项过滤和重复项删除后构成当前图像的 </w:t>
      </w:r>
      <w:r>
        <w:rPr>
          <w:b w:val="false"/>
        </w:rPr>
        <w:t>prompt pool</w:t>
      </w:r>
      <w:r>
        <w:rPr>
          <w:b w:val="false"/>
        </w:rPr>
        <w:t>；若生成失败，则使用覆盖主要弱类的回退提示集合，以保证推理可继续执行。</w:t>
      </w:r>
    </w:p>
    <w:p>
      <w:pPr>
        <w:pStyle w:val="231"/>
        <w:numPr>
          <w:ilvl w:val="2"/>
          <w:numId w:val="1"/>
        </w:numPr>
        <w:rPr/>
      </w:pPr>
      <w:bookmarkStart w:id="156" w:name="__RefHeading___Toc10380_2198631117"/>
      <w:bookmarkEnd w:id="156"/>
      <w:r>
        <w:rPr>
          <w:b w:val="false"/>
        </w:rPr>
        <w:t>提示动作的结构化表示</w:t>
      </w:r>
    </w:p>
    <w:p>
      <w:pPr>
        <w:pStyle w:val="Style12"/>
        <w:rPr/>
      </w:pPr>
      <w:r>
        <w:rPr>
          <w:b w:val="false"/>
        </w:rPr>
        <w:t xml:space="preserve">每个提示动作包含文本 </w:t>
      </w:r>
      <w:r>
        <w:rPr>
          <w:b w:val="false"/>
        </w:rPr>
        <w:t>text</w:t>
      </w:r>
      <w:r>
        <w:rPr>
          <w:b w:val="false"/>
        </w:rPr>
        <w:t xml:space="preserve">、目标类别 </w:t>
      </w:r>
      <w:r>
        <w:rPr>
          <w:b w:val="false"/>
        </w:rPr>
        <w:t>class</w:t>
      </w:r>
      <w:r>
        <w:rPr>
          <w:b w:val="false"/>
        </w:rPr>
        <w:t xml:space="preserve">、语言模型输出次序 </w:t>
      </w:r>
      <w:r>
        <w:rPr>
          <w:b w:val="false"/>
        </w:rPr>
        <w:t xml:space="preserve">llm_rank </w:t>
      </w:r>
      <w:r>
        <w:rPr>
          <w:b w:val="false"/>
        </w:rPr>
        <w:t xml:space="preserve">与语义角色 </w:t>
      </w:r>
      <w:r>
        <w:rPr>
          <w:b w:val="false"/>
        </w:rPr>
        <w:t>llm_role</w:t>
      </w:r>
      <w:r>
        <w:rPr>
          <w:b w:val="false"/>
        </w:rPr>
        <w:t xml:space="preserve">。语义角色分为 </w:t>
      </w:r>
      <w:r>
        <w:rPr>
          <w:b w:val="false"/>
        </w:rPr>
        <w:t>primary</w:t>
      </w:r>
      <w:r>
        <w:rPr>
          <w:b w:val="false"/>
        </w:rPr>
        <w:t>、</w:t>
      </w:r>
      <w:r>
        <w:rPr>
          <w:b w:val="false"/>
        </w:rPr>
        <w:t>alias</w:t>
      </w:r>
      <w:r>
        <w:rPr>
          <w:b w:val="false"/>
        </w:rPr>
        <w:t>、</w:t>
      </w:r>
      <w:r>
        <w:rPr>
          <w:b w:val="false"/>
        </w:rPr>
        <w:t>attribute</w:t>
      </w:r>
      <w:r>
        <w:rPr>
          <w:b w:val="false"/>
        </w:rPr>
        <w:t>、</w:t>
      </w:r>
      <w:r>
        <w:rPr>
          <w:b w:val="false"/>
        </w:rPr>
        <w:t xml:space="preserve">relation </w:t>
      </w:r>
      <w:r>
        <w:rPr>
          <w:b w:val="false"/>
        </w:rPr>
        <w:t xml:space="preserve">和 </w:t>
      </w:r>
      <w:r>
        <w:rPr>
          <w:b w:val="false"/>
        </w:rPr>
        <w:t>fallback</w:t>
      </w:r>
      <w:r>
        <w:rPr>
          <w:b w:val="false"/>
        </w:rPr>
        <w:t>，用于区分核心类别表达、同义表达、属性描述、关系描述和回退提示。动态动作集合定义为：</w:t>
      </w:r>
    </w:p>
    <w:p>
      <w:pPr>
        <w:pStyle w:val="Style12"/>
        <w:jc w:val="center"/>
        <w:rPr/>
      </w:pPr>
      <w:r>
        <w:rPr>
          <w:rFonts w:eastAsia="Cambria Math" w:ascii="Cambria Math" w:hAnsi="Cambria Math"/>
          <w:b w:val="false"/>
        </w:rPr>
        <w:t xml:space="preserve">A_t = {STOP} ∪ {a_k | p_k ∈ P(q), p_k </w:t>
      </w:r>
      <w:r>
        <w:rPr>
          <w:rFonts w:ascii="Cambria Math" w:hAnsi="Cambria Math" w:eastAsia="Cambria Math"/>
          <w:b w:val="false"/>
        </w:rPr>
        <w:t>尚未执行</w:t>
      </w:r>
      <w:r>
        <w:rPr>
          <w:rFonts w:eastAsia="Cambria Math" w:ascii="Cambria Math" w:hAnsi="Cambria Math"/>
          <w:b w:val="false"/>
        </w:rPr>
        <w:t>}</w:t>
      </w:r>
      <w:r>
        <w:rPr>
          <w:rFonts w:ascii="Cambria Math" w:hAnsi="Cambria Math" w:eastAsia="Cambria Math"/>
          <w:b w:val="false"/>
        </w:rPr>
        <w:t>。          （</w:t>
      </w:r>
      <w:r>
        <w:rPr>
          <w:rFonts w:eastAsia="Cambria Math" w:ascii="Cambria Math" w:hAnsi="Cambria Math"/>
          <w:b w:val="false"/>
        </w:rPr>
        <w:t>3-3</w:t>
      </w:r>
      <w:r>
        <w:rPr>
          <w:rFonts w:ascii="Cambria Math" w:hAnsi="Cambria Math" w:eastAsia="Cambria Math"/>
          <w:b w:val="false"/>
        </w:rPr>
        <w:t>）</w:t>
      </w:r>
    </w:p>
    <w:p>
      <w:pPr>
        <w:pStyle w:val="Style12"/>
        <w:rPr/>
      </w:pPr>
      <w:r>
        <w:rPr>
          <w:b w:val="false"/>
        </w:rPr>
        <w:t xml:space="preserve">与固定 </w:t>
      </w:r>
      <w:r>
        <w:rPr>
          <w:b w:val="false"/>
        </w:rPr>
        <w:t xml:space="preserve">12 </w:t>
      </w:r>
      <w:r>
        <w:rPr>
          <w:b w:val="false"/>
        </w:rPr>
        <w:t xml:space="preserve">动作策略不同，动作数量和内容随查询变化。测试缓存中 </w:t>
      </w:r>
      <w:r>
        <w:rPr>
          <w:b w:val="false"/>
        </w:rPr>
        <w:t xml:space="preserve">300 </w:t>
      </w:r>
      <w:r>
        <w:rPr>
          <w:b w:val="false"/>
        </w:rPr>
        <w:t xml:space="preserve">个样本共生成 </w:t>
      </w:r>
      <w:r>
        <w:rPr>
          <w:b w:val="false"/>
        </w:rPr>
        <w:t xml:space="preserve">2396 </w:t>
      </w:r>
      <w:r>
        <w:rPr>
          <w:b w:val="false"/>
        </w:rPr>
        <w:t xml:space="preserve">条提示词，其中唯一提示词 </w:t>
      </w:r>
      <w:r>
        <w:rPr>
          <w:b w:val="false"/>
        </w:rPr>
        <w:t xml:space="preserve">604 </w:t>
      </w:r>
      <w:r>
        <w:rPr>
          <w:b w:val="false"/>
        </w:rPr>
        <w:t xml:space="preserve">条，说明动作空间并非简单复用固定类别名称。最新实现会将被选中的原始提示词直接送入 </w:t>
      </w:r>
      <w:r>
        <w:rPr>
          <w:b w:val="false"/>
        </w:rPr>
        <w:t xml:space="preserve">Grounding DINO </w:t>
      </w:r>
      <w:r>
        <w:rPr>
          <w:b w:val="false"/>
        </w:rPr>
        <w:t>生成候选，而不是仅映射到已有离线候选来源。</w:t>
      </w:r>
    </w:p>
    <w:p>
      <w:pPr>
        <w:pStyle w:val="Normal"/>
        <w:spacing w:before="120" w:after="80"/>
        <w:jc w:val="center"/>
        <w:rPr/>
      </w:pPr>
      <w:r>
        <w:rPr>
          <w:rFonts w:ascii="Times New Roman" w:hAnsi="Times New Roman" w:eastAsia="黑体"/>
          <w:b w:val="false"/>
          <w:sz w:val="21"/>
        </w:rPr>
        <w:t>表</w:t>
      </w:r>
      <w:r>
        <w:rPr>
          <w:rFonts w:eastAsia="黑体"/>
          <w:b w:val="false"/>
          <w:sz w:val="21"/>
        </w:rPr>
        <w:t xml:space="preserve">3-1 </w:t>
      </w:r>
      <w:r>
        <w:rPr>
          <w:rFonts w:ascii="Times New Roman" w:hAnsi="Times New Roman" w:eastAsia="黑体"/>
          <w:b w:val="false"/>
          <w:sz w:val="21"/>
        </w:rPr>
        <w:t xml:space="preserve">动态提示动作的 </w:t>
      </w:r>
      <w:r>
        <w:rPr>
          <w:rFonts w:eastAsia="黑体"/>
          <w:b w:val="false"/>
          <w:sz w:val="21"/>
        </w:rPr>
        <w:t xml:space="preserve">20 </w:t>
      </w:r>
      <w:r>
        <w:rPr>
          <w:rFonts w:ascii="Times New Roman" w:hAnsi="Times New Roman" w:eastAsia="黑体"/>
          <w:b w:val="false"/>
          <w:sz w:val="21"/>
        </w:rPr>
        <w:t>维特征组成</w:t>
      </w:r>
    </w:p>
    <w:tbl>
      <w:tblPr>
        <w:tblStyle w:val="15"/>
        <w:tblW w:w="85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35"/>
        <w:gridCol w:w="2835"/>
        <w:gridCol w:w="2835"/>
      </w:tblGrid>
      <w:tr>
        <w:trPr>
          <w:tblHeader w:val="true"/>
        </w:trPr>
        <w:tc>
          <w:tcPr>
            <w:tcW w:w="2835" w:type="dxa"/>
            <w:tcBorders/>
            <w:shd w:fill="1E3D59"/>
            <w:vAlign w:val="center"/>
          </w:tcPr>
          <w:p>
            <w:pPr>
              <w:pStyle w:val="Normal"/>
              <w:widowControl w:val="false"/>
              <w:spacing w:before="0" w:after="0"/>
              <w:jc w:val="center"/>
              <w:rPr/>
            </w:pPr>
            <w:r>
              <w:rPr>
                <w:rFonts w:ascii="Times New Roman" w:hAnsi="Times New Roman"/>
                <w:b/>
                <w:color w:val="FFFFFF"/>
                <w:sz w:val="16"/>
              </w:rPr>
              <w:t>特征组</w:t>
            </w:r>
          </w:p>
        </w:tc>
        <w:tc>
          <w:tcPr>
            <w:tcW w:w="2835" w:type="dxa"/>
            <w:tcBorders/>
            <w:shd w:fill="1E3D59"/>
            <w:vAlign w:val="center"/>
          </w:tcPr>
          <w:p>
            <w:pPr>
              <w:pStyle w:val="Normal"/>
              <w:widowControl w:val="false"/>
              <w:spacing w:before="0" w:after="0"/>
              <w:jc w:val="center"/>
              <w:rPr/>
            </w:pPr>
            <w:r>
              <w:rPr>
                <w:rFonts w:ascii="Times New Roman" w:hAnsi="Times New Roman"/>
                <w:b/>
                <w:color w:val="FFFFFF"/>
                <w:sz w:val="16"/>
              </w:rPr>
              <w:t>维数</w:t>
            </w:r>
          </w:p>
        </w:tc>
        <w:tc>
          <w:tcPr>
            <w:tcW w:w="2835" w:type="dxa"/>
            <w:tcBorders/>
            <w:shd w:fill="1E3D59"/>
            <w:vAlign w:val="center"/>
          </w:tcPr>
          <w:p>
            <w:pPr>
              <w:pStyle w:val="Normal"/>
              <w:widowControl w:val="false"/>
              <w:spacing w:before="0" w:after="0"/>
              <w:jc w:val="center"/>
              <w:rPr/>
            </w:pPr>
            <w:r>
              <w:rPr>
                <w:rFonts w:ascii="Times New Roman" w:hAnsi="Times New Roman"/>
                <w:b/>
                <w:color w:val="FFFFFF"/>
                <w:sz w:val="16"/>
              </w:rPr>
              <w:t>内容</w:t>
            </w:r>
          </w:p>
        </w:tc>
      </w:tr>
      <w:tr>
        <w:trPr/>
        <w:tc>
          <w:tcPr>
            <w:tcW w:w="2835" w:type="dxa"/>
            <w:tcBorders/>
            <w:vAlign w:val="center"/>
          </w:tcPr>
          <w:p>
            <w:pPr>
              <w:pStyle w:val="Normal"/>
              <w:widowControl w:val="false"/>
              <w:spacing w:before="0" w:after="0"/>
              <w:jc w:val="center"/>
              <w:rPr/>
            </w:pPr>
            <w:r>
              <w:rPr>
                <w:rFonts w:eastAsia="宋体"/>
                <w:b w:val="false"/>
                <w:sz w:val="16"/>
              </w:rPr>
              <w:t xml:space="preserve">STOP </w:t>
            </w:r>
            <w:r>
              <w:rPr>
                <w:rFonts w:ascii="Times New Roman" w:hAnsi="Times New Roman"/>
                <w:b w:val="false"/>
                <w:sz w:val="16"/>
              </w:rPr>
              <w:t>标记</w:t>
            </w:r>
          </w:p>
        </w:tc>
        <w:tc>
          <w:tcPr>
            <w:tcW w:w="2835" w:type="dxa"/>
            <w:tcBorders/>
            <w:vAlign w:val="center"/>
          </w:tcPr>
          <w:p>
            <w:pPr>
              <w:pStyle w:val="Normal"/>
              <w:widowControl w:val="false"/>
              <w:spacing w:before="0" w:after="0"/>
              <w:jc w:val="center"/>
              <w:rPr/>
            </w:pPr>
            <w:r>
              <w:rPr>
                <w:rFonts w:eastAsia="宋体"/>
                <w:b w:val="false"/>
                <w:sz w:val="16"/>
              </w:rPr>
              <w:t>1</w:t>
            </w:r>
          </w:p>
        </w:tc>
        <w:tc>
          <w:tcPr>
            <w:tcW w:w="2835" w:type="dxa"/>
            <w:tcBorders/>
            <w:vAlign w:val="center"/>
          </w:tcPr>
          <w:p>
            <w:pPr>
              <w:pStyle w:val="Normal"/>
              <w:widowControl w:val="false"/>
              <w:spacing w:before="0" w:after="0"/>
              <w:jc w:val="center"/>
              <w:rPr/>
            </w:pPr>
            <w:r>
              <w:rPr>
                <w:rFonts w:ascii="Times New Roman" w:hAnsi="Times New Roman"/>
                <w:b w:val="false"/>
                <w:sz w:val="16"/>
              </w:rPr>
              <w:t>区分终止动作与扩展动作</w:t>
            </w:r>
          </w:p>
        </w:tc>
      </w:tr>
      <w:tr>
        <w:trPr/>
        <w:tc>
          <w:tcPr>
            <w:tcW w:w="2835" w:type="dxa"/>
            <w:tcBorders/>
            <w:vAlign w:val="center"/>
          </w:tcPr>
          <w:p>
            <w:pPr>
              <w:pStyle w:val="Normal"/>
              <w:widowControl w:val="false"/>
              <w:spacing w:before="0" w:after="0"/>
              <w:jc w:val="center"/>
              <w:rPr/>
            </w:pPr>
            <w:r>
              <w:rPr>
                <w:rFonts w:ascii="Times New Roman" w:hAnsi="Times New Roman"/>
                <w:b w:val="false"/>
                <w:sz w:val="16"/>
              </w:rPr>
              <w:t xml:space="preserve">类别 </w:t>
            </w:r>
            <w:r>
              <w:rPr>
                <w:rFonts w:eastAsia="宋体"/>
                <w:b w:val="false"/>
                <w:sz w:val="16"/>
              </w:rPr>
              <w:t>one-hot</w:t>
            </w:r>
          </w:p>
        </w:tc>
        <w:tc>
          <w:tcPr>
            <w:tcW w:w="2835" w:type="dxa"/>
            <w:tcBorders/>
            <w:vAlign w:val="center"/>
          </w:tcPr>
          <w:p>
            <w:pPr>
              <w:pStyle w:val="Normal"/>
              <w:widowControl w:val="false"/>
              <w:spacing w:before="0" w:after="0"/>
              <w:jc w:val="center"/>
              <w:rPr/>
            </w:pPr>
            <w:r>
              <w:rPr>
                <w:rFonts w:eastAsia="宋体"/>
                <w:b w:val="false"/>
                <w:sz w:val="16"/>
              </w:rPr>
              <w:t>10</w:t>
            </w:r>
          </w:p>
        </w:tc>
        <w:tc>
          <w:tcPr>
            <w:tcW w:w="2835" w:type="dxa"/>
            <w:tcBorders/>
            <w:vAlign w:val="center"/>
          </w:tcPr>
          <w:p>
            <w:pPr>
              <w:pStyle w:val="Normal"/>
              <w:widowControl w:val="false"/>
              <w:spacing w:before="0" w:after="0"/>
              <w:jc w:val="center"/>
              <w:rPr/>
            </w:pPr>
            <w:r>
              <w:rPr>
                <w:rFonts w:ascii="Times New Roman" w:hAnsi="Times New Roman"/>
                <w:b w:val="false"/>
                <w:sz w:val="16"/>
              </w:rPr>
              <w:t xml:space="preserve">对应 </w:t>
            </w:r>
            <w:r>
              <w:rPr>
                <w:rFonts w:eastAsia="宋体"/>
                <w:b w:val="false"/>
                <w:sz w:val="16"/>
              </w:rPr>
              <w:t xml:space="preserve">VisDrone </w:t>
            </w:r>
            <w:r>
              <w:rPr>
                <w:rFonts w:ascii="Times New Roman" w:hAnsi="Times New Roman"/>
                <w:b w:val="false"/>
                <w:sz w:val="16"/>
              </w:rPr>
              <w:t>十类</w:t>
            </w:r>
          </w:p>
        </w:tc>
      </w:tr>
      <w:tr>
        <w:trPr/>
        <w:tc>
          <w:tcPr>
            <w:tcW w:w="2835" w:type="dxa"/>
            <w:tcBorders/>
            <w:vAlign w:val="center"/>
          </w:tcPr>
          <w:p>
            <w:pPr>
              <w:pStyle w:val="Normal"/>
              <w:widowControl w:val="false"/>
              <w:spacing w:before="0" w:after="0"/>
              <w:jc w:val="center"/>
              <w:rPr/>
            </w:pPr>
            <w:r>
              <w:rPr>
                <w:rFonts w:ascii="Times New Roman" w:hAnsi="Times New Roman"/>
                <w:b w:val="false"/>
                <w:sz w:val="16"/>
              </w:rPr>
              <w:t>提示统计</w:t>
            </w:r>
          </w:p>
        </w:tc>
        <w:tc>
          <w:tcPr>
            <w:tcW w:w="2835" w:type="dxa"/>
            <w:tcBorders/>
            <w:vAlign w:val="center"/>
          </w:tcPr>
          <w:p>
            <w:pPr>
              <w:pStyle w:val="Normal"/>
              <w:widowControl w:val="false"/>
              <w:spacing w:before="0" w:after="0"/>
              <w:jc w:val="center"/>
              <w:rPr/>
            </w:pPr>
            <w:r>
              <w:rPr>
                <w:rFonts w:eastAsia="宋体"/>
                <w:b w:val="false"/>
                <w:sz w:val="16"/>
              </w:rPr>
              <w:t>5</w:t>
            </w:r>
          </w:p>
        </w:tc>
        <w:tc>
          <w:tcPr>
            <w:tcW w:w="2835" w:type="dxa"/>
            <w:tcBorders/>
            <w:vAlign w:val="center"/>
          </w:tcPr>
          <w:p>
            <w:pPr>
              <w:pStyle w:val="Normal"/>
              <w:widowControl w:val="false"/>
              <w:spacing w:before="0" w:after="0"/>
              <w:jc w:val="center"/>
              <w:rPr/>
            </w:pPr>
            <w:r>
              <w:rPr>
                <w:rFonts w:ascii="Times New Roman" w:hAnsi="Times New Roman"/>
                <w:b w:val="false"/>
                <w:sz w:val="16"/>
              </w:rPr>
              <w:t>词数、</w:t>
            </w:r>
            <w:r>
              <w:rPr>
                <w:rFonts w:eastAsia="宋体"/>
                <w:b w:val="false"/>
                <w:sz w:val="16"/>
              </w:rPr>
              <w:t>LLM rank</w:t>
            </w:r>
            <w:r>
              <w:rPr>
                <w:rFonts w:ascii="Times New Roman" w:hAnsi="Times New Roman"/>
                <w:b w:val="false"/>
                <w:sz w:val="16"/>
              </w:rPr>
              <w:t>、</w:t>
            </w:r>
            <w:r>
              <w:rPr>
                <w:rFonts w:eastAsia="宋体"/>
                <w:b w:val="false"/>
                <w:sz w:val="16"/>
              </w:rPr>
              <w:t xml:space="preserve">query </w:t>
            </w:r>
            <w:r>
              <w:rPr>
                <w:rFonts w:ascii="Times New Roman" w:hAnsi="Times New Roman"/>
                <w:b w:val="false"/>
                <w:sz w:val="16"/>
              </w:rPr>
              <w:t>词重合率、轮次、是否已使用</w:t>
            </w:r>
          </w:p>
        </w:tc>
      </w:tr>
      <w:tr>
        <w:trPr/>
        <w:tc>
          <w:tcPr>
            <w:tcW w:w="2835" w:type="dxa"/>
            <w:tcBorders/>
            <w:vAlign w:val="center"/>
          </w:tcPr>
          <w:p>
            <w:pPr>
              <w:pStyle w:val="Normal"/>
              <w:widowControl w:val="false"/>
              <w:spacing w:before="0" w:after="0"/>
              <w:jc w:val="center"/>
              <w:rPr/>
            </w:pPr>
            <w:r>
              <w:rPr>
                <w:rFonts w:ascii="Times New Roman" w:hAnsi="Times New Roman"/>
                <w:b w:val="false"/>
                <w:sz w:val="16"/>
              </w:rPr>
              <w:t>语义角色</w:t>
            </w:r>
          </w:p>
        </w:tc>
        <w:tc>
          <w:tcPr>
            <w:tcW w:w="2835" w:type="dxa"/>
            <w:tcBorders/>
            <w:vAlign w:val="center"/>
          </w:tcPr>
          <w:p>
            <w:pPr>
              <w:pStyle w:val="Normal"/>
              <w:widowControl w:val="false"/>
              <w:spacing w:before="0" w:after="0"/>
              <w:jc w:val="center"/>
              <w:rPr/>
            </w:pPr>
            <w:r>
              <w:rPr>
                <w:rFonts w:eastAsia="宋体"/>
                <w:b w:val="false"/>
                <w:sz w:val="16"/>
              </w:rPr>
              <w:t>4</w:t>
            </w:r>
          </w:p>
        </w:tc>
        <w:tc>
          <w:tcPr>
            <w:tcW w:w="2835" w:type="dxa"/>
            <w:tcBorders/>
            <w:vAlign w:val="center"/>
          </w:tcPr>
          <w:p>
            <w:pPr>
              <w:pStyle w:val="Normal"/>
              <w:widowControl w:val="false"/>
              <w:spacing w:before="0" w:after="0"/>
              <w:jc w:val="center"/>
              <w:rPr/>
            </w:pPr>
            <w:r>
              <w:rPr>
                <w:rFonts w:eastAsia="宋体"/>
                <w:b w:val="false"/>
                <w:sz w:val="16"/>
              </w:rPr>
              <w:t>primary</w:t>
            </w:r>
            <w:r>
              <w:rPr>
                <w:rFonts w:ascii="Times New Roman" w:hAnsi="Times New Roman"/>
                <w:b w:val="false"/>
                <w:sz w:val="16"/>
              </w:rPr>
              <w:t>、</w:t>
            </w:r>
            <w:r>
              <w:rPr>
                <w:rFonts w:eastAsia="宋体"/>
                <w:b w:val="false"/>
                <w:sz w:val="16"/>
              </w:rPr>
              <w:t>alias</w:t>
            </w:r>
            <w:r>
              <w:rPr>
                <w:rFonts w:ascii="Times New Roman" w:hAnsi="Times New Roman"/>
                <w:b w:val="false"/>
                <w:sz w:val="16"/>
              </w:rPr>
              <w:t>、</w:t>
            </w:r>
            <w:r>
              <w:rPr>
                <w:rFonts w:eastAsia="宋体"/>
                <w:b w:val="false"/>
                <w:sz w:val="16"/>
              </w:rPr>
              <w:t>attribute</w:t>
            </w:r>
            <w:r>
              <w:rPr>
                <w:rFonts w:ascii="Times New Roman" w:hAnsi="Times New Roman"/>
                <w:b w:val="false"/>
                <w:sz w:val="16"/>
              </w:rPr>
              <w:t>、</w:t>
            </w:r>
            <w:r>
              <w:rPr>
                <w:rFonts w:eastAsia="宋体"/>
                <w:b w:val="false"/>
                <w:sz w:val="16"/>
              </w:rPr>
              <w:t>relation</w:t>
            </w:r>
          </w:p>
        </w:tc>
      </w:tr>
      <w:tr>
        <w:trPr/>
        <w:tc>
          <w:tcPr>
            <w:tcW w:w="2835" w:type="dxa"/>
            <w:tcBorders/>
            <w:shd w:fill="E1EFFA"/>
            <w:vAlign w:val="center"/>
          </w:tcPr>
          <w:p>
            <w:pPr>
              <w:pStyle w:val="Normal"/>
              <w:widowControl w:val="false"/>
              <w:spacing w:before="0" w:after="0"/>
              <w:jc w:val="center"/>
              <w:rPr/>
            </w:pPr>
            <w:r>
              <w:rPr>
                <w:rFonts w:ascii="Times New Roman" w:hAnsi="Times New Roman"/>
                <w:b/>
                <w:sz w:val="16"/>
              </w:rPr>
              <w:t>合计</w:t>
            </w:r>
          </w:p>
        </w:tc>
        <w:tc>
          <w:tcPr>
            <w:tcW w:w="2835" w:type="dxa"/>
            <w:tcBorders/>
            <w:shd w:fill="E1EFFA"/>
            <w:vAlign w:val="center"/>
          </w:tcPr>
          <w:p>
            <w:pPr>
              <w:pStyle w:val="Normal"/>
              <w:widowControl w:val="false"/>
              <w:spacing w:before="0" w:after="0"/>
              <w:jc w:val="center"/>
              <w:rPr/>
            </w:pPr>
            <w:r>
              <w:rPr>
                <w:rFonts w:eastAsia="宋体"/>
                <w:b/>
                <w:sz w:val="16"/>
              </w:rPr>
              <w:t>20</w:t>
            </w:r>
          </w:p>
        </w:tc>
        <w:tc>
          <w:tcPr>
            <w:tcW w:w="2835" w:type="dxa"/>
            <w:tcBorders/>
            <w:shd w:fill="E1EFFA"/>
            <w:vAlign w:val="center"/>
          </w:tcPr>
          <w:p>
            <w:pPr>
              <w:pStyle w:val="Normal"/>
              <w:widowControl w:val="false"/>
              <w:spacing w:before="0" w:after="0"/>
              <w:jc w:val="center"/>
              <w:rPr/>
            </w:pPr>
            <w:r>
              <w:rPr>
                <w:rFonts w:ascii="Times New Roman" w:hAnsi="Times New Roman"/>
                <w:b/>
                <w:sz w:val="16"/>
              </w:rPr>
              <w:t xml:space="preserve">作为 </w:t>
            </w:r>
            <w:r>
              <w:rPr>
                <w:rFonts w:eastAsia="宋体"/>
                <w:b/>
                <w:sz w:val="16"/>
              </w:rPr>
              <w:t xml:space="preserve">Action Encoder </w:t>
            </w:r>
            <w:r>
              <w:rPr>
                <w:rFonts w:ascii="Times New Roman" w:hAnsi="Times New Roman"/>
                <w:b/>
                <w:sz w:val="16"/>
              </w:rPr>
              <w:t>输入</w:t>
            </w:r>
          </w:p>
        </w:tc>
      </w:tr>
    </w:tbl>
    <w:p>
      <w:pPr>
        <w:pStyle w:val="Style12"/>
        <w:rPr/>
      </w:pPr>
      <w:r>
        <w:rPr/>
      </w:r>
    </w:p>
    <w:p>
      <w:pPr>
        <w:pStyle w:val="23"/>
        <w:numPr>
          <w:ilvl w:val="1"/>
          <w:numId w:val="1"/>
        </w:numPr>
        <w:rPr/>
      </w:pPr>
      <w:bookmarkStart w:id="157" w:name="__RefHeading___Toc10332_2198631117"/>
      <w:bookmarkEnd w:id="157"/>
      <w:r>
        <w:rPr>
          <w:b w:val="false"/>
        </w:rPr>
        <w:t>强化学习驱动的闭环候选扩展</w:t>
      </w:r>
    </w:p>
    <w:p>
      <w:pPr>
        <w:pStyle w:val="231"/>
        <w:numPr>
          <w:ilvl w:val="2"/>
          <w:numId w:val="1"/>
        </w:numPr>
        <w:rPr/>
      </w:pPr>
      <w:bookmarkStart w:id="158" w:name="__RefHeading___Toc10378_2198631117"/>
      <w:bookmarkEnd w:id="158"/>
      <w:r>
        <w:rPr>
          <w:b w:val="false"/>
        </w:rPr>
        <w:t>38</w:t>
      </w:r>
      <w:r>
        <w:rPr>
          <w:b w:val="false"/>
        </w:rPr>
        <w:t>维候选状态</w:t>
      </w:r>
    </w:p>
    <w:p>
      <w:pPr>
        <w:pStyle w:val="Style12"/>
        <w:rPr/>
      </w:pPr>
      <w:r>
        <w:rPr>
          <w:b w:val="false"/>
        </w:rPr>
        <w:t xml:space="preserve">状态向量描述当前候选池而不是单个候选框。其前 </w:t>
      </w:r>
      <w:r>
        <w:rPr>
          <w:b w:val="false"/>
        </w:rPr>
        <w:t xml:space="preserve">6 </w:t>
      </w:r>
      <w:r>
        <w:rPr>
          <w:b w:val="false"/>
        </w:rPr>
        <w:t xml:space="preserve">维为全局统计，包括归一化候选数量、平均分、最高分、分数标准差、平均面积比例和弱小类别候选比例；随后按十个类别分别统计候选数量、最高分和平均面积，共 </w:t>
      </w:r>
      <w:r>
        <w:rPr>
          <w:b w:val="false"/>
        </w:rPr>
        <w:t xml:space="preserve">30 </w:t>
      </w:r>
      <w:r>
        <w:rPr>
          <w:b w:val="false"/>
        </w:rPr>
        <w:t xml:space="preserve">维；最后 </w:t>
      </w:r>
      <w:r>
        <w:rPr>
          <w:b w:val="false"/>
        </w:rPr>
        <w:t xml:space="preserve">2 </w:t>
      </w:r>
      <w:r>
        <w:rPr>
          <w:b w:val="false"/>
        </w:rPr>
        <w:t xml:space="preserve">维编码当前进度和剩余动作预算，因此状态总维数为 </w:t>
      </w:r>
      <w:r>
        <w:rPr>
          <w:b w:val="false"/>
        </w:rPr>
        <w:t>38</w:t>
      </w:r>
      <w:r>
        <w:rPr>
          <w:b w:val="false"/>
        </w:rPr>
        <w:t>。</w:t>
      </w:r>
    </w:p>
    <w:p>
      <w:pPr>
        <w:pStyle w:val="Style12"/>
        <w:jc w:val="center"/>
        <w:rPr/>
      </w:pPr>
      <w:r>
        <w:rPr>
          <w:rFonts w:eastAsia="Cambria Math" w:ascii="Cambria Math" w:hAnsi="Cambria Math"/>
          <w:b w:val="false"/>
        </w:rPr>
        <w:t>s_t = [g_t^(6), n_t^(10), m_t^(10), a_t^(10), progress_t, remaining_t] ∈ R^38</w:t>
      </w:r>
      <w:r>
        <w:rPr>
          <w:rFonts w:ascii="Cambria Math" w:hAnsi="Cambria Math" w:eastAsia="Cambria Math"/>
          <w:b w:val="false"/>
        </w:rPr>
        <w:t>。    （</w:t>
      </w:r>
      <w:r>
        <w:rPr>
          <w:rFonts w:eastAsia="Cambria Math" w:ascii="Cambria Math" w:hAnsi="Cambria Math"/>
          <w:b w:val="false"/>
        </w:rPr>
        <w:t>3-4</w:t>
      </w:r>
      <w:r>
        <w:rPr>
          <w:rFonts w:ascii="Cambria Math" w:hAnsi="Cambria Math" w:eastAsia="Cambria Math"/>
          <w:b w:val="false"/>
        </w:rPr>
        <w:t>）</w:t>
      </w:r>
    </w:p>
    <w:p>
      <w:pPr>
        <w:pStyle w:val="Style12"/>
        <w:rPr/>
      </w:pPr>
      <w:r>
        <w:rPr>
          <w:b w:val="false"/>
        </w:rPr>
        <w:t>这种状态构造能够同时反映候选池规模、置信度分布、尺度构成和类别缺口。例如某一弱类候选数量少且最高分低时，相关扩展提示可能获得更高价值；当候选已经充分或预算不足时，</w:t>
      </w:r>
      <w:r>
        <w:rPr>
          <w:b w:val="false"/>
        </w:rPr>
        <w:t xml:space="preserve">STOP </w:t>
      </w:r>
      <w:r>
        <w:rPr>
          <w:b w:val="false"/>
        </w:rPr>
        <w:t>动作应更具优势。</w:t>
      </w:r>
    </w:p>
    <w:p>
      <w:pPr>
        <w:pStyle w:val="231"/>
        <w:numPr>
          <w:ilvl w:val="2"/>
          <w:numId w:val="1"/>
        </w:numPr>
        <w:rPr/>
      </w:pPr>
      <w:bookmarkStart w:id="159" w:name="__RefHeading___Toc10376_2198631117"/>
      <w:bookmarkEnd w:id="159"/>
      <w:r>
        <w:rPr>
          <w:b w:val="false"/>
        </w:rPr>
        <w:t>状态—动作匹配策略网络</w:t>
      </w:r>
    </w:p>
    <w:p>
      <w:pPr>
        <w:pStyle w:val="Style12"/>
        <w:rPr/>
      </w:pPr>
      <w:r>
        <w:rPr>
          <w:b w:val="false"/>
        </w:rPr>
        <w:t xml:space="preserve">固定动作策略直接由状态输出固定维数 </w:t>
      </w:r>
      <w:r>
        <w:rPr>
          <w:b w:val="false"/>
        </w:rPr>
        <w:t>logits</w:t>
      </w:r>
      <w:r>
        <w:rPr>
          <w:b w:val="false"/>
        </w:rPr>
        <w:t xml:space="preserve">，无法为未见过的新提示词打分。为适配动态 </w:t>
      </w:r>
      <w:r>
        <w:rPr>
          <w:b w:val="false"/>
        </w:rPr>
        <w:t>prompt pool</w:t>
      </w:r>
      <w:r>
        <w:rPr>
          <w:b w:val="false"/>
        </w:rPr>
        <w:t>，本文采用双编码器结构。</w:t>
      </w:r>
      <w:r>
        <w:rPr>
          <w:b w:val="false"/>
        </w:rPr>
        <w:t xml:space="preserve">State Encoder </w:t>
      </w:r>
      <w:r>
        <w:rPr>
          <w:b w:val="false"/>
        </w:rPr>
        <w:t xml:space="preserve">将 </w:t>
      </w:r>
      <w:r>
        <w:rPr>
          <w:b w:val="false"/>
        </w:rPr>
        <w:t xml:space="preserve">38 </w:t>
      </w:r>
      <w:r>
        <w:rPr>
          <w:b w:val="false"/>
        </w:rPr>
        <w:t xml:space="preserve">维状态映射为 </w:t>
      </w:r>
      <w:r>
        <w:rPr>
          <w:b w:val="false"/>
        </w:rPr>
        <w:t xml:space="preserve">64 </w:t>
      </w:r>
      <w:r>
        <w:rPr>
          <w:b w:val="false"/>
        </w:rPr>
        <w:t>维状态嵌入，</w:t>
      </w:r>
      <w:r>
        <w:rPr>
          <w:b w:val="false"/>
        </w:rPr>
        <w:t xml:space="preserve">Action Encoder </w:t>
      </w:r>
      <w:r>
        <w:rPr>
          <w:b w:val="false"/>
        </w:rPr>
        <w:t xml:space="preserve">将 </w:t>
      </w:r>
      <w:r>
        <w:rPr>
          <w:b w:val="false"/>
        </w:rPr>
        <w:t xml:space="preserve">20 </w:t>
      </w:r>
      <w:r>
        <w:rPr>
          <w:b w:val="false"/>
        </w:rPr>
        <w:t xml:space="preserve">维动作特征映射为 </w:t>
      </w:r>
      <w:r>
        <w:rPr>
          <w:b w:val="false"/>
        </w:rPr>
        <w:t xml:space="preserve">64 </w:t>
      </w:r>
      <w:r>
        <w:rPr>
          <w:b w:val="false"/>
        </w:rPr>
        <w:t xml:space="preserve">维动作嵌入；随后拼接两者及其逐元素乘积，经 </w:t>
      </w:r>
      <w:r>
        <w:rPr>
          <w:b w:val="false"/>
        </w:rPr>
        <w:t xml:space="preserve">MLP </w:t>
      </w:r>
      <w:r>
        <w:rPr>
          <w:b w:val="false"/>
        </w:rPr>
        <w:t>输出该状态下执行该动作的标量得分：</w:t>
      </w:r>
    </w:p>
    <w:p>
      <w:pPr>
        <w:pStyle w:val="Style12"/>
        <w:jc w:val="center"/>
        <w:rPr/>
      </w:pPr>
      <w:r>
        <w:rPr>
          <w:rFonts w:eastAsia="Cambria Math" w:ascii="Cambria Math" w:hAnsi="Cambria Math"/>
          <w:b w:val="false"/>
        </w:rPr>
        <w:t>Q(s_t,a_k) = MLP([E_s(s_t); E_a(a_k); E_s(s_t) ⊙ E_a(a_k)])</w:t>
      </w:r>
      <w:r>
        <w:rPr>
          <w:rFonts w:ascii="Cambria Math" w:hAnsi="Cambria Math" w:eastAsia="Cambria Math"/>
          <w:b w:val="false"/>
        </w:rPr>
        <w:t>。          （</w:t>
      </w:r>
      <w:r>
        <w:rPr>
          <w:rFonts w:eastAsia="Cambria Math" w:ascii="Cambria Math" w:hAnsi="Cambria Math"/>
          <w:b w:val="false"/>
        </w:rPr>
        <w:t>3-5</w:t>
      </w:r>
      <w:r>
        <w:rPr>
          <w:rFonts w:ascii="Cambria Math" w:hAnsi="Cambria Math" w:eastAsia="Cambria Math"/>
          <w:b w:val="false"/>
        </w:rPr>
        <w:t>）</w:t>
      </w:r>
    </w:p>
    <w:p>
      <w:pPr>
        <w:pStyle w:val="Style12"/>
        <w:rPr/>
      </w:pPr>
      <w:r>
        <w:rPr>
          <w:b w:val="false"/>
        </w:rPr>
        <w:t xml:space="preserve">State Encoder </w:t>
      </w:r>
      <w:r>
        <w:rPr>
          <w:b w:val="false"/>
        </w:rPr>
        <w:t xml:space="preserve">的结构为 </w:t>
      </w:r>
      <w:r>
        <w:rPr>
          <w:b w:val="false"/>
        </w:rPr>
        <w:t>38→128→64</w:t>
      </w:r>
      <w:r>
        <w:rPr>
          <w:b w:val="false"/>
        </w:rPr>
        <w:t>，</w:t>
      </w:r>
      <w:r>
        <w:rPr>
          <w:b w:val="false"/>
        </w:rPr>
        <w:t xml:space="preserve">Action Encoder </w:t>
      </w:r>
      <w:r>
        <w:rPr>
          <w:b w:val="false"/>
        </w:rPr>
        <w:t xml:space="preserve">为 </w:t>
      </w:r>
      <w:r>
        <w:rPr>
          <w:b w:val="false"/>
        </w:rPr>
        <w:t>20→64→64</w:t>
      </w:r>
      <w:r>
        <w:rPr>
          <w:b w:val="false"/>
        </w:rPr>
        <w:t xml:space="preserve">，交互向量维数为 </w:t>
      </w:r>
      <w:r>
        <w:rPr>
          <w:b w:val="false"/>
        </w:rPr>
        <w:t>192</w:t>
      </w:r>
      <w:r>
        <w:rPr>
          <w:b w:val="false"/>
        </w:rPr>
        <w:t>，</w:t>
      </w:r>
      <w:r>
        <w:rPr>
          <w:b w:val="false"/>
        </w:rPr>
        <w:t xml:space="preserve">Action Scorer </w:t>
      </w:r>
      <w:r>
        <w:rPr>
          <w:b w:val="false"/>
        </w:rPr>
        <w:t xml:space="preserve">为 </w:t>
      </w:r>
      <w:r>
        <w:rPr>
          <w:b w:val="false"/>
        </w:rPr>
        <w:t>192→96→1</w:t>
      </w:r>
      <w:r>
        <w:rPr>
          <w:b w:val="false"/>
        </w:rPr>
        <w:t>。推理时对当前有效动作逐一计算分数并选择最大者；已经使用的提示词通过动作掩码移除，避免重复调用。</w:t>
      </w:r>
    </w:p>
    <w:p>
      <w:pPr>
        <w:pStyle w:val="Normal"/>
        <w:jc w:val="center"/>
        <w:rPr/>
      </w:pPr>
      <w:r>
        <w:rPr/>
        <w:drawing>
          <wp:inline distT="0" distB="0" distL="0" distR="0">
            <wp:extent cx="5715000" cy="2256790"/>
            <wp:effectExtent l="0" t="0" r="0" b="0"/>
            <wp:docPr id="1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
                    <pic:cNvPicPr>
                      <a:picLocks noChangeAspect="1" noChangeArrowheads="1"/>
                    </pic:cNvPicPr>
                  </pic:nvPicPr>
                  <pic:blipFill>
                    <a:blip r:embed="rId17"/>
                    <a:stretch>
                      <a:fillRect/>
                    </a:stretch>
                  </pic:blipFill>
                  <pic:spPr bwMode="auto">
                    <a:xfrm>
                      <a:off x="0" y="0"/>
                      <a:ext cx="5715000" cy="2256790"/>
                    </a:xfrm>
                    <a:prstGeom prst="rect">
                      <a:avLst/>
                    </a:prstGeom>
                  </pic:spPr>
                </pic:pic>
              </a:graphicData>
            </a:graphic>
          </wp:inline>
        </w:drawing>
      </w:r>
    </w:p>
    <w:p>
      <w:pPr>
        <w:pStyle w:val="Normal"/>
        <w:spacing w:before="80" w:after="120"/>
        <w:jc w:val="center"/>
        <w:rPr/>
      </w:pPr>
      <w:r>
        <w:rPr>
          <w:rFonts w:ascii="Times New Roman" w:hAnsi="Times New Roman" w:eastAsia="黑体"/>
          <w:b w:val="false"/>
          <w:sz w:val="21"/>
        </w:rPr>
        <w:t>图</w:t>
      </w:r>
      <w:r>
        <w:rPr>
          <w:rFonts w:eastAsia="黑体"/>
          <w:b w:val="false"/>
          <w:sz w:val="21"/>
        </w:rPr>
        <w:t xml:space="preserve">3-2 </w:t>
      </w:r>
      <w:r>
        <w:rPr>
          <w:rFonts w:ascii="Times New Roman" w:hAnsi="Times New Roman" w:eastAsia="黑体"/>
          <w:b w:val="false"/>
          <w:sz w:val="21"/>
        </w:rPr>
        <w:t>动态状态—动作匹配策略网络</w:t>
      </w:r>
    </w:p>
    <w:p>
      <w:pPr>
        <w:pStyle w:val="231"/>
        <w:numPr>
          <w:ilvl w:val="2"/>
          <w:numId w:val="1"/>
        </w:numPr>
        <w:rPr/>
      </w:pPr>
      <w:bookmarkStart w:id="160" w:name="__RefHeading___Toc10374_2198631117"/>
      <w:bookmarkEnd w:id="160"/>
      <w:r>
        <w:rPr>
          <w:b w:val="false"/>
        </w:rPr>
        <w:t>奖励函数与策略训练</w:t>
      </w:r>
    </w:p>
    <w:p>
      <w:pPr>
        <w:pStyle w:val="Style12"/>
        <w:rPr/>
      </w:pPr>
      <w:r>
        <w:rPr>
          <w:b w:val="false"/>
        </w:rPr>
        <w:t xml:space="preserve">训练样本由验证集候选状态、动态提示动作和执行后的检测收益组成。奖励同时考虑普通召回、高 </w:t>
      </w:r>
      <w:r>
        <w:rPr>
          <w:b w:val="false"/>
        </w:rPr>
        <w:t xml:space="preserve">IoU </w:t>
      </w:r>
      <w:r>
        <w:rPr>
          <w:b w:val="false"/>
        </w:rPr>
        <w:t>召回、小目标召回和精度增量，并对新增候选数量、动作次数和不恰当的提前停止施加代价：</w:t>
      </w:r>
    </w:p>
    <w:p>
      <w:pPr>
        <w:pStyle w:val="Style12"/>
        <w:jc w:val="center"/>
        <w:rPr/>
      </w:pPr>
      <w:r>
        <w:rPr>
          <w:rFonts w:eastAsia="Cambria Math" w:ascii="Cambria Math" w:hAnsi="Cambria Math"/>
          <w:b w:val="false"/>
        </w:rPr>
        <w:t>R = 0.40ΔRecall + 0.22ΔRecall@0.75 + 0.45ΔSmallRecall + 0.15ΔPrecision</w:t>
      </w:r>
    </w:p>
    <w:p>
      <w:pPr>
        <w:pStyle w:val="Style12"/>
        <w:jc w:val="center"/>
        <w:rPr/>
      </w:pPr>
      <w:r>
        <w:rPr>
          <w:rFonts w:eastAsia="Cambria Math" w:ascii="Cambria Math" w:hAnsi="Cambria Math"/>
          <w:b w:val="false"/>
        </w:rPr>
        <w:t xml:space="preserve">    − </w:t>
      </w:r>
      <w:r>
        <w:rPr>
          <w:rFonts w:eastAsia="Cambria Math" w:ascii="Cambria Math" w:hAnsi="Cambria Math"/>
          <w:b w:val="false"/>
        </w:rPr>
        <w:t>0.010 Cost_box − 0.012 N_action − 0.012 I_stop</w:t>
      </w:r>
      <w:r>
        <w:rPr>
          <w:rFonts w:ascii="Cambria Math" w:hAnsi="Cambria Math" w:eastAsia="Cambria Math"/>
          <w:b w:val="false"/>
        </w:rPr>
        <w:t>。                    （</w:t>
      </w:r>
      <w:r>
        <w:rPr>
          <w:rFonts w:eastAsia="Cambria Math" w:ascii="Cambria Math" w:hAnsi="Cambria Math"/>
          <w:b w:val="false"/>
        </w:rPr>
        <w:t>3-6</w:t>
      </w:r>
      <w:r>
        <w:rPr>
          <w:rFonts w:ascii="Cambria Math" w:hAnsi="Cambria Math" w:eastAsia="Cambria Math"/>
          <w:b w:val="false"/>
        </w:rPr>
        <w:t>）</w:t>
      </w:r>
    </w:p>
    <w:p>
      <w:pPr>
        <w:pStyle w:val="Style12"/>
        <w:rPr/>
      </w:pPr>
      <w:r>
        <w:rPr>
          <w:b w:val="false"/>
        </w:rPr>
        <w:t xml:space="preserve">对于同一状态下的候选动作组，先将真实奖励按温度系数转化为软目标分布，再用交叉熵项、期望奖励项和熵正则联合优化策略。该训练方式并非让 </w:t>
      </w:r>
      <w:r>
        <w:rPr>
          <w:b w:val="false"/>
        </w:rPr>
        <w:t xml:space="preserve">Qwen </w:t>
      </w:r>
      <w:r>
        <w:rPr>
          <w:b w:val="false"/>
        </w:rPr>
        <w:t xml:space="preserve">参与参数更新，而是学习在给定候选状态下如何评价 </w:t>
      </w:r>
      <w:r>
        <w:rPr>
          <w:b w:val="false"/>
        </w:rPr>
        <w:t xml:space="preserve">Qwen </w:t>
      </w:r>
      <w:r>
        <w:rPr>
          <w:b w:val="false"/>
        </w:rPr>
        <w:t xml:space="preserve">提出的动作。最佳动态策略在约第 </w:t>
      </w:r>
      <w:r>
        <w:rPr>
          <w:b w:val="false"/>
        </w:rPr>
        <w:t xml:space="preserve">50 </w:t>
      </w:r>
      <w:r>
        <w:rPr>
          <w:b w:val="false"/>
        </w:rPr>
        <w:t xml:space="preserve">个 </w:t>
      </w:r>
      <w:r>
        <w:rPr>
          <w:b w:val="false"/>
        </w:rPr>
        <w:t xml:space="preserve">epoch </w:t>
      </w:r>
      <w:r>
        <w:rPr>
          <w:b w:val="false"/>
        </w:rPr>
        <w:t xml:space="preserve">获得验证集平均奖励 </w:t>
      </w:r>
      <w:r>
        <w:rPr>
          <w:b w:val="false"/>
        </w:rPr>
        <w:t>0.028201</w:t>
      </w:r>
      <w:r>
        <w:rPr>
          <w:b w:val="false"/>
        </w:rPr>
        <w:t xml:space="preserve">，状态维数和动作特征维数分别为 </w:t>
      </w:r>
      <w:r>
        <w:rPr>
          <w:b w:val="false"/>
        </w:rPr>
        <w:t xml:space="preserve">38 </w:t>
      </w:r>
      <w:r>
        <w:rPr>
          <w:b w:val="false"/>
        </w:rPr>
        <w:t xml:space="preserve">和 </w:t>
      </w:r>
      <w:r>
        <w:rPr>
          <w:b w:val="false"/>
        </w:rPr>
        <w:t>20</w:t>
      </w:r>
      <w:r>
        <w:rPr>
          <w:b w:val="false"/>
        </w:rPr>
        <w:t>。</w:t>
      </w:r>
    </w:p>
    <w:p>
      <w:pPr>
        <w:pStyle w:val="231"/>
        <w:numPr>
          <w:ilvl w:val="2"/>
          <w:numId w:val="1"/>
        </w:numPr>
        <w:rPr/>
      </w:pPr>
      <w:bookmarkStart w:id="161" w:name="__RefHeading___Toc10372_2198631117"/>
      <w:bookmarkEnd w:id="161"/>
      <w:r>
        <w:rPr>
          <w:b w:val="false"/>
        </w:rPr>
        <w:t>多轮闭环推理</w:t>
      </w:r>
    </w:p>
    <w:p>
      <w:pPr>
        <w:pStyle w:val="Style12"/>
        <w:rPr/>
      </w:pPr>
      <w:r>
        <w:rPr>
          <w:b w:val="false"/>
        </w:rPr>
        <w:t xml:space="preserve">每轮若选择扩展动作，系统直接使用对应提示词调用 </w:t>
      </w:r>
      <w:r>
        <w:rPr>
          <w:b w:val="false"/>
        </w:rPr>
        <w:t>Grounding DINO</w:t>
      </w:r>
      <w:r>
        <w:rPr>
          <w:b w:val="false"/>
        </w:rPr>
        <w:t xml:space="preserve">，并将新候选与当前候选池合并。对于同类别且 </w:t>
      </w:r>
      <w:r>
        <w:rPr>
          <w:b w:val="false"/>
        </w:rPr>
        <w:t xml:space="preserve">IoU </w:t>
      </w:r>
      <w:r>
        <w:rPr>
          <w:b w:val="false"/>
        </w:rPr>
        <w:t xml:space="preserve">不低于 </w:t>
      </w:r>
      <w:r>
        <w:rPr>
          <w:b w:val="false"/>
        </w:rPr>
        <w:t xml:space="preserve">0.92 </w:t>
      </w:r>
      <w:r>
        <w:rPr>
          <w:b w:val="false"/>
        </w:rPr>
        <w:t>的高度重复框，仅保留分数更高者：</w:t>
      </w:r>
    </w:p>
    <w:p>
      <w:pPr>
        <w:pStyle w:val="Style12"/>
        <w:jc w:val="center"/>
        <w:rPr/>
      </w:pPr>
      <w:r>
        <w:rPr>
          <w:rFonts w:eastAsia="Cambria Math" w:ascii="Cambria Math" w:hAnsi="Cambria Math"/>
          <w:b w:val="false"/>
        </w:rPr>
        <w:t>C_(t+1) = Dedup(C_t ∪ F_GDINO(I,p_(a_t)))</w:t>
      </w:r>
      <w:r>
        <w:rPr>
          <w:rFonts w:ascii="Cambria Math" w:hAnsi="Cambria Math" w:eastAsia="Cambria Math"/>
          <w:b w:val="false"/>
        </w:rPr>
        <w:t>。                 （</w:t>
      </w:r>
      <w:r>
        <w:rPr>
          <w:rFonts w:eastAsia="Cambria Math" w:ascii="Cambria Math" w:hAnsi="Cambria Math"/>
          <w:b w:val="false"/>
        </w:rPr>
        <w:t>3-7</w:t>
      </w:r>
      <w:r>
        <w:rPr>
          <w:rFonts w:ascii="Cambria Math" w:hAnsi="Cambria Math" w:eastAsia="Cambria Math"/>
          <w:b w:val="false"/>
        </w:rPr>
        <w:t>）</w:t>
      </w:r>
    </w:p>
    <w:p>
      <w:pPr>
        <w:pStyle w:val="Style12"/>
        <w:rPr/>
      </w:pPr>
      <w:r>
        <w:rPr>
          <w:b w:val="false"/>
        </w:rPr>
        <w:t xml:space="preserve">若选择 </w:t>
      </w:r>
      <w:r>
        <w:rPr>
          <w:b w:val="false"/>
        </w:rPr>
        <w:t>STOP</w:t>
      </w:r>
      <w:r>
        <w:rPr>
          <w:b w:val="false"/>
        </w:rPr>
        <w:t xml:space="preserve">，则 </w:t>
      </w:r>
      <w:r>
        <w:rPr>
          <w:b w:val="false"/>
        </w:rPr>
        <w:t>Ct+1= Ct</w:t>
      </w:r>
      <w:r>
        <w:rPr>
          <w:b w:val="false"/>
        </w:rPr>
        <w:t xml:space="preserve">。默认三轮推理包含 </w:t>
      </w:r>
      <w:r>
        <w:rPr>
          <w:b w:val="false"/>
        </w:rPr>
        <w:t xml:space="preserve">C0 </w:t>
      </w:r>
      <w:r>
        <w:rPr>
          <w:b w:val="false"/>
        </w:rPr>
        <w:t xml:space="preserve">和两次策略决策。闭环轮数并非越多越好：更多轮次可补充有效候选，但也会增加动作调用和候选规模，因此第 </w:t>
      </w:r>
      <w:r>
        <w:rPr>
          <w:b w:val="false"/>
        </w:rPr>
        <w:t xml:space="preserve">4 </w:t>
      </w:r>
      <w:r>
        <w:rPr>
          <w:b w:val="false"/>
        </w:rPr>
        <w:t xml:space="preserve">章将对 </w:t>
      </w:r>
      <w:r>
        <w:rPr>
          <w:b w:val="false"/>
        </w:rPr>
        <w:t>2</w:t>
      </w:r>
      <w:r>
        <w:rPr>
          <w:b w:val="false"/>
        </w:rPr>
        <w:t>、</w:t>
      </w:r>
      <w:r>
        <w:rPr>
          <w:b w:val="false"/>
        </w:rPr>
        <w:t>3</w:t>
      </w:r>
      <w:r>
        <w:rPr>
          <w:b w:val="false"/>
        </w:rPr>
        <w:t>、</w:t>
      </w:r>
      <w:r>
        <w:rPr>
          <w:b w:val="false"/>
        </w:rPr>
        <w:t xml:space="preserve">4 </w:t>
      </w:r>
      <w:r>
        <w:rPr>
          <w:b w:val="false"/>
        </w:rPr>
        <w:t>轮进行同策略消融。</w:t>
      </w:r>
    </w:p>
    <w:p>
      <w:pPr>
        <w:pStyle w:val="23"/>
        <w:numPr>
          <w:ilvl w:val="1"/>
          <w:numId w:val="1"/>
        </w:numPr>
        <w:rPr/>
      </w:pPr>
      <w:bookmarkStart w:id="162" w:name="__RefHeading___Toc10330_2198631117"/>
      <w:bookmarkEnd w:id="162"/>
      <w:r>
        <w:rPr>
          <w:b w:val="false"/>
        </w:rPr>
        <w:t>富元信息融合排序器</w:t>
      </w:r>
    </w:p>
    <w:p>
      <w:pPr>
        <w:pStyle w:val="231"/>
        <w:numPr>
          <w:ilvl w:val="2"/>
          <w:numId w:val="1"/>
        </w:numPr>
        <w:rPr/>
      </w:pPr>
      <w:bookmarkStart w:id="163" w:name="__RefHeading___Toc10370_2198631117"/>
      <w:bookmarkEnd w:id="163"/>
      <w:r>
        <w:rPr>
          <w:b w:val="false"/>
        </w:rPr>
        <w:t>候选匹配与富元信息构建</w:t>
      </w:r>
    </w:p>
    <w:p>
      <w:pPr>
        <w:pStyle w:val="Style12"/>
        <w:rPr/>
      </w:pPr>
      <w:r>
        <w:rPr>
          <w:b w:val="false"/>
        </w:rPr>
        <w:t xml:space="preserve">RL </w:t>
      </w:r>
      <w:r>
        <w:rPr>
          <w:b w:val="false"/>
        </w:rPr>
        <w:t xml:space="preserve">解决“是否继续生成以及使用什么提示生成”的问题，富元信息融合排序器 进一步解决“哪些候选应排在前面”的问题。对于闭环输出候选，系统按类别和 </w:t>
      </w:r>
      <w:r>
        <w:rPr>
          <w:b w:val="false"/>
        </w:rPr>
        <w:t xml:space="preserve">IoU </w:t>
      </w:r>
      <w:r>
        <w:rPr>
          <w:b w:val="false"/>
        </w:rPr>
        <w:t xml:space="preserve">与在线 </w:t>
      </w:r>
      <w:r>
        <w:rPr>
          <w:b w:val="false"/>
        </w:rPr>
        <w:t xml:space="preserve">metadata </w:t>
      </w:r>
      <w:r>
        <w:rPr>
          <w:b w:val="false"/>
        </w:rPr>
        <w:t xml:space="preserve">记录匹配，并构造固定 </w:t>
      </w:r>
      <w:r>
        <w:rPr>
          <w:b w:val="false"/>
        </w:rPr>
        <w:t xml:space="preserve">68 </w:t>
      </w:r>
      <w:r>
        <w:rPr>
          <w:b w:val="false"/>
        </w:rPr>
        <w:t>维富元信息。特征包括多路置信度及交互项、面积与宽高等几何量、</w:t>
      </w:r>
      <w:r>
        <w:rPr>
          <w:b w:val="false"/>
        </w:rPr>
        <w:t xml:space="preserve">query </w:t>
      </w:r>
      <w:r>
        <w:rPr>
          <w:b w:val="false"/>
        </w:rPr>
        <w:t>匹配分数、</w:t>
      </w:r>
      <w:r>
        <w:rPr>
          <w:b w:val="false"/>
        </w:rPr>
        <w:t>source_prompt</w:t>
      </w:r>
      <w:r>
        <w:rPr>
          <w:b w:val="false"/>
        </w:rPr>
        <w:t>、</w:t>
      </w:r>
      <w:r>
        <w:rPr>
          <w:b w:val="false"/>
        </w:rPr>
        <w:t>source_type</w:t>
      </w:r>
      <w:r>
        <w:rPr>
          <w:b w:val="false"/>
        </w:rPr>
        <w:t>、</w:t>
      </w:r>
      <w:r>
        <w:rPr>
          <w:b w:val="false"/>
        </w:rPr>
        <w:t>source_class_id</w:t>
      </w:r>
      <w:r>
        <w:rPr>
          <w:b w:val="false"/>
        </w:rPr>
        <w:t xml:space="preserve">、类别与尺寸先验、候选 </w:t>
      </w:r>
      <w:r>
        <w:rPr>
          <w:b w:val="false"/>
        </w:rPr>
        <w:t xml:space="preserve">rank </w:t>
      </w:r>
      <w:r>
        <w:rPr>
          <w:b w:val="false"/>
        </w:rPr>
        <w:t xml:space="preserve">和类别 </w:t>
      </w:r>
      <w:r>
        <w:rPr>
          <w:b w:val="false"/>
        </w:rPr>
        <w:t xml:space="preserve">one-hot </w:t>
      </w:r>
      <w:r>
        <w:rPr>
          <w:b w:val="false"/>
        </w:rPr>
        <w:t>等。</w:t>
      </w:r>
    </w:p>
    <w:p>
      <w:pPr>
        <w:pStyle w:val="Normal"/>
        <w:spacing w:before="120" w:after="80"/>
        <w:jc w:val="center"/>
        <w:rPr/>
      </w:pPr>
      <w:r>
        <w:rPr>
          <w:rFonts w:ascii="Times New Roman" w:hAnsi="Times New Roman" w:eastAsia="黑体"/>
          <w:b w:val="false"/>
          <w:sz w:val="21"/>
        </w:rPr>
        <w:t>表</w:t>
      </w:r>
      <w:r>
        <w:rPr>
          <w:rFonts w:eastAsia="黑体"/>
          <w:b w:val="false"/>
          <w:sz w:val="21"/>
        </w:rPr>
        <w:t xml:space="preserve">3-2 </w:t>
      </w:r>
      <w:r>
        <w:rPr>
          <w:rFonts w:ascii="Times New Roman" w:hAnsi="Times New Roman" w:eastAsia="黑体"/>
          <w:b w:val="false"/>
          <w:sz w:val="21"/>
        </w:rPr>
        <w:t>富元信息融合排序器的特征组成</w:t>
      </w:r>
    </w:p>
    <w:tbl>
      <w:tblPr>
        <w:tblStyle w:val="15"/>
        <w:tblW w:w="85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35"/>
        <w:gridCol w:w="2835"/>
        <w:gridCol w:w="2835"/>
      </w:tblGrid>
      <w:tr>
        <w:trPr>
          <w:tblHeader w:val="true"/>
        </w:trPr>
        <w:tc>
          <w:tcPr>
            <w:tcW w:w="2835" w:type="dxa"/>
            <w:tcBorders/>
            <w:shd w:fill="1E3D59"/>
            <w:vAlign w:val="center"/>
          </w:tcPr>
          <w:p>
            <w:pPr>
              <w:pStyle w:val="Normal"/>
              <w:widowControl w:val="false"/>
              <w:spacing w:before="0" w:after="0"/>
              <w:jc w:val="center"/>
              <w:rPr/>
            </w:pPr>
            <w:r>
              <w:rPr>
                <w:rFonts w:ascii="Times New Roman" w:hAnsi="Times New Roman"/>
                <w:b/>
                <w:color w:val="FFFFFF"/>
                <w:sz w:val="16"/>
              </w:rPr>
              <w:t>特征组</w:t>
            </w:r>
          </w:p>
        </w:tc>
        <w:tc>
          <w:tcPr>
            <w:tcW w:w="2835" w:type="dxa"/>
            <w:tcBorders/>
            <w:shd w:fill="1E3D59"/>
            <w:vAlign w:val="center"/>
          </w:tcPr>
          <w:p>
            <w:pPr>
              <w:pStyle w:val="Normal"/>
              <w:widowControl w:val="false"/>
              <w:spacing w:before="0" w:after="0"/>
              <w:jc w:val="center"/>
              <w:rPr/>
            </w:pPr>
            <w:r>
              <w:rPr>
                <w:rFonts w:ascii="Times New Roman" w:hAnsi="Times New Roman"/>
                <w:b/>
                <w:color w:val="FFFFFF"/>
                <w:sz w:val="16"/>
              </w:rPr>
              <w:t>代表字段</w:t>
            </w:r>
          </w:p>
        </w:tc>
        <w:tc>
          <w:tcPr>
            <w:tcW w:w="2835" w:type="dxa"/>
            <w:tcBorders/>
            <w:shd w:fill="1E3D59"/>
            <w:vAlign w:val="center"/>
          </w:tcPr>
          <w:p>
            <w:pPr>
              <w:pStyle w:val="Normal"/>
              <w:widowControl w:val="false"/>
              <w:spacing w:before="0" w:after="0"/>
              <w:jc w:val="center"/>
              <w:rPr/>
            </w:pPr>
            <w:r>
              <w:rPr>
                <w:rFonts w:ascii="Times New Roman" w:hAnsi="Times New Roman"/>
                <w:b/>
                <w:color w:val="FFFFFF"/>
                <w:sz w:val="16"/>
              </w:rPr>
              <w:t>作用</w:t>
            </w:r>
          </w:p>
        </w:tc>
      </w:tr>
      <w:tr>
        <w:trPr/>
        <w:tc>
          <w:tcPr>
            <w:tcW w:w="2835" w:type="dxa"/>
            <w:tcBorders/>
            <w:vAlign w:val="center"/>
          </w:tcPr>
          <w:p>
            <w:pPr>
              <w:pStyle w:val="Normal"/>
              <w:widowControl w:val="false"/>
              <w:spacing w:before="0" w:after="0"/>
              <w:jc w:val="center"/>
              <w:rPr/>
            </w:pPr>
            <w:r>
              <w:rPr>
                <w:rFonts w:ascii="Times New Roman" w:hAnsi="Times New Roman"/>
                <w:b w:val="false"/>
                <w:sz w:val="16"/>
              </w:rPr>
              <w:t>分数及交互</w:t>
            </w:r>
          </w:p>
        </w:tc>
        <w:tc>
          <w:tcPr>
            <w:tcW w:w="2835" w:type="dxa"/>
            <w:tcBorders/>
            <w:vAlign w:val="center"/>
          </w:tcPr>
          <w:p>
            <w:pPr>
              <w:pStyle w:val="Normal"/>
              <w:widowControl w:val="false"/>
              <w:spacing w:before="0" w:after="0"/>
              <w:jc w:val="center"/>
              <w:rPr/>
            </w:pPr>
            <w:r>
              <w:rPr>
                <w:rFonts w:eastAsia="宋体"/>
                <w:b w:val="false"/>
                <w:sz w:val="16"/>
              </w:rPr>
              <w:t xml:space="preserve">final/gdino/query/alias </w:t>
            </w:r>
            <w:r>
              <w:rPr>
                <w:rFonts w:ascii="Times New Roman" w:hAnsi="Times New Roman"/>
                <w:b w:val="false"/>
                <w:sz w:val="16"/>
              </w:rPr>
              <w:t>等分数、差值与乘积</w:t>
            </w:r>
          </w:p>
        </w:tc>
        <w:tc>
          <w:tcPr>
            <w:tcW w:w="2835" w:type="dxa"/>
            <w:tcBorders/>
            <w:vAlign w:val="center"/>
          </w:tcPr>
          <w:p>
            <w:pPr>
              <w:pStyle w:val="Normal"/>
              <w:widowControl w:val="false"/>
              <w:spacing w:before="0" w:after="0"/>
              <w:jc w:val="center"/>
              <w:rPr/>
            </w:pPr>
            <w:r>
              <w:rPr>
                <w:rFonts w:ascii="Times New Roman" w:hAnsi="Times New Roman"/>
                <w:b w:val="false"/>
                <w:sz w:val="16"/>
              </w:rPr>
              <w:t>描述多路模型响应及一致性</w:t>
            </w:r>
          </w:p>
        </w:tc>
      </w:tr>
      <w:tr>
        <w:trPr/>
        <w:tc>
          <w:tcPr>
            <w:tcW w:w="2835" w:type="dxa"/>
            <w:tcBorders/>
            <w:vAlign w:val="center"/>
          </w:tcPr>
          <w:p>
            <w:pPr>
              <w:pStyle w:val="Normal"/>
              <w:widowControl w:val="false"/>
              <w:spacing w:before="0" w:after="0"/>
              <w:jc w:val="center"/>
              <w:rPr/>
            </w:pPr>
            <w:r>
              <w:rPr>
                <w:rFonts w:ascii="Times New Roman" w:hAnsi="Times New Roman"/>
                <w:b w:val="false"/>
                <w:sz w:val="16"/>
              </w:rPr>
              <w:t>几何与排序</w:t>
            </w:r>
          </w:p>
        </w:tc>
        <w:tc>
          <w:tcPr>
            <w:tcW w:w="2835" w:type="dxa"/>
            <w:tcBorders/>
            <w:vAlign w:val="center"/>
          </w:tcPr>
          <w:p>
            <w:pPr>
              <w:pStyle w:val="Normal"/>
              <w:widowControl w:val="false"/>
              <w:spacing w:before="0" w:after="0"/>
              <w:jc w:val="center"/>
              <w:rPr/>
            </w:pPr>
            <w:r>
              <w:rPr>
                <w:rFonts w:ascii="Times New Roman" w:hAnsi="Times New Roman"/>
                <w:b w:val="false"/>
                <w:sz w:val="16"/>
              </w:rPr>
              <w:t xml:space="preserve">面积、宽高、宽高比、中心、候选 </w:t>
            </w:r>
            <w:r>
              <w:rPr>
                <w:rFonts w:eastAsia="宋体"/>
                <w:b w:val="false"/>
                <w:sz w:val="16"/>
              </w:rPr>
              <w:t>rank</w:t>
            </w:r>
          </w:p>
        </w:tc>
        <w:tc>
          <w:tcPr>
            <w:tcW w:w="2835" w:type="dxa"/>
            <w:tcBorders/>
            <w:vAlign w:val="center"/>
          </w:tcPr>
          <w:p>
            <w:pPr>
              <w:pStyle w:val="Normal"/>
              <w:widowControl w:val="false"/>
              <w:spacing w:before="0" w:after="0"/>
              <w:jc w:val="center"/>
              <w:rPr/>
            </w:pPr>
            <w:r>
              <w:rPr>
                <w:rFonts w:ascii="Times New Roman" w:hAnsi="Times New Roman"/>
                <w:b w:val="false"/>
                <w:sz w:val="16"/>
              </w:rPr>
              <w:t>描述尺度、位置和初始排序</w:t>
            </w:r>
          </w:p>
        </w:tc>
      </w:tr>
      <w:tr>
        <w:trPr/>
        <w:tc>
          <w:tcPr>
            <w:tcW w:w="2835" w:type="dxa"/>
            <w:tcBorders/>
            <w:vAlign w:val="center"/>
          </w:tcPr>
          <w:p>
            <w:pPr>
              <w:pStyle w:val="Normal"/>
              <w:widowControl w:val="false"/>
              <w:spacing w:before="0" w:after="0"/>
              <w:jc w:val="center"/>
              <w:rPr/>
            </w:pPr>
            <w:r>
              <w:rPr>
                <w:rFonts w:ascii="Times New Roman" w:hAnsi="Times New Roman"/>
                <w:b w:val="false"/>
                <w:sz w:val="16"/>
              </w:rPr>
              <w:t>候选来源</w:t>
            </w:r>
          </w:p>
        </w:tc>
        <w:tc>
          <w:tcPr>
            <w:tcW w:w="2835" w:type="dxa"/>
            <w:tcBorders/>
            <w:vAlign w:val="center"/>
          </w:tcPr>
          <w:p>
            <w:pPr>
              <w:pStyle w:val="Normal"/>
              <w:widowControl w:val="false"/>
              <w:spacing w:before="0" w:after="0"/>
              <w:jc w:val="center"/>
              <w:rPr/>
            </w:pPr>
            <w:r>
              <w:rPr>
                <w:rFonts w:eastAsia="宋体"/>
                <w:b w:val="false"/>
                <w:sz w:val="16"/>
              </w:rPr>
              <w:t>source_prompt</w:t>
            </w:r>
            <w:r>
              <w:rPr>
                <w:rFonts w:ascii="Times New Roman" w:hAnsi="Times New Roman"/>
                <w:b w:val="false"/>
                <w:sz w:val="16"/>
              </w:rPr>
              <w:t>、</w:t>
            </w:r>
            <w:r>
              <w:rPr>
                <w:rFonts w:eastAsia="宋体"/>
                <w:b w:val="false"/>
                <w:sz w:val="16"/>
              </w:rPr>
              <w:t>source_type</w:t>
            </w:r>
            <w:r>
              <w:rPr>
                <w:rFonts w:ascii="Times New Roman" w:hAnsi="Times New Roman"/>
                <w:b w:val="false"/>
                <w:sz w:val="16"/>
              </w:rPr>
              <w:t>、</w:t>
            </w:r>
            <w:r>
              <w:rPr>
                <w:rFonts w:eastAsia="宋体"/>
                <w:b w:val="false"/>
                <w:sz w:val="16"/>
              </w:rPr>
              <w:t>source_class_id</w:t>
            </w:r>
          </w:p>
        </w:tc>
        <w:tc>
          <w:tcPr>
            <w:tcW w:w="2835" w:type="dxa"/>
            <w:tcBorders/>
            <w:vAlign w:val="center"/>
          </w:tcPr>
          <w:p>
            <w:pPr>
              <w:pStyle w:val="Normal"/>
              <w:widowControl w:val="false"/>
              <w:spacing w:before="0" w:after="0"/>
              <w:jc w:val="center"/>
              <w:rPr/>
            </w:pPr>
            <w:r>
              <w:rPr>
                <w:rFonts w:ascii="Times New Roman" w:hAnsi="Times New Roman"/>
                <w:b w:val="false"/>
                <w:sz w:val="16"/>
              </w:rPr>
              <w:t>建模不同提示来源的系统偏差</w:t>
            </w:r>
          </w:p>
        </w:tc>
      </w:tr>
      <w:tr>
        <w:trPr/>
        <w:tc>
          <w:tcPr>
            <w:tcW w:w="2835" w:type="dxa"/>
            <w:tcBorders/>
            <w:vAlign w:val="center"/>
          </w:tcPr>
          <w:p>
            <w:pPr>
              <w:pStyle w:val="Normal"/>
              <w:widowControl w:val="false"/>
              <w:spacing w:before="0" w:after="0"/>
              <w:jc w:val="center"/>
              <w:rPr/>
            </w:pPr>
            <w:r>
              <w:rPr>
                <w:rFonts w:ascii="Times New Roman" w:hAnsi="Times New Roman"/>
                <w:b w:val="false"/>
                <w:sz w:val="16"/>
              </w:rPr>
              <w:t>类别与先验</w:t>
            </w:r>
          </w:p>
        </w:tc>
        <w:tc>
          <w:tcPr>
            <w:tcW w:w="2835" w:type="dxa"/>
            <w:tcBorders/>
            <w:vAlign w:val="center"/>
          </w:tcPr>
          <w:p>
            <w:pPr>
              <w:pStyle w:val="Normal"/>
              <w:widowControl w:val="false"/>
              <w:spacing w:before="0" w:after="0"/>
              <w:jc w:val="center"/>
              <w:rPr/>
            </w:pPr>
            <w:r>
              <w:rPr>
                <w:rFonts w:ascii="Times New Roman" w:hAnsi="Times New Roman"/>
                <w:b w:val="false"/>
                <w:sz w:val="16"/>
              </w:rPr>
              <w:t xml:space="preserve">类别 </w:t>
            </w:r>
            <w:r>
              <w:rPr>
                <w:rFonts w:eastAsia="宋体"/>
                <w:b w:val="false"/>
                <w:sz w:val="16"/>
              </w:rPr>
              <w:t>one-hot</w:t>
            </w:r>
            <w:r>
              <w:rPr>
                <w:rFonts w:ascii="Times New Roman" w:hAnsi="Times New Roman"/>
                <w:b w:val="false"/>
                <w:sz w:val="16"/>
              </w:rPr>
              <w:t>、尺寸层级、小目标先验</w:t>
            </w:r>
          </w:p>
        </w:tc>
        <w:tc>
          <w:tcPr>
            <w:tcW w:w="2835" w:type="dxa"/>
            <w:tcBorders/>
            <w:vAlign w:val="center"/>
          </w:tcPr>
          <w:p>
            <w:pPr>
              <w:pStyle w:val="Normal"/>
              <w:widowControl w:val="false"/>
              <w:spacing w:before="0" w:after="0"/>
              <w:jc w:val="center"/>
              <w:rPr/>
            </w:pPr>
            <w:r>
              <w:rPr>
                <w:rFonts w:ascii="Times New Roman" w:hAnsi="Times New Roman"/>
                <w:b w:val="false"/>
                <w:sz w:val="16"/>
              </w:rPr>
              <w:t>提供航拍类别与尺度信息</w:t>
            </w:r>
          </w:p>
        </w:tc>
      </w:tr>
      <w:tr>
        <w:trPr/>
        <w:tc>
          <w:tcPr>
            <w:tcW w:w="2835" w:type="dxa"/>
            <w:tcBorders/>
            <w:shd w:fill="E1EFFA"/>
            <w:vAlign w:val="center"/>
          </w:tcPr>
          <w:p>
            <w:pPr>
              <w:pStyle w:val="Normal"/>
              <w:widowControl w:val="false"/>
              <w:spacing w:before="0" w:after="0"/>
              <w:jc w:val="center"/>
              <w:rPr/>
            </w:pPr>
            <w:r>
              <w:rPr>
                <w:rFonts w:ascii="Times New Roman" w:hAnsi="Times New Roman"/>
                <w:b/>
                <w:sz w:val="16"/>
              </w:rPr>
              <w:t>完整输入</w:t>
            </w:r>
          </w:p>
        </w:tc>
        <w:tc>
          <w:tcPr>
            <w:tcW w:w="2835" w:type="dxa"/>
            <w:tcBorders/>
            <w:shd w:fill="E1EFFA"/>
            <w:vAlign w:val="center"/>
          </w:tcPr>
          <w:p>
            <w:pPr>
              <w:pStyle w:val="Normal"/>
              <w:widowControl w:val="false"/>
              <w:spacing w:before="0" w:after="0"/>
              <w:jc w:val="center"/>
              <w:rPr/>
            </w:pPr>
            <w:r>
              <w:rPr>
                <w:rFonts w:eastAsia="宋体"/>
                <w:b/>
                <w:sz w:val="16"/>
              </w:rPr>
              <w:t>68</w:t>
            </w:r>
            <w:r>
              <w:rPr>
                <w:rFonts w:ascii="Times New Roman" w:hAnsi="Times New Roman"/>
                <w:b/>
                <w:sz w:val="16"/>
              </w:rPr>
              <w:t>维固定槽位</w:t>
            </w:r>
          </w:p>
        </w:tc>
        <w:tc>
          <w:tcPr>
            <w:tcW w:w="2835" w:type="dxa"/>
            <w:tcBorders/>
            <w:shd w:fill="E1EFFA"/>
            <w:vAlign w:val="center"/>
          </w:tcPr>
          <w:p>
            <w:pPr>
              <w:pStyle w:val="Normal"/>
              <w:widowControl w:val="false"/>
              <w:spacing w:before="0" w:after="0"/>
              <w:jc w:val="center"/>
              <w:rPr/>
            </w:pPr>
            <w:r>
              <w:rPr>
                <w:rFonts w:ascii="Times New Roman" w:hAnsi="Times New Roman"/>
                <w:b/>
                <w:sz w:val="16"/>
              </w:rPr>
              <w:t xml:space="preserve">输入 </w:t>
            </w:r>
            <w:r>
              <w:rPr>
                <w:rFonts w:eastAsia="宋体"/>
                <w:b/>
                <w:sz w:val="16"/>
              </w:rPr>
              <w:t>RichFusionModel</w:t>
            </w:r>
          </w:p>
        </w:tc>
      </w:tr>
    </w:tbl>
    <w:p>
      <w:pPr>
        <w:pStyle w:val="Style12"/>
        <w:rPr/>
      </w:pPr>
      <w:r>
        <w:rPr/>
      </w:r>
    </w:p>
    <w:p>
      <w:pPr>
        <w:pStyle w:val="231"/>
        <w:numPr>
          <w:ilvl w:val="2"/>
          <w:numId w:val="1"/>
        </w:numPr>
        <w:rPr/>
      </w:pPr>
      <w:bookmarkStart w:id="164" w:name="__RefHeading___Toc10368_2198631117"/>
      <w:bookmarkEnd w:id="164"/>
      <w:r>
        <w:rPr>
          <w:b w:val="false"/>
        </w:rPr>
        <w:t>排序模型与分数融合</w:t>
      </w:r>
    </w:p>
    <w:p>
      <w:pPr>
        <w:pStyle w:val="Style12"/>
        <w:rPr/>
      </w:pPr>
      <w:r>
        <w:rPr>
          <w:b w:val="false"/>
        </w:rPr>
        <w:t xml:space="preserve">富元信息融合排序器由别名候选重排分支与 </w:t>
      </w:r>
      <w:r>
        <w:rPr>
          <w:b w:val="false"/>
        </w:rPr>
        <w:t xml:space="preserve">RichFusionModel </w:t>
      </w:r>
      <w:r>
        <w:rPr>
          <w:b w:val="false"/>
        </w:rPr>
        <w:t xml:space="preserve">组成。别名分支重点区分弱小类别真阳性与 </w:t>
      </w:r>
      <w:r>
        <w:rPr>
          <w:b w:val="false"/>
        </w:rPr>
        <w:t>hard negative</w:t>
      </w:r>
      <w:r>
        <w:rPr>
          <w:b w:val="false"/>
        </w:rPr>
        <w:t>；</w:t>
      </w:r>
      <w:r>
        <w:rPr>
          <w:b w:val="false"/>
        </w:rPr>
        <w:t xml:space="preserve">RichFusionModel </w:t>
      </w:r>
      <w:r>
        <w:rPr>
          <w:b w:val="false"/>
        </w:rPr>
        <w:t xml:space="preserve">对 </w:t>
      </w:r>
      <w:r>
        <w:rPr>
          <w:b w:val="false"/>
        </w:rPr>
        <w:t xml:space="preserve">68 </w:t>
      </w:r>
      <w:r>
        <w:rPr>
          <w:b w:val="false"/>
        </w:rPr>
        <w:t xml:space="preserve">维标准化特征进行 </w:t>
      </w:r>
      <w:r>
        <w:rPr>
          <w:b w:val="false"/>
        </w:rPr>
        <w:t xml:space="preserve">68→128→80→1 </w:t>
      </w:r>
      <w:r>
        <w:rPr>
          <w:b w:val="false"/>
        </w:rPr>
        <w:t xml:space="preserve">的非线性映射，并使用 </w:t>
      </w:r>
      <w:r>
        <w:rPr>
          <w:b w:val="false"/>
        </w:rPr>
        <w:t>LayerNorm</w:t>
      </w:r>
      <w:r>
        <w:rPr>
          <w:b w:val="false"/>
        </w:rPr>
        <w:t>、</w:t>
      </w:r>
      <w:r>
        <w:rPr>
          <w:b w:val="false"/>
        </w:rPr>
        <w:t xml:space="preserve">ReLU </w:t>
      </w:r>
      <w:r>
        <w:rPr>
          <w:b w:val="false"/>
        </w:rPr>
        <w:t xml:space="preserve">和 </w:t>
      </w:r>
      <w:r>
        <w:rPr>
          <w:b w:val="false"/>
        </w:rPr>
        <w:t>Dropout</w:t>
      </w:r>
      <w:r>
        <w:rPr>
          <w:b w:val="false"/>
        </w:rPr>
        <w:t xml:space="preserve">。最终分数由基础融合分数与富元信息预测分数线性组合，融合系数只在验证集 </w:t>
      </w:r>
      <w:r>
        <w:rPr>
          <w:b w:val="false"/>
        </w:rPr>
        <w:t xml:space="preserve">holdout </w:t>
      </w:r>
      <w:r>
        <w:rPr>
          <w:b w:val="false"/>
        </w:rPr>
        <w:t>上选择，测试集不参与调参。</w:t>
      </w:r>
    </w:p>
    <w:p>
      <w:pPr>
        <w:pStyle w:val="Style12"/>
        <w:jc w:val="center"/>
        <w:rPr/>
      </w:pPr>
      <w:r>
        <w:rPr>
          <w:rFonts w:eastAsia="Cambria Math" w:ascii="Cambria Math" w:hAnsi="Cambria Math"/>
          <w:b w:val="false"/>
        </w:rPr>
        <w:t>score_i^final = (1−α) score_i^base + α score_i^fusion</w:t>
      </w:r>
      <w:r>
        <w:rPr>
          <w:rFonts w:ascii="Cambria Math" w:hAnsi="Cambria Math" w:eastAsia="Cambria Math"/>
          <w:b w:val="false"/>
        </w:rPr>
        <w:t>。              （</w:t>
      </w:r>
      <w:r>
        <w:rPr>
          <w:rFonts w:eastAsia="Cambria Math" w:ascii="Cambria Math" w:hAnsi="Cambria Math"/>
          <w:b w:val="false"/>
        </w:rPr>
        <w:t>3-8</w:t>
      </w:r>
      <w:r>
        <w:rPr>
          <w:rFonts w:ascii="Cambria Math" w:hAnsi="Cambria Math" w:eastAsia="Cambria Math"/>
          <w:b w:val="false"/>
        </w:rPr>
        <w:t>）</w:t>
      </w:r>
    </w:p>
    <w:p>
      <w:pPr>
        <w:pStyle w:val="Style12"/>
        <w:rPr/>
      </w:pPr>
      <w:r>
        <w:rPr>
          <w:b w:val="false"/>
        </w:rPr>
        <w:t xml:space="preserve">排序训练使用 </w:t>
      </w:r>
      <w:r>
        <w:rPr>
          <w:b w:val="false"/>
        </w:rPr>
        <w:t xml:space="preserve">class-aware IoU </w:t>
      </w:r>
      <w:r>
        <w:rPr>
          <w:b w:val="false"/>
        </w:rPr>
        <w:t xml:space="preserve">匹配产生候选框级监督标签，同类且满足阈值的候选记为正样本，其余候选作为负样本或 </w:t>
      </w:r>
      <w:r>
        <w:rPr>
          <w:b w:val="false"/>
        </w:rPr>
        <w:t>hard negative</w:t>
      </w:r>
      <w:r>
        <w:rPr>
          <w:b w:val="false"/>
        </w:rPr>
        <w:t xml:space="preserve">。模型只重标定分数，不改变候选坐标和类别，因此固定候选集上的 </w:t>
      </w:r>
      <w:r>
        <w:rPr>
          <w:b w:val="false"/>
        </w:rPr>
        <w:t xml:space="preserve">mAP </w:t>
      </w:r>
      <w:r>
        <w:rPr>
          <w:b w:val="false"/>
        </w:rPr>
        <w:t>变化可直接用于衡量排序质量。</w:t>
      </w:r>
    </w:p>
    <w:p>
      <w:pPr>
        <w:pStyle w:val="231"/>
        <w:numPr>
          <w:ilvl w:val="2"/>
          <w:numId w:val="1"/>
        </w:numPr>
        <w:rPr/>
      </w:pPr>
      <w:bookmarkStart w:id="165" w:name="__RefHeading___Toc10366_2198631117"/>
      <w:bookmarkEnd w:id="165"/>
      <w:r>
        <w:rPr>
          <w:b w:val="false"/>
        </w:rPr>
        <w:t>类别感知后处理</w:t>
      </w:r>
    </w:p>
    <w:p>
      <w:pPr>
        <w:pStyle w:val="Style12"/>
        <w:rPr/>
      </w:pPr>
      <w:r>
        <w:rPr>
          <w:b w:val="false"/>
        </w:rPr>
        <w:t xml:space="preserve">重评分后，系统按照类别分别执行 </w:t>
      </w:r>
      <w:r>
        <w:rPr>
          <w:b w:val="false"/>
        </w:rPr>
        <w:t xml:space="preserve">NMS </w:t>
      </w:r>
      <w:r>
        <w:rPr>
          <w:b w:val="false"/>
        </w:rPr>
        <w:t xml:space="preserve">和 </w:t>
      </w:r>
      <w:r>
        <w:rPr>
          <w:b w:val="false"/>
        </w:rPr>
        <w:t xml:space="preserve">Top-K </w:t>
      </w:r>
      <w:r>
        <w:rPr>
          <w:b w:val="false"/>
        </w:rPr>
        <w:t>约束，避免不同类别之间相互抑制。该步骤删除高度重叠的同类框并控制每类输出规模，但不承担语义扩展或策略决策功能。至此，</w:t>
      </w:r>
      <w:r>
        <w:rPr>
          <w:b w:val="false"/>
        </w:rPr>
        <w:t>Qwen</w:t>
      </w:r>
      <w:r>
        <w:rPr>
          <w:b w:val="false"/>
        </w:rPr>
        <w:t>、</w:t>
      </w:r>
      <w:r>
        <w:rPr>
          <w:b w:val="false"/>
        </w:rPr>
        <w:t xml:space="preserve">RL </w:t>
      </w:r>
      <w:r>
        <w:rPr>
          <w:b w:val="false"/>
        </w:rPr>
        <w:t>与排序器形成清晰分工：</w:t>
      </w:r>
      <w:r>
        <w:rPr>
          <w:b w:val="false"/>
        </w:rPr>
        <w:t xml:space="preserve">Qwen </w:t>
      </w:r>
      <w:r>
        <w:rPr>
          <w:b w:val="false"/>
        </w:rPr>
        <w:t>提议可执行语义动作，</w:t>
      </w:r>
      <w:r>
        <w:rPr>
          <w:b w:val="false"/>
        </w:rPr>
        <w:t xml:space="preserve">RL </w:t>
      </w:r>
      <w:r>
        <w:rPr>
          <w:b w:val="false"/>
        </w:rPr>
        <w:t>分配扩展预算，</w:t>
      </w:r>
      <w:r>
        <w:rPr>
          <w:b w:val="false"/>
        </w:rPr>
        <w:t xml:space="preserve">Grounding DINO </w:t>
      </w:r>
      <w:r>
        <w:rPr>
          <w:b w:val="false"/>
        </w:rPr>
        <w:t>生成候选，富元信息融合排序器 校准候选排序。</w:t>
      </w:r>
    </w:p>
    <w:p>
      <w:pPr>
        <w:pStyle w:val="23"/>
        <w:numPr>
          <w:ilvl w:val="1"/>
          <w:numId w:val="1"/>
        </w:numPr>
        <w:rPr/>
      </w:pPr>
      <w:bookmarkStart w:id="166" w:name="__RefHeading___Toc10328_2198631117"/>
      <w:bookmarkEnd w:id="166"/>
      <w:r>
        <w:rPr>
          <w:b w:val="false"/>
        </w:rPr>
        <w:t>训练与推理流程</w:t>
      </w:r>
    </w:p>
    <w:p>
      <w:pPr>
        <w:pStyle w:val="Style12"/>
        <w:rPr/>
      </w:pPr>
      <w:r>
        <w:rPr>
          <w:b w:val="false"/>
        </w:rPr>
        <w:t xml:space="preserve">训练阶段分为两步。第一步在验证集上为 </w:t>
      </w:r>
      <w:r>
        <w:rPr>
          <w:b w:val="false"/>
        </w:rPr>
        <w:t xml:space="preserve">Qwen </w:t>
      </w:r>
      <w:r>
        <w:rPr>
          <w:b w:val="false"/>
        </w:rPr>
        <w:t xml:space="preserve">生成的各提示动作实际执行候选扩展，根据 </w:t>
      </w:r>
      <w:r>
        <w:rPr>
          <w:b w:val="false"/>
        </w:rPr>
        <w:t xml:space="preserve">GT </w:t>
      </w:r>
      <w:r>
        <w:rPr>
          <w:b w:val="false"/>
        </w:rPr>
        <w:t>匹配统计构造奖励表，训练动态状态—动作评分网络；第二步在固定训练</w:t>
      </w:r>
      <w:r>
        <w:rPr>
          <w:b w:val="false"/>
        </w:rPr>
        <w:t xml:space="preserve">/holdout </w:t>
      </w:r>
      <w:r>
        <w:rPr>
          <w:b w:val="false"/>
        </w:rPr>
        <w:t xml:space="preserve">划分上训练富元信息融合排序器，并仅用 </w:t>
      </w:r>
      <w:r>
        <w:rPr>
          <w:b w:val="false"/>
        </w:rPr>
        <w:t xml:space="preserve">holdout </w:t>
      </w:r>
      <w:r>
        <w:rPr>
          <w:b w:val="false"/>
        </w:rPr>
        <w:t xml:space="preserve">选择融合系数。两类模型均冻结 </w:t>
      </w:r>
      <w:r>
        <w:rPr>
          <w:b w:val="false"/>
        </w:rPr>
        <w:t xml:space="preserve">Grounding DINO </w:t>
      </w:r>
      <w:r>
        <w:rPr>
          <w:b w:val="false"/>
        </w:rPr>
        <w:t xml:space="preserve">和 </w:t>
      </w:r>
      <w:r>
        <w:rPr>
          <w:b w:val="false"/>
        </w:rPr>
        <w:t xml:space="preserve">Qwen </w:t>
      </w:r>
      <w:r>
        <w:rPr>
          <w:b w:val="false"/>
        </w:rPr>
        <w:t>主体参数，避免高成本端到端微调。</w:t>
      </w:r>
    </w:p>
    <w:p>
      <w:pPr>
        <w:pStyle w:val="Style12"/>
        <w:rPr/>
      </w:pPr>
      <w:r>
        <w:rPr>
          <w:b w:val="false"/>
        </w:rPr>
        <w:t xml:space="preserve">推理阶段不使用 </w:t>
      </w:r>
      <w:r>
        <w:rPr>
          <w:b w:val="false"/>
        </w:rPr>
        <w:t xml:space="preserve">GT </w:t>
      </w:r>
      <w:r>
        <w:rPr>
          <w:b w:val="false"/>
        </w:rPr>
        <w:t xml:space="preserve">和奖励计算。系统先由 </w:t>
      </w:r>
      <w:r>
        <w:rPr>
          <w:b w:val="false"/>
        </w:rPr>
        <w:t xml:space="preserve">Qwen </w:t>
      </w:r>
      <w:r>
        <w:rPr>
          <w:b w:val="false"/>
        </w:rPr>
        <w:t xml:space="preserve">生成提示词池，再从 </w:t>
      </w:r>
      <w:r>
        <w:rPr>
          <w:b w:val="false"/>
        </w:rPr>
        <w:t xml:space="preserve">query-aware C0 </w:t>
      </w:r>
      <w:r>
        <w:rPr>
          <w:b w:val="false"/>
        </w:rPr>
        <w:t xml:space="preserve">开始执行最多两次动态策略决策；每次扩展后更新 </w:t>
      </w:r>
      <w:r>
        <w:rPr>
          <w:b w:val="false"/>
        </w:rPr>
        <w:t xml:space="preserve">38 </w:t>
      </w:r>
      <w:r>
        <w:rPr>
          <w:b w:val="false"/>
        </w:rPr>
        <w:t xml:space="preserve">维状态；最后对合并候选执行 富元信息重评分、类别感知 </w:t>
      </w:r>
      <w:r>
        <w:rPr>
          <w:b w:val="false"/>
        </w:rPr>
        <w:t xml:space="preserve">NMS </w:t>
      </w:r>
      <w:r>
        <w:rPr>
          <w:b w:val="false"/>
        </w:rPr>
        <w:t xml:space="preserve">和 </w:t>
      </w:r>
      <w:r>
        <w:rPr>
          <w:b w:val="false"/>
        </w:rPr>
        <w:t>Top-K</w:t>
      </w:r>
      <w:r>
        <w:rPr>
          <w:b w:val="false"/>
        </w:rPr>
        <w:t>。</w:t>
      </w:r>
      <w:r>
        <w:rPr>
          <w:b w:val="false"/>
        </w:rPr>
        <w:t xml:space="preserve">Qwen </w:t>
      </w:r>
      <w:r>
        <w:rPr>
          <w:b w:val="false"/>
        </w:rPr>
        <w:t xml:space="preserve">提示词可预先缓存以提高批量评测的可复现性，但实际选中提示所对应的 </w:t>
      </w:r>
      <w:r>
        <w:rPr>
          <w:b w:val="false"/>
        </w:rPr>
        <w:t xml:space="preserve">Grounding DINO </w:t>
      </w:r>
      <w:r>
        <w:rPr>
          <w:b w:val="false"/>
        </w:rPr>
        <w:t>候选由提示词直接生成。</w:t>
      </w:r>
    </w:p>
    <w:p>
      <w:pPr>
        <w:pStyle w:val="Style12"/>
        <w:rPr/>
      </w:pPr>
      <w:r>
        <w:rPr>
          <w:b w:val="false"/>
        </w:rPr>
        <w:t>当前方法仍有两点边界。第一，</w:t>
      </w:r>
      <w:r>
        <w:rPr>
          <w:b w:val="false"/>
        </w:rPr>
        <w:t xml:space="preserve">Qwen </w:t>
      </w:r>
      <w:r>
        <w:rPr>
          <w:b w:val="false"/>
        </w:rPr>
        <w:t xml:space="preserve">的类别字段被约束在 </w:t>
      </w:r>
      <w:r>
        <w:rPr>
          <w:b w:val="false"/>
        </w:rPr>
        <w:t xml:space="preserve">VisDrone </w:t>
      </w:r>
      <w:r>
        <w:rPr>
          <w:b w:val="false"/>
        </w:rPr>
        <w:t>十类，开放文本表达更丰富，但最终评价类别空间仍是封闭的；第二，动态策略在候选效率与召回之间形成不同偏好，</w:t>
      </w:r>
      <w:r>
        <w:rPr>
          <w:b w:val="false"/>
        </w:rPr>
        <w:t xml:space="preserve">Qwen </w:t>
      </w:r>
      <w:r>
        <w:rPr>
          <w:b w:val="false"/>
        </w:rPr>
        <w:t xml:space="preserve">动态策略更保守，而固定动作策略具有更高召回。第 </w:t>
      </w:r>
      <w:r>
        <w:rPr>
          <w:b w:val="false"/>
        </w:rPr>
        <w:t xml:space="preserve">4 </w:t>
      </w:r>
      <w:r>
        <w:rPr>
          <w:b w:val="false"/>
        </w:rPr>
        <w:t>章将据此分别报告排序质量、召回和动作开销，避免用单一指标概括所有方法。</w:t>
      </w:r>
    </w:p>
    <w:p>
      <w:pPr>
        <w:pStyle w:val="23"/>
        <w:numPr>
          <w:ilvl w:val="1"/>
          <w:numId w:val="1"/>
        </w:numPr>
        <w:rPr/>
      </w:pPr>
      <w:bookmarkStart w:id="167" w:name="__RefHeading___Toc10326_2198631117"/>
      <w:bookmarkEnd w:id="167"/>
      <w:r>
        <w:rPr>
          <w:b w:val="false"/>
        </w:rPr>
        <w:t>本章小结</w:t>
      </w:r>
    </w:p>
    <w:p>
      <w:pPr>
        <w:pStyle w:val="Style12"/>
        <w:rPr/>
      </w:pPr>
      <w:r>
        <w:rPr>
          <w:b w:val="false"/>
        </w:rPr>
        <w:t xml:space="preserve">本章介绍了最新的 </w:t>
      </w:r>
      <w:r>
        <w:rPr>
          <w:b w:val="false"/>
        </w:rPr>
        <w:t xml:space="preserve">Qwen </w:t>
      </w:r>
      <w:r>
        <w:rPr>
          <w:b w:val="false"/>
        </w:rPr>
        <w:t>动态提示词、强化学习候选扩展和 富元信息融合排序器联合方法。</w:t>
      </w:r>
      <w:r>
        <w:rPr>
          <w:b w:val="false"/>
        </w:rPr>
        <w:t xml:space="preserve">Qwen2.5-VL-3B-Instruct </w:t>
      </w:r>
      <w:r>
        <w:rPr>
          <w:b w:val="false"/>
        </w:rPr>
        <w:t xml:space="preserve">将自然语言查询转换为图像相关的结构化提示词池；动态策略网络通过 </w:t>
      </w:r>
      <w:r>
        <w:rPr>
          <w:b w:val="false"/>
        </w:rPr>
        <w:t xml:space="preserve">38 </w:t>
      </w:r>
      <w:r>
        <w:rPr>
          <w:b w:val="false"/>
        </w:rPr>
        <w:t xml:space="preserve">维候选状态和 </w:t>
      </w:r>
      <w:r>
        <w:rPr>
          <w:b w:val="false"/>
        </w:rPr>
        <w:t xml:space="preserve">20 </w:t>
      </w:r>
      <w:r>
        <w:rPr>
          <w:b w:val="false"/>
        </w:rPr>
        <w:t xml:space="preserve">维动作特征学习状态—动作匹配，在 </w:t>
      </w:r>
      <w:r>
        <w:rPr>
          <w:b w:val="false"/>
        </w:rPr>
        <w:t xml:space="preserve">STOP </w:t>
      </w:r>
      <w:r>
        <w:rPr>
          <w:b w:val="false"/>
        </w:rPr>
        <w:t xml:space="preserve">与提示扩展动作之间进行多轮选择；被选提示直接驱动 </w:t>
      </w:r>
      <w:r>
        <w:rPr>
          <w:b w:val="false"/>
        </w:rPr>
        <w:t xml:space="preserve">Grounding DINO </w:t>
      </w:r>
      <w:r>
        <w:rPr>
          <w:b w:val="false"/>
        </w:rPr>
        <w:t xml:space="preserve">生成补充候选；富元信息融合排序器再利用 </w:t>
      </w:r>
      <w:r>
        <w:rPr>
          <w:b w:val="false"/>
        </w:rPr>
        <w:t xml:space="preserve">68 </w:t>
      </w:r>
      <w:r>
        <w:rPr>
          <w:b w:val="false"/>
        </w:rPr>
        <w:t>维富元信息校准候选置信度。该方法将候选覆盖、动作预算和最终排序三个问题解耦，为后续实验中的轮数、动作策略和元数据特征消融提供了明确的控制变量。</w:t>
      </w:r>
    </w:p>
    <w:p>
      <w:pPr>
        <w:pStyle w:val="Heading1"/>
        <w:numPr>
          <w:ilvl w:val="0"/>
          <w:numId w:val="1"/>
        </w:numPr>
        <w:spacing w:before="412" w:after="329"/>
        <w:rPr/>
      </w:pPr>
      <w:bookmarkStart w:id="168" w:name="__RefHeading___Toc10296_2198631117"/>
      <w:bookmarkStart w:id="169" w:name="_Toc6467"/>
      <w:bookmarkEnd w:id="168"/>
      <w:r>
        <w:rPr/>
        <w:t>实验设置与结果分析</w:t>
      </w:r>
      <w:bookmarkEnd w:id="169"/>
    </w:p>
    <w:p>
      <w:pPr>
        <w:pStyle w:val="23"/>
        <w:numPr>
          <w:ilvl w:val="1"/>
          <w:numId w:val="1"/>
        </w:numPr>
        <w:rPr/>
      </w:pPr>
      <w:bookmarkStart w:id="170" w:name="__RefHeading___Toc10324_2198631117"/>
      <w:bookmarkEnd w:id="170"/>
      <w:r>
        <w:rPr>
          <w:b w:val="false"/>
        </w:rPr>
        <w:t>引言</w:t>
      </w:r>
    </w:p>
    <w:p>
      <w:pPr>
        <w:pStyle w:val="Style12"/>
        <w:rPr/>
      </w:pPr>
      <w:r>
        <w:rPr>
          <w:b w:val="false"/>
        </w:rPr>
        <w:t>本章围绕最新的“</w:t>
      </w:r>
      <w:r>
        <w:rPr>
          <w:b w:val="false"/>
        </w:rPr>
        <w:t xml:space="preserve">Qwen </w:t>
      </w:r>
      <w:r>
        <w:rPr>
          <w:b w:val="false"/>
        </w:rPr>
        <w:t xml:space="preserve">动态提示词 </w:t>
      </w:r>
      <w:r>
        <w:rPr>
          <w:b w:val="false"/>
        </w:rPr>
        <w:t xml:space="preserve">+ RL + </w:t>
      </w:r>
      <w:r>
        <w:rPr>
          <w:b w:val="false"/>
        </w:rPr>
        <w:t>富元信息融合排序器”流程开展实验。实验重点回答四个问题：动态提示词策略与固定动作策略相比具有何种精度—开销权衡；增加闭环轮数是否持续有效；</w:t>
      </w:r>
      <w:r>
        <w:rPr>
          <w:b w:val="false"/>
        </w:rPr>
        <w:t xml:space="preserve">RL </w:t>
      </w:r>
      <w:r>
        <w:rPr>
          <w:b w:val="false"/>
        </w:rPr>
        <w:t>的收益是否仅来自执行更多候选生成动作；富元信息融合排序器的提升是否确实来自富元信息而非候选集合或模型容量变化。</w:t>
      </w:r>
    </w:p>
    <w:p>
      <w:pPr>
        <w:pStyle w:val="Style12"/>
        <w:rPr/>
      </w:pPr>
      <w:r>
        <w:rPr>
          <w:b w:val="false"/>
        </w:rPr>
        <w:t xml:space="preserve">为避免混用不同候选来源和旧 </w:t>
      </w:r>
      <w:r>
        <w:rPr>
          <w:b w:val="false"/>
        </w:rPr>
        <w:t>checkpoint</w:t>
      </w:r>
      <w:r>
        <w:rPr>
          <w:b w:val="false"/>
        </w:rPr>
        <w:t xml:space="preserve">，本章优先采用答辩 </w:t>
      </w:r>
      <w:r>
        <w:rPr>
          <w:b w:val="false"/>
        </w:rPr>
        <w:t xml:space="preserve">PPT </w:t>
      </w:r>
      <w:r>
        <w:rPr>
          <w:b w:val="false"/>
        </w:rPr>
        <w:t xml:space="preserve">中的统一测试集结果及 </w:t>
      </w:r>
      <w:r>
        <w:rPr>
          <w:b w:val="false"/>
        </w:rPr>
        <w:t xml:space="preserve">2026 </w:t>
      </w:r>
      <w:r>
        <w:rPr>
          <w:b w:val="false"/>
        </w:rPr>
        <w:t xml:space="preserve">年 </w:t>
      </w:r>
      <w:r>
        <w:rPr>
          <w:b w:val="false"/>
        </w:rPr>
        <w:t xml:space="preserve">9 </w:t>
      </w:r>
      <w:r>
        <w:rPr>
          <w:b w:val="false"/>
        </w:rPr>
        <w:t>月补充消融。早期不同数据划分、不同动作空间或缺少完整复现产物的记录不进入正式横向比较。</w:t>
      </w:r>
    </w:p>
    <w:p>
      <w:pPr>
        <w:pStyle w:val="23"/>
        <w:numPr>
          <w:ilvl w:val="1"/>
          <w:numId w:val="1"/>
        </w:numPr>
        <w:rPr/>
      </w:pPr>
      <w:bookmarkStart w:id="171" w:name="__RefHeading___Toc10322_2198631117"/>
      <w:bookmarkEnd w:id="171"/>
      <w:r>
        <w:rPr>
          <w:b w:val="false"/>
        </w:rPr>
        <w:t>实验设置</w:t>
      </w:r>
    </w:p>
    <w:p>
      <w:pPr>
        <w:pStyle w:val="231"/>
        <w:numPr>
          <w:ilvl w:val="2"/>
          <w:numId w:val="1"/>
        </w:numPr>
        <w:rPr/>
      </w:pPr>
      <w:bookmarkStart w:id="172" w:name="__RefHeading___Toc10364_2198631117"/>
      <w:bookmarkEnd w:id="172"/>
      <w:r>
        <w:rPr>
          <w:b w:val="false"/>
        </w:rPr>
        <w:t>数据集与评价协议</w:t>
      </w:r>
    </w:p>
    <w:p>
      <w:pPr>
        <w:pStyle w:val="Style12"/>
        <w:rPr/>
      </w:pPr>
      <w:r>
        <w:rPr>
          <w:b w:val="false"/>
        </w:rPr>
        <w:t xml:space="preserve">主实验使用 </w:t>
      </w:r>
      <w:r>
        <w:rPr>
          <w:b w:val="false"/>
        </w:rPr>
        <w:t xml:space="preserve">VisDroneSplit1000Guarded </w:t>
      </w:r>
      <w:r>
        <w:rPr>
          <w:b w:val="false"/>
        </w:rPr>
        <w:t xml:space="preserve">的固定 </w:t>
      </w:r>
      <w:r>
        <w:rPr>
          <w:b w:val="false"/>
        </w:rPr>
        <w:t xml:space="preserve">test </w:t>
      </w:r>
      <w:r>
        <w:rPr>
          <w:b w:val="false"/>
        </w:rPr>
        <w:t xml:space="preserve">划分，共 </w:t>
      </w:r>
      <w:r>
        <w:rPr>
          <w:b w:val="false"/>
        </w:rPr>
        <w:t xml:space="preserve">150 </w:t>
      </w:r>
      <w:r>
        <w:rPr>
          <w:b w:val="false"/>
        </w:rPr>
        <w:t xml:space="preserve">张图像和 </w:t>
      </w:r>
      <w:r>
        <w:rPr>
          <w:b w:val="false"/>
        </w:rPr>
        <w:t xml:space="preserve">7973 </w:t>
      </w:r>
      <w:r>
        <w:rPr>
          <w:b w:val="false"/>
        </w:rPr>
        <w:t xml:space="preserve">个 </w:t>
      </w:r>
      <w:r>
        <w:rPr>
          <w:b w:val="false"/>
        </w:rPr>
        <w:t xml:space="preserve">GT </w:t>
      </w:r>
      <w:r>
        <w:rPr>
          <w:b w:val="false"/>
        </w:rPr>
        <w:t xml:space="preserve">框，类别包括 </w:t>
      </w:r>
      <w:r>
        <w:rPr>
          <w:b w:val="false"/>
        </w:rPr>
        <w:t>pedestrian</w:t>
      </w:r>
      <w:r>
        <w:rPr>
          <w:b w:val="false"/>
        </w:rPr>
        <w:t>、</w:t>
      </w:r>
      <w:r>
        <w:rPr>
          <w:b w:val="false"/>
        </w:rPr>
        <w:t>people</w:t>
      </w:r>
      <w:r>
        <w:rPr>
          <w:b w:val="false"/>
        </w:rPr>
        <w:t>、</w:t>
      </w:r>
      <w:r>
        <w:rPr>
          <w:b w:val="false"/>
        </w:rPr>
        <w:t>bicycle</w:t>
      </w:r>
      <w:r>
        <w:rPr>
          <w:b w:val="false"/>
        </w:rPr>
        <w:t>、</w:t>
      </w:r>
      <w:r>
        <w:rPr>
          <w:b w:val="false"/>
        </w:rPr>
        <w:t>car</w:t>
      </w:r>
      <w:r>
        <w:rPr>
          <w:b w:val="false"/>
        </w:rPr>
        <w:t>、</w:t>
      </w:r>
      <w:r>
        <w:rPr>
          <w:b w:val="false"/>
        </w:rPr>
        <w:t>van</w:t>
      </w:r>
      <w:r>
        <w:rPr>
          <w:b w:val="false"/>
        </w:rPr>
        <w:t>、</w:t>
      </w:r>
      <w:r>
        <w:rPr>
          <w:b w:val="false"/>
        </w:rPr>
        <w:t>truck</w:t>
      </w:r>
      <w:r>
        <w:rPr>
          <w:b w:val="false"/>
        </w:rPr>
        <w:t>、</w:t>
      </w:r>
      <w:r>
        <w:rPr>
          <w:b w:val="false"/>
        </w:rPr>
        <w:t>tricycle</w:t>
      </w:r>
      <w:r>
        <w:rPr>
          <w:b w:val="false"/>
        </w:rPr>
        <w:t>、</w:t>
      </w:r>
      <w:r>
        <w:rPr>
          <w:b w:val="false"/>
        </w:rPr>
        <w:t>awning tricycle</w:t>
      </w:r>
      <w:r>
        <w:rPr>
          <w:b w:val="false"/>
        </w:rPr>
        <w:t>、</w:t>
      </w:r>
      <w:r>
        <w:rPr>
          <w:b w:val="false"/>
        </w:rPr>
        <w:t xml:space="preserve">bus </w:t>
      </w:r>
      <w:r>
        <w:rPr>
          <w:b w:val="false"/>
        </w:rPr>
        <w:t xml:space="preserve">和 </w:t>
      </w:r>
      <w:r>
        <w:rPr>
          <w:b w:val="false"/>
        </w:rPr>
        <w:t>motor</w:t>
      </w:r>
      <w:r>
        <w:rPr>
          <w:b w:val="false"/>
        </w:rPr>
        <w:t>。</w:t>
      </w:r>
      <w:r>
        <w:rPr>
          <w:b w:val="false"/>
        </w:rPr>
        <w:t xml:space="preserve">RefDrone </w:t>
      </w:r>
      <w:r>
        <w:rPr>
          <w:b w:val="false"/>
        </w:rPr>
        <w:t xml:space="preserve">与 </w:t>
      </w:r>
      <w:r>
        <w:rPr>
          <w:b w:val="false"/>
        </w:rPr>
        <w:t xml:space="preserve">AerialVG </w:t>
      </w:r>
      <w:r>
        <w:rPr>
          <w:b w:val="false"/>
        </w:rPr>
        <w:t xml:space="preserve">的真实语言短语用于补充查询表达，不与主测试集指标混合。所有对比采用 </w:t>
      </w:r>
      <w:r>
        <w:rPr>
          <w:b w:val="false"/>
        </w:rPr>
        <w:t xml:space="preserve">class-aware </w:t>
      </w:r>
      <w:r>
        <w:rPr>
          <w:b w:val="false"/>
        </w:rPr>
        <w:t xml:space="preserve">一对一匹配：预测类别与 </w:t>
      </w:r>
      <w:r>
        <w:rPr>
          <w:b w:val="false"/>
        </w:rPr>
        <w:t xml:space="preserve">GT </w:t>
      </w:r>
      <w:r>
        <w:rPr>
          <w:b w:val="false"/>
        </w:rPr>
        <w:t xml:space="preserve">类别一致且 </w:t>
      </w:r>
      <w:r>
        <w:rPr>
          <w:b w:val="false"/>
        </w:rPr>
        <w:t xml:space="preserve">IoU </w:t>
      </w:r>
      <w:r>
        <w:rPr>
          <w:b w:val="false"/>
        </w:rPr>
        <w:t>达到阈值时才计为命中。</w:t>
      </w:r>
    </w:p>
    <w:p>
      <w:pPr>
        <w:pStyle w:val="Normal"/>
        <w:spacing w:before="120" w:after="80"/>
        <w:jc w:val="center"/>
        <w:rPr/>
      </w:pPr>
      <w:r>
        <w:rPr>
          <w:rFonts w:ascii="Times New Roman" w:hAnsi="Times New Roman" w:eastAsia="黑体"/>
          <w:b w:val="false"/>
          <w:sz w:val="21"/>
        </w:rPr>
        <w:t>表</w:t>
      </w:r>
      <w:r>
        <w:rPr>
          <w:rFonts w:eastAsia="黑体"/>
          <w:b w:val="false"/>
          <w:sz w:val="21"/>
        </w:rPr>
        <w:t xml:space="preserve">4-1 </w:t>
      </w:r>
      <w:r>
        <w:rPr>
          <w:rFonts w:ascii="Times New Roman" w:hAnsi="Times New Roman" w:eastAsia="黑体"/>
          <w:b w:val="false"/>
          <w:sz w:val="21"/>
        </w:rPr>
        <w:t>数据集与统一实验协议</w:t>
      </w:r>
    </w:p>
    <w:tbl>
      <w:tblPr>
        <w:tblStyle w:val="15"/>
        <w:tblW w:w="85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35"/>
        <w:gridCol w:w="2835"/>
        <w:gridCol w:w="2835"/>
      </w:tblGrid>
      <w:tr>
        <w:trPr>
          <w:tblHeader w:val="true"/>
        </w:trPr>
        <w:tc>
          <w:tcPr>
            <w:tcW w:w="2835" w:type="dxa"/>
            <w:tcBorders/>
            <w:shd w:fill="1E3D59"/>
            <w:vAlign w:val="center"/>
          </w:tcPr>
          <w:p>
            <w:pPr>
              <w:pStyle w:val="Normal"/>
              <w:widowControl w:val="false"/>
              <w:spacing w:before="0" w:after="0"/>
              <w:jc w:val="center"/>
              <w:rPr/>
            </w:pPr>
            <w:r>
              <w:rPr>
                <w:rFonts w:ascii="Times New Roman" w:hAnsi="Times New Roman"/>
                <w:b/>
                <w:color w:val="FFFFFF"/>
                <w:sz w:val="16"/>
              </w:rPr>
              <w:t>项目</w:t>
            </w:r>
          </w:p>
        </w:tc>
        <w:tc>
          <w:tcPr>
            <w:tcW w:w="2835" w:type="dxa"/>
            <w:tcBorders/>
            <w:shd w:fill="1E3D59"/>
            <w:vAlign w:val="center"/>
          </w:tcPr>
          <w:p>
            <w:pPr>
              <w:pStyle w:val="Normal"/>
              <w:widowControl w:val="false"/>
              <w:spacing w:before="0" w:after="0"/>
              <w:jc w:val="center"/>
              <w:rPr/>
            </w:pPr>
            <w:r>
              <w:rPr>
                <w:rFonts w:ascii="Times New Roman" w:hAnsi="Times New Roman"/>
                <w:b/>
                <w:color w:val="FFFFFF"/>
                <w:sz w:val="16"/>
              </w:rPr>
              <w:t>设置</w:t>
            </w:r>
          </w:p>
        </w:tc>
        <w:tc>
          <w:tcPr>
            <w:tcW w:w="2835" w:type="dxa"/>
            <w:tcBorders/>
            <w:shd w:fill="1E3D59"/>
            <w:vAlign w:val="center"/>
          </w:tcPr>
          <w:p>
            <w:pPr>
              <w:pStyle w:val="Normal"/>
              <w:widowControl w:val="false"/>
              <w:spacing w:before="0" w:after="0"/>
              <w:jc w:val="center"/>
              <w:rPr/>
            </w:pPr>
            <w:r>
              <w:rPr>
                <w:rFonts w:ascii="Times New Roman" w:hAnsi="Times New Roman"/>
                <w:b/>
                <w:color w:val="FFFFFF"/>
                <w:sz w:val="16"/>
              </w:rPr>
              <w:t>说明</w:t>
            </w:r>
          </w:p>
        </w:tc>
      </w:tr>
      <w:tr>
        <w:trPr/>
        <w:tc>
          <w:tcPr>
            <w:tcW w:w="2835" w:type="dxa"/>
            <w:tcBorders/>
            <w:vAlign w:val="center"/>
          </w:tcPr>
          <w:p>
            <w:pPr>
              <w:pStyle w:val="Normal"/>
              <w:widowControl w:val="false"/>
              <w:spacing w:before="0" w:after="0"/>
              <w:jc w:val="center"/>
              <w:rPr/>
            </w:pPr>
            <w:r>
              <w:rPr>
                <w:rFonts w:ascii="Times New Roman" w:hAnsi="Times New Roman"/>
                <w:b w:val="false"/>
                <w:sz w:val="16"/>
              </w:rPr>
              <w:t>主测试集</w:t>
            </w:r>
          </w:p>
        </w:tc>
        <w:tc>
          <w:tcPr>
            <w:tcW w:w="2835" w:type="dxa"/>
            <w:tcBorders/>
            <w:vAlign w:val="center"/>
          </w:tcPr>
          <w:p>
            <w:pPr>
              <w:pStyle w:val="Normal"/>
              <w:widowControl w:val="false"/>
              <w:spacing w:before="0" w:after="0"/>
              <w:jc w:val="center"/>
              <w:rPr/>
            </w:pPr>
            <w:r>
              <w:rPr>
                <w:rFonts w:eastAsia="宋体"/>
                <w:b w:val="false"/>
                <w:sz w:val="16"/>
              </w:rPr>
              <w:t>VisDroneSplit1000Guarded/test</w:t>
            </w:r>
          </w:p>
        </w:tc>
        <w:tc>
          <w:tcPr>
            <w:tcW w:w="2835" w:type="dxa"/>
            <w:tcBorders/>
            <w:vAlign w:val="center"/>
          </w:tcPr>
          <w:p>
            <w:pPr>
              <w:pStyle w:val="Normal"/>
              <w:widowControl w:val="false"/>
              <w:spacing w:before="0" w:after="0"/>
              <w:jc w:val="center"/>
              <w:rPr/>
            </w:pPr>
            <w:r>
              <w:rPr>
                <w:rFonts w:eastAsia="宋体"/>
                <w:b w:val="false"/>
                <w:sz w:val="16"/>
              </w:rPr>
              <w:t>150</w:t>
            </w:r>
            <w:r>
              <w:rPr>
                <w:rFonts w:ascii="Times New Roman" w:hAnsi="Times New Roman"/>
                <w:b w:val="false"/>
                <w:sz w:val="16"/>
              </w:rPr>
              <w:t>张图像，</w:t>
            </w:r>
            <w:r>
              <w:rPr>
                <w:rFonts w:eastAsia="宋体"/>
                <w:b w:val="false"/>
                <w:sz w:val="16"/>
              </w:rPr>
              <w:t>7973</w:t>
            </w:r>
            <w:r>
              <w:rPr>
                <w:rFonts w:ascii="Times New Roman" w:hAnsi="Times New Roman"/>
                <w:b w:val="false"/>
                <w:sz w:val="16"/>
              </w:rPr>
              <w:t>个</w:t>
            </w:r>
            <w:r>
              <w:rPr>
                <w:rFonts w:eastAsia="宋体"/>
                <w:b w:val="false"/>
                <w:sz w:val="16"/>
              </w:rPr>
              <w:t>GT</w:t>
            </w:r>
            <w:r>
              <w:rPr>
                <w:rFonts w:ascii="Times New Roman" w:hAnsi="Times New Roman"/>
                <w:b w:val="false"/>
                <w:sz w:val="16"/>
              </w:rPr>
              <w:t>框</w:t>
            </w:r>
          </w:p>
        </w:tc>
      </w:tr>
      <w:tr>
        <w:trPr/>
        <w:tc>
          <w:tcPr>
            <w:tcW w:w="2835" w:type="dxa"/>
            <w:tcBorders/>
            <w:vAlign w:val="center"/>
          </w:tcPr>
          <w:p>
            <w:pPr>
              <w:pStyle w:val="Normal"/>
              <w:widowControl w:val="false"/>
              <w:spacing w:before="0" w:after="0"/>
              <w:jc w:val="center"/>
              <w:rPr/>
            </w:pPr>
            <w:r>
              <w:rPr>
                <w:rFonts w:ascii="Times New Roman" w:hAnsi="Times New Roman"/>
                <w:b w:val="false"/>
                <w:sz w:val="16"/>
              </w:rPr>
              <w:t>类别空间</w:t>
            </w:r>
          </w:p>
        </w:tc>
        <w:tc>
          <w:tcPr>
            <w:tcW w:w="2835" w:type="dxa"/>
            <w:tcBorders/>
            <w:vAlign w:val="center"/>
          </w:tcPr>
          <w:p>
            <w:pPr>
              <w:pStyle w:val="Normal"/>
              <w:widowControl w:val="false"/>
              <w:spacing w:before="0" w:after="0"/>
              <w:jc w:val="center"/>
              <w:rPr/>
            </w:pPr>
            <w:r>
              <w:rPr>
                <w:rFonts w:eastAsia="宋体"/>
                <w:b w:val="false"/>
                <w:sz w:val="16"/>
              </w:rPr>
              <w:t>VisDrone 10</w:t>
            </w:r>
            <w:r>
              <w:rPr>
                <w:rFonts w:ascii="Times New Roman" w:hAnsi="Times New Roman"/>
                <w:b w:val="false"/>
                <w:sz w:val="16"/>
              </w:rPr>
              <w:t>类</w:t>
            </w:r>
          </w:p>
        </w:tc>
        <w:tc>
          <w:tcPr>
            <w:tcW w:w="2835" w:type="dxa"/>
            <w:tcBorders/>
            <w:vAlign w:val="center"/>
          </w:tcPr>
          <w:p>
            <w:pPr>
              <w:pStyle w:val="Normal"/>
              <w:widowControl w:val="false"/>
              <w:spacing w:before="0" w:after="0"/>
              <w:jc w:val="center"/>
              <w:rPr/>
            </w:pPr>
            <w:r>
              <w:rPr>
                <w:rFonts w:eastAsia="宋体"/>
                <w:b w:val="false"/>
                <w:sz w:val="16"/>
              </w:rPr>
              <w:t xml:space="preserve">Qwen </w:t>
            </w:r>
            <w:r>
              <w:rPr>
                <w:rFonts w:ascii="Times New Roman" w:hAnsi="Times New Roman"/>
                <w:b w:val="false"/>
                <w:sz w:val="16"/>
              </w:rPr>
              <w:t>输出类别受统一类别表约束</w:t>
            </w:r>
          </w:p>
        </w:tc>
      </w:tr>
      <w:tr>
        <w:trPr/>
        <w:tc>
          <w:tcPr>
            <w:tcW w:w="2835" w:type="dxa"/>
            <w:tcBorders/>
            <w:vAlign w:val="center"/>
          </w:tcPr>
          <w:p>
            <w:pPr>
              <w:pStyle w:val="Normal"/>
              <w:widowControl w:val="false"/>
              <w:spacing w:before="0" w:after="0"/>
              <w:jc w:val="center"/>
              <w:rPr/>
            </w:pPr>
            <w:r>
              <w:rPr>
                <w:rFonts w:ascii="Times New Roman" w:hAnsi="Times New Roman"/>
                <w:b w:val="false"/>
                <w:sz w:val="16"/>
              </w:rPr>
              <w:t>候选生成</w:t>
            </w:r>
          </w:p>
        </w:tc>
        <w:tc>
          <w:tcPr>
            <w:tcW w:w="2835" w:type="dxa"/>
            <w:tcBorders/>
            <w:vAlign w:val="center"/>
          </w:tcPr>
          <w:p>
            <w:pPr>
              <w:pStyle w:val="Normal"/>
              <w:widowControl w:val="false"/>
              <w:spacing w:before="0" w:after="0"/>
              <w:jc w:val="center"/>
              <w:rPr/>
            </w:pPr>
            <w:r>
              <w:rPr>
                <w:rFonts w:eastAsia="宋体"/>
                <w:b w:val="false"/>
                <w:sz w:val="16"/>
              </w:rPr>
              <w:t>Grounding DINO</w:t>
            </w:r>
          </w:p>
        </w:tc>
        <w:tc>
          <w:tcPr>
            <w:tcW w:w="2835" w:type="dxa"/>
            <w:tcBorders/>
            <w:vAlign w:val="center"/>
          </w:tcPr>
          <w:p>
            <w:pPr>
              <w:pStyle w:val="Normal"/>
              <w:widowControl w:val="false"/>
              <w:spacing w:before="0" w:after="0"/>
              <w:jc w:val="center"/>
              <w:rPr/>
            </w:pPr>
            <w:r>
              <w:rPr>
                <w:rFonts w:ascii="Times New Roman" w:hAnsi="Times New Roman"/>
                <w:b w:val="false"/>
                <w:sz w:val="16"/>
              </w:rPr>
              <w:t>选中动态提示后直接生成候选</w:t>
            </w:r>
          </w:p>
        </w:tc>
      </w:tr>
      <w:tr>
        <w:trPr/>
        <w:tc>
          <w:tcPr>
            <w:tcW w:w="2835" w:type="dxa"/>
            <w:tcBorders/>
            <w:vAlign w:val="center"/>
          </w:tcPr>
          <w:p>
            <w:pPr>
              <w:pStyle w:val="Normal"/>
              <w:widowControl w:val="false"/>
              <w:spacing w:before="0" w:after="0"/>
              <w:jc w:val="center"/>
              <w:rPr/>
            </w:pPr>
            <w:r>
              <w:rPr>
                <w:rFonts w:ascii="Times New Roman" w:hAnsi="Times New Roman"/>
                <w:b w:val="false"/>
                <w:sz w:val="16"/>
              </w:rPr>
              <w:t>匹配方式</w:t>
            </w:r>
          </w:p>
        </w:tc>
        <w:tc>
          <w:tcPr>
            <w:tcW w:w="2835" w:type="dxa"/>
            <w:tcBorders/>
            <w:vAlign w:val="center"/>
          </w:tcPr>
          <w:p>
            <w:pPr>
              <w:pStyle w:val="Normal"/>
              <w:widowControl w:val="false"/>
              <w:spacing w:before="0" w:after="0"/>
              <w:jc w:val="center"/>
              <w:rPr/>
            </w:pPr>
            <w:r>
              <w:rPr>
                <w:rFonts w:eastAsia="宋体"/>
                <w:b w:val="false"/>
                <w:sz w:val="16"/>
              </w:rPr>
              <w:t>class-aware</w:t>
            </w:r>
            <w:r>
              <w:rPr>
                <w:rFonts w:ascii="Times New Roman" w:hAnsi="Times New Roman"/>
                <w:b w:val="false"/>
                <w:sz w:val="16"/>
              </w:rPr>
              <w:t>，</w:t>
            </w:r>
            <w:r>
              <w:rPr>
                <w:rFonts w:eastAsia="宋体"/>
                <w:b w:val="false"/>
                <w:sz w:val="16"/>
              </w:rPr>
              <w:t>IoU≥0.5/0.75</w:t>
            </w:r>
          </w:p>
        </w:tc>
        <w:tc>
          <w:tcPr>
            <w:tcW w:w="2835" w:type="dxa"/>
            <w:tcBorders/>
            <w:vAlign w:val="center"/>
          </w:tcPr>
          <w:p>
            <w:pPr>
              <w:pStyle w:val="Normal"/>
              <w:widowControl w:val="false"/>
              <w:spacing w:before="0" w:after="0"/>
              <w:jc w:val="center"/>
              <w:rPr/>
            </w:pPr>
            <w:r>
              <w:rPr>
                <w:rFonts w:ascii="Times New Roman" w:hAnsi="Times New Roman"/>
                <w:b w:val="false"/>
                <w:sz w:val="16"/>
              </w:rPr>
              <w:t>同类一对一匹配</w:t>
            </w:r>
          </w:p>
        </w:tc>
      </w:tr>
      <w:tr>
        <w:trPr/>
        <w:tc>
          <w:tcPr>
            <w:tcW w:w="2835" w:type="dxa"/>
            <w:tcBorders/>
            <w:vAlign w:val="center"/>
          </w:tcPr>
          <w:p>
            <w:pPr>
              <w:pStyle w:val="Normal"/>
              <w:widowControl w:val="false"/>
              <w:spacing w:before="0" w:after="0"/>
              <w:jc w:val="center"/>
              <w:rPr/>
            </w:pPr>
            <w:r>
              <w:rPr>
                <w:rFonts w:ascii="Times New Roman" w:hAnsi="Times New Roman"/>
                <w:b w:val="false"/>
                <w:sz w:val="16"/>
              </w:rPr>
              <w:t>公平性控制</w:t>
            </w:r>
          </w:p>
        </w:tc>
        <w:tc>
          <w:tcPr>
            <w:tcW w:w="2835" w:type="dxa"/>
            <w:tcBorders/>
            <w:vAlign w:val="center"/>
          </w:tcPr>
          <w:p>
            <w:pPr>
              <w:pStyle w:val="Normal"/>
              <w:widowControl w:val="false"/>
              <w:spacing w:before="0" w:after="0"/>
              <w:jc w:val="center"/>
              <w:rPr/>
            </w:pPr>
            <w:r>
              <w:rPr>
                <w:rFonts w:ascii="Times New Roman" w:hAnsi="Times New Roman"/>
                <w:b w:val="false"/>
                <w:sz w:val="16"/>
              </w:rPr>
              <w:t xml:space="preserve">相同 </w:t>
            </w:r>
            <w:r>
              <w:rPr>
                <w:rFonts w:eastAsia="宋体"/>
                <w:b w:val="false"/>
                <w:sz w:val="16"/>
              </w:rPr>
              <w:t>C0</w:t>
            </w:r>
            <w:r>
              <w:rPr>
                <w:rFonts w:ascii="Times New Roman" w:hAnsi="Times New Roman"/>
                <w:b w:val="false"/>
                <w:sz w:val="16"/>
              </w:rPr>
              <w:t>、去重、富元信息融合排序器 与评测脚本</w:t>
            </w:r>
          </w:p>
        </w:tc>
        <w:tc>
          <w:tcPr>
            <w:tcW w:w="2835" w:type="dxa"/>
            <w:tcBorders/>
            <w:vAlign w:val="center"/>
          </w:tcPr>
          <w:p>
            <w:pPr>
              <w:pStyle w:val="Normal"/>
              <w:widowControl w:val="false"/>
              <w:spacing w:before="0" w:after="0"/>
              <w:jc w:val="center"/>
              <w:rPr/>
            </w:pPr>
            <w:r>
              <w:rPr>
                <w:rFonts w:ascii="Times New Roman" w:hAnsi="Times New Roman"/>
                <w:b w:val="false"/>
                <w:sz w:val="16"/>
              </w:rPr>
              <w:t>动作策略消融保持其余流程一致</w:t>
            </w:r>
          </w:p>
        </w:tc>
      </w:tr>
    </w:tbl>
    <w:p>
      <w:pPr>
        <w:pStyle w:val="Style12"/>
        <w:rPr/>
      </w:pPr>
      <w:r>
        <w:rPr/>
      </w:r>
    </w:p>
    <w:p>
      <w:pPr>
        <w:pStyle w:val="231"/>
        <w:numPr>
          <w:ilvl w:val="2"/>
          <w:numId w:val="1"/>
        </w:numPr>
        <w:rPr/>
      </w:pPr>
      <w:bookmarkStart w:id="173" w:name="__RefHeading___Toc10362_2198631117"/>
      <w:bookmarkEnd w:id="173"/>
      <w:r>
        <w:rPr>
          <w:b w:val="false"/>
        </w:rPr>
        <w:t>评价指标与实现细节</w:t>
      </w:r>
    </w:p>
    <w:p>
      <w:pPr>
        <w:pStyle w:val="Style12"/>
        <w:rPr/>
      </w:pPr>
      <w:r>
        <w:rPr>
          <w:b w:val="false"/>
        </w:rPr>
        <w:t xml:space="preserve">总体指标采用 </w:t>
      </w:r>
      <w:r>
        <w:rPr>
          <w:b w:val="false"/>
        </w:rPr>
        <w:t>Acc@0.5</w:t>
      </w:r>
      <w:r>
        <w:rPr>
          <w:b w:val="false"/>
        </w:rPr>
        <w:t>、</w:t>
      </w:r>
      <w:r>
        <w:rPr>
          <w:b w:val="false"/>
        </w:rPr>
        <w:t xml:space="preserve">Acc@0.75 </w:t>
      </w:r>
      <w:r>
        <w:rPr>
          <w:b w:val="false"/>
        </w:rPr>
        <w:t xml:space="preserve">和 </w:t>
      </w:r>
      <w:r>
        <w:rPr>
          <w:b w:val="false"/>
        </w:rPr>
        <w:t>mAP@0.5</w:t>
      </w:r>
      <w:r>
        <w:rPr>
          <w:b w:val="false"/>
        </w:rPr>
        <w:t>，并报告预测框数量、</w:t>
      </w:r>
      <w:r>
        <w:rPr>
          <w:b w:val="false"/>
        </w:rPr>
        <w:t>TP@0.5</w:t>
      </w:r>
      <w:r>
        <w:rPr>
          <w:b w:val="false"/>
        </w:rPr>
        <w:t xml:space="preserve">、每图平均非 </w:t>
      </w:r>
      <w:r>
        <w:rPr>
          <w:b w:val="false"/>
        </w:rPr>
        <w:t xml:space="preserve">STOP </w:t>
      </w:r>
      <w:r>
        <w:rPr>
          <w:b w:val="false"/>
        </w:rPr>
        <w:t xml:space="preserve">动作数和 </w:t>
      </w:r>
      <w:r>
        <w:rPr>
          <w:b w:val="false"/>
        </w:rPr>
        <w:t xml:space="preserve">STOP </w:t>
      </w:r>
      <w:r>
        <w:rPr>
          <w:b w:val="false"/>
        </w:rPr>
        <w:t xml:space="preserve">比例。小目标按像素面积不超过 </w:t>
      </w:r>
      <w:r>
        <w:rPr>
          <w:b w:val="false"/>
        </w:rPr>
        <w:t xml:space="preserve">32×32 </w:t>
      </w:r>
      <w:r>
        <w:rPr>
          <w:b w:val="false"/>
        </w:rPr>
        <w:t>定义；</w:t>
      </w:r>
      <w:r>
        <w:rPr>
          <w:b w:val="false"/>
        </w:rPr>
        <w:t xml:space="preserve">Small Candidate Recall@0.5 </w:t>
      </w:r>
      <w:r>
        <w:rPr>
          <w:b w:val="false"/>
        </w:rPr>
        <w:t xml:space="preserve">表示 富元信息重评分前候选对小目标 </w:t>
      </w:r>
      <w:r>
        <w:rPr>
          <w:b w:val="false"/>
        </w:rPr>
        <w:t xml:space="preserve">GT </w:t>
      </w:r>
      <w:r>
        <w:rPr>
          <w:b w:val="false"/>
        </w:rPr>
        <w:t>的覆盖率，</w:t>
      </w:r>
      <w:r>
        <w:rPr>
          <w:b w:val="false"/>
        </w:rPr>
        <w:t xml:space="preserve">Small-object Final Recall@0.5 </w:t>
      </w:r>
      <w:r>
        <w:rPr>
          <w:b w:val="false"/>
        </w:rPr>
        <w:t>表示重评分后最终结果对同一小目标集合的召回率。</w:t>
      </w:r>
    </w:p>
    <w:p>
      <w:pPr>
        <w:pStyle w:val="Style12"/>
        <w:rPr/>
      </w:pPr>
      <w:r>
        <w:rPr>
          <w:b w:val="false"/>
        </w:rPr>
        <w:t xml:space="preserve">动态策略使用 </w:t>
      </w:r>
      <w:r>
        <w:rPr>
          <w:b w:val="false"/>
        </w:rPr>
        <w:t>Qwen2.5-VL-3B-Instruct</w:t>
      </w:r>
      <w:r>
        <w:rPr>
          <w:b w:val="false"/>
        </w:rPr>
        <w:t xml:space="preserve">，策略状态维数 </w:t>
      </w:r>
      <w:r>
        <w:rPr>
          <w:b w:val="false"/>
        </w:rPr>
        <w:t>38</w:t>
      </w:r>
      <w:r>
        <w:rPr>
          <w:b w:val="false"/>
        </w:rPr>
        <w:t xml:space="preserve">、动作特征维数 </w:t>
      </w:r>
      <w:r>
        <w:rPr>
          <w:b w:val="false"/>
        </w:rPr>
        <w:t>20</w:t>
      </w:r>
      <w:r>
        <w:rPr>
          <w:b w:val="false"/>
        </w:rPr>
        <w:t xml:space="preserve">。固定轮数实验的时间统计仅包含缓存候选读取、策略决策、候选合并去重和 富元信息重评分，不包含 </w:t>
      </w:r>
      <w:r>
        <w:rPr>
          <w:b w:val="false"/>
        </w:rPr>
        <w:t xml:space="preserve">Grounding DINO </w:t>
      </w:r>
      <w:r>
        <w:rPr>
          <w:b w:val="false"/>
        </w:rPr>
        <w:t>原始候选生成及指标评测，因此该时间用于同口径轮数比较，不代表完整在线端到端时延。</w:t>
      </w:r>
    </w:p>
    <w:p>
      <w:pPr>
        <w:pStyle w:val="23"/>
        <w:numPr>
          <w:ilvl w:val="1"/>
          <w:numId w:val="1"/>
        </w:numPr>
        <w:rPr/>
      </w:pPr>
      <w:bookmarkStart w:id="174" w:name="__RefHeading___Toc10320_2198631117"/>
      <w:bookmarkEnd w:id="174"/>
      <w:r>
        <w:rPr>
          <w:b w:val="false"/>
        </w:rPr>
        <w:t xml:space="preserve">Qwen </w:t>
      </w:r>
      <w:r>
        <w:rPr>
          <w:b w:val="false"/>
        </w:rPr>
        <w:t>动态动作与固定策略对比</w:t>
      </w:r>
    </w:p>
    <w:p>
      <w:pPr>
        <w:pStyle w:val="Style12"/>
        <w:rPr/>
      </w:pPr>
      <w:r>
        <w:rPr>
          <w:b w:val="false"/>
        </w:rPr>
        <w:t>表</w:t>
      </w:r>
      <w:r>
        <w:rPr>
          <w:b w:val="false"/>
        </w:rPr>
        <w:t>4-2</w:t>
      </w:r>
      <w:r>
        <w:rPr>
          <w:b w:val="false"/>
        </w:rPr>
        <w:t xml:space="preserve">比较只使用第一轮 </w:t>
      </w:r>
      <w:r>
        <w:rPr>
          <w:b w:val="false"/>
        </w:rPr>
        <w:t xml:space="preserve">query-aware </w:t>
      </w:r>
      <w:r>
        <w:rPr>
          <w:b w:val="false"/>
        </w:rPr>
        <w:t xml:space="preserve">候选的 </w:t>
      </w:r>
      <w:r>
        <w:rPr>
          <w:b w:val="false"/>
        </w:rPr>
        <w:t>Query base</w:t>
      </w:r>
      <w:r>
        <w:rPr>
          <w:b w:val="false"/>
        </w:rPr>
        <w:t xml:space="preserve">、固定动作三轮 </w:t>
      </w:r>
      <w:r>
        <w:rPr>
          <w:b w:val="false"/>
        </w:rPr>
        <w:t xml:space="preserve">RL </w:t>
      </w:r>
      <w:r>
        <w:rPr>
          <w:b w:val="false"/>
        </w:rPr>
        <w:t xml:space="preserve">和 </w:t>
      </w:r>
      <w:r>
        <w:rPr>
          <w:b w:val="false"/>
        </w:rPr>
        <w:t xml:space="preserve">Qwen </w:t>
      </w:r>
      <w:r>
        <w:rPr>
          <w:b w:val="false"/>
        </w:rPr>
        <w:t xml:space="preserve">动态动作三轮 </w:t>
      </w:r>
      <w:r>
        <w:rPr>
          <w:b w:val="false"/>
        </w:rPr>
        <w:t>RL</w:t>
      </w:r>
      <w:r>
        <w:rPr>
          <w:b w:val="false"/>
        </w:rPr>
        <w:t xml:space="preserve">。固定动作策略从预定义弱类扩展动作中选择；动态策略针对每张图的 </w:t>
      </w:r>
      <w:r>
        <w:rPr>
          <w:b w:val="false"/>
        </w:rPr>
        <w:t xml:space="preserve">Qwen prompt pool </w:t>
      </w:r>
      <w:r>
        <w:rPr>
          <w:b w:val="false"/>
        </w:rPr>
        <w:t>评分。</w:t>
      </w:r>
    </w:p>
    <w:p>
      <w:pPr>
        <w:pStyle w:val="Normal"/>
        <w:spacing w:before="120" w:after="80"/>
        <w:jc w:val="center"/>
        <w:rPr/>
      </w:pPr>
      <w:r>
        <w:rPr>
          <w:rFonts w:ascii="Times New Roman" w:hAnsi="Times New Roman" w:eastAsia="黑体"/>
          <w:b w:val="false"/>
          <w:sz w:val="21"/>
        </w:rPr>
        <w:t>表</w:t>
      </w:r>
      <w:r>
        <w:rPr>
          <w:rFonts w:eastAsia="黑体"/>
          <w:b w:val="false"/>
          <w:sz w:val="21"/>
        </w:rPr>
        <w:t xml:space="preserve">4-2 Qwen </w:t>
      </w:r>
      <w:r>
        <w:rPr>
          <w:rFonts w:ascii="Times New Roman" w:hAnsi="Times New Roman" w:eastAsia="黑体"/>
          <w:b w:val="false"/>
          <w:sz w:val="21"/>
        </w:rPr>
        <w:t>动态动作与固定策略对比</w:t>
      </w:r>
    </w:p>
    <w:tbl>
      <w:tblPr>
        <w:tblStyle w:val="15"/>
        <w:tblW w:w="85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01"/>
        <w:gridCol w:w="1701"/>
        <w:gridCol w:w="1701"/>
        <w:gridCol w:w="1701"/>
        <w:gridCol w:w="1701"/>
      </w:tblGrid>
      <w:tr>
        <w:trPr>
          <w:tblHeader w:val="true"/>
        </w:trPr>
        <w:tc>
          <w:tcPr>
            <w:tcW w:w="1701" w:type="dxa"/>
            <w:tcBorders/>
            <w:shd w:fill="1E3D59"/>
            <w:vAlign w:val="center"/>
          </w:tcPr>
          <w:p>
            <w:pPr>
              <w:pStyle w:val="Normal"/>
              <w:widowControl w:val="false"/>
              <w:spacing w:before="0" w:after="0"/>
              <w:jc w:val="center"/>
              <w:rPr/>
            </w:pPr>
            <w:r>
              <w:rPr>
                <w:rFonts w:ascii="Times New Roman" w:hAnsi="Times New Roman"/>
                <w:b/>
                <w:color w:val="FFFFFF"/>
                <w:sz w:val="16"/>
              </w:rPr>
              <w:t>方法</w:t>
            </w:r>
          </w:p>
        </w:tc>
        <w:tc>
          <w:tcPr>
            <w:tcW w:w="1701" w:type="dxa"/>
            <w:tcBorders/>
            <w:shd w:fill="1E3D59"/>
            <w:vAlign w:val="center"/>
          </w:tcPr>
          <w:p>
            <w:pPr>
              <w:pStyle w:val="Normal"/>
              <w:widowControl w:val="false"/>
              <w:spacing w:before="0" w:after="0"/>
              <w:jc w:val="center"/>
              <w:rPr/>
            </w:pPr>
            <w:r>
              <w:rPr>
                <w:rFonts w:ascii="Times New Roman" w:hAnsi="Times New Roman"/>
                <w:b/>
                <w:color w:val="FFFFFF"/>
                <w:sz w:val="16"/>
              </w:rPr>
              <w:t>预测框数</w:t>
            </w:r>
          </w:p>
        </w:tc>
        <w:tc>
          <w:tcPr>
            <w:tcW w:w="1701" w:type="dxa"/>
            <w:tcBorders/>
            <w:shd w:fill="1E3D59"/>
            <w:vAlign w:val="center"/>
          </w:tcPr>
          <w:p>
            <w:pPr>
              <w:pStyle w:val="Normal"/>
              <w:widowControl w:val="false"/>
              <w:spacing w:before="0" w:after="0"/>
              <w:jc w:val="center"/>
              <w:rPr/>
            </w:pPr>
            <w:r>
              <w:rPr>
                <w:rFonts w:eastAsia="宋体"/>
                <w:b/>
                <w:color w:val="FFFFFF"/>
                <w:sz w:val="16"/>
              </w:rPr>
              <w:t>Acc@0.5</w:t>
            </w:r>
          </w:p>
        </w:tc>
        <w:tc>
          <w:tcPr>
            <w:tcW w:w="1701" w:type="dxa"/>
            <w:tcBorders/>
            <w:shd w:fill="1E3D59"/>
            <w:vAlign w:val="center"/>
          </w:tcPr>
          <w:p>
            <w:pPr>
              <w:pStyle w:val="Normal"/>
              <w:widowControl w:val="false"/>
              <w:spacing w:before="0" w:after="0"/>
              <w:jc w:val="center"/>
              <w:rPr/>
            </w:pPr>
            <w:r>
              <w:rPr>
                <w:rFonts w:eastAsia="宋体"/>
                <w:b/>
                <w:color w:val="FFFFFF"/>
                <w:sz w:val="16"/>
              </w:rPr>
              <w:t>Acc@0.75</w:t>
            </w:r>
          </w:p>
        </w:tc>
        <w:tc>
          <w:tcPr>
            <w:tcW w:w="1701" w:type="dxa"/>
            <w:tcBorders/>
            <w:shd w:fill="1E3D59"/>
            <w:vAlign w:val="center"/>
          </w:tcPr>
          <w:p>
            <w:pPr>
              <w:pStyle w:val="Normal"/>
              <w:widowControl w:val="false"/>
              <w:spacing w:before="0" w:after="0"/>
              <w:jc w:val="center"/>
              <w:rPr/>
            </w:pPr>
            <w:r>
              <w:rPr>
                <w:rFonts w:eastAsia="宋体"/>
                <w:b/>
                <w:color w:val="FFFFFF"/>
                <w:sz w:val="16"/>
              </w:rPr>
              <w:t>mAP@0.5</w:t>
            </w:r>
          </w:p>
        </w:tc>
      </w:tr>
      <w:tr>
        <w:trPr/>
        <w:tc>
          <w:tcPr>
            <w:tcW w:w="1701" w:type="dxa"/>
            <w:tcBorders/>
            <w:vAlign w:val="center"/>
          </w:tcPr>
          <w:p>
            <w:pPr>
              <w:pStyle w:val="Normal"/>
              <w:widowControl w:val="false"/>
              <w:spacing w:before="0" w:after="0"/>
              <w:jc w:val="center"/>
              <w:rPr/>
            </w:pPr>
            <w:r>
              <w:rPr>
                <w:rFonts w:eastAsia="宋体"/>
                <w:b w:val="false"/>
                <w:sz w:val="16"/>
              </w:rPr>
              <w:t xml:space="preserve">Query base + </w:t>
            </w:r>
            <w:r>
              <w:rPr>
                <w:rFonts w:ascii="Times New Roman" w:hAnsi="Times New Roman"/>
                <w:b w:val="false"/>
                <w:sz w:val="16"/>
              </w:rPr>
              <w:t>富元信息排序</w:t>
            </w:r>
          </w:p>
        </w:tc>
        <w:tc>
          <w:tcPr>
            <w:tcW w:w="1701" w:type="dxa"/>
            <w:tcBorders/>
            <w:vAlign w:val="center"/>
          </w:tcPr>
          <w:p>
            <w:pPr>
              <w:pStyle w:val="Normal"/>
              <w:widowControl w:val="false"/>
              <w:spacing w:before="0" w:after="0"/>
              <w:jc w:val="center"/>
              <w:rPr/>
            </w:pPr>
            <w:r>
              <w:rPr>
                <w:rFonts w:eastAsia="宋体"/>
                <w:b w:val="false"/>
                <w:sz w:val="16"/>
              </w:rPr>
              <w:t>22,298</w:t>
            </w:r>
          </w:p>
        </w:tc>
        <w:tc>
          <w:tcPr>
            <w:tcW w:w="1701" w:type="dxa"/>
            <w:tcBorders/>
            <w:vAlign w:val="center"/>
          </w:tcPr>
          <w:p>
            <w:pPr>
              <w:pStyle w:val="Normal"/>
              <w:widowControl w:val="false"/>
              <w:spacing w:before="0" w:after="0"/>
              <w:jc w:val="center"/>
              <w:rPr/>
            </w:pPr>
            <w:r>
              <w:rPr>
                <w:rFonts w:eastAsia="宋体"/>
                <w:b w:val="false"/>
                <w:sz w:val="16"/>
              </w:rPr>
              <w:t>0.4651</w:t>
            </w:r>
          </w:p>
        </w:tc>
        <w:tc>
          <w:tcPr>
            <w:tcW w:w="1701" w:type="dxa"/>
            <w:tcBorders/>
            <w:vAlign w:val="center"/>
          </w:tcPr>
          <w:p>
            <w:pPr>
              <w:pStyle w:val="Normal"/>
              <w:widowControl w:val="false"/>
              <w:spacing w:before="0" w:after="0"/>
              <w:jc w:val="center"/>
              <w:rPr/>
            </w:pPr>
            <w:r>
              <w:rPr>
                <w:rFonts w:eastAsia="宋体"/>
                <w:b w:val="false"/>
                <w:sz w:val="16"/>
              </w:rPr>
              <w:t>0.3131</w:t>
            </w:r>
          </w:p>
        </w:tc>
        <w:tc>
          <w:tcPr>
            <w:tcW w:w="1701" w:type="dxa"/>
            <w:tcBorders/>
            <w:vAlign w:val="center"/>
          </w:tcPr>
          <w:p>
            <w:pPr>
              <w:pStyle w:val="Normal"/>
              <w:widowControl w:val="false"/>
              <w:spacing w:before="0" w:after="0"/>
              <w:jc w:val="center"/>
              <w:rPr/>
            </w:pPr>
            <w:r>
              <w:rPr>
                <w:rFonts w:eastAsia="宋体"/>
                <w:b w:val="false"/>
                <w:sz w:val="16"/>
              </w:rPr>
              <w:t>0.1343</w:t>
            </w:r>
          </w:p>
        </w:tc>
      </w:tr>
      <w:tr>
        <w:trPr/>
        <w:tc>
          <w:tcPr>
            <w:tcW w:w="1701" w:type="dxa"/>
            <w:tcBorders/>
            <w:shd w:fill="E1EFFA"/>
            <w:vAlign w:val="center"/>
          </w:tcPr>
          <w:p>
            <w:pPr>
              <w:pStyle w:val="Normal"/>
              <w:widowControl w:val="false"/>
              <w:spacing w:before="0" w:after="0"/>
              <w:jc w:val="center"/>
              <w:rPr/>
            </w:pPr>
            <w:r>
              <w:rPr>
                <w:rFonts w:ascii="Times New Roman" w:hAnsi="Times New Roman"/>
                <w:b/>
                <w:sz w:val="16"/>
              </w:rPr>
              <w:t xml:space="preserve">固定动作三轮 </w:t>
            </w:r>
            <w:r>
              <w:rPr>
                <w:rFonts w:eastAsia="宋体"/>
                <w:b/>
                <w:sz w:val="16"/>
              </w:rPr>
              <w:t>RL</w:t>
            </w:r>
          </w:p>
        </w:tc>
        <w:tc>
          <w:tcPr>
            <w:tcW w:w="1701" w:type="dxa"/>
            <w:tcBorders/>
            <w:shd w:fill="E1EFFA"/>
            <w:vAlign w:val="center"/>
          </w:tcPr>
          <w:p>
            <w:pPr>
              <w:pStyle w:val="Normal"/>
              <w:widowControl w:val="false"/>
              <w:spacing w:before="0" w:after="0"/>
              <w:jc w:val="center"/>
              <w:rPr/>
            </w:pPr>
            <w:r>
              <w:rPr>
                <w:rFonts w:eastAsia="宋体"/>
                <w:b/>
                <w:sz w:val="16"/>
              </w:rPr>
              <w:t>40,904</w:t>
            </w:r>
          </w:p>
        </w:tc>
        <w:tc>
          <w:tcPr>
            <w:tcW w:w="1701" w:type="dxa"/>
            <w:tcBorders/>
            <w:shd w:fill="E1EFFA"/>
            <w:vAlign w:val="center"/>
          </w:tcPr>
          <w:p>
            <w:pPr>
              <w:pStyle w:val="Normal"/>
              <w:widowControl w:val="false"/>
              <w:spacing w:before="0" w:after="0"/>
              <w:jc w:val="center"/>
              <w:rPr/>
            </w:pPr>
            <w:r>
              <w:rPr>
                <w:rFonts w:eastAsia="宋体"/>
                <w:b/>
                <w:sz w:val="16"/>
              </w:rPr>
              <w:t>0.5293</w:t>
            </w:r>
          </w:p>
        </w:tc>
        <w:tc>
          <w:tcPr>
            <w:tcW w:w="1701" w:type="dxa"/>
            <w:tcBorders/>
            <w:shd w:fill="E1EFFA"/>
            <w:vAlign w:val="center"/>
          </w:tcPr>
          <w:p>
            <w:pPr>
              <w:pStyle w:val="Normal"/>
              <w:widowControl w:val="false"/>
              <w:spacing w:before="0" w:after="0"/>
              <w:jc w:val="center"/>
              <w:rPr/>
            </w:pPr>
            <w:r>
              <w:rPr>
                <w:rFonts w:eastAsia="宋体"/>
                <w:b/>
                <w:sz w:val="16"/>
              </w:rPr>
              <w:t>0.3310</w:t>
            </w:r>
          </w:p>
        </w:tc>
        <w:tc>
          <w:tcPr>
            <w:tcW w:w="1701" w:type="dxa"/>
            <w:tcBorders/>
            <w:shd w:fill="E1EFFA"/>
            <w:vAlign w:val="center"/>
          </w:tcPr>
          <w:p>
            <w:pPr>
              <w:pStyle w:val="Normal"/>
              <w:widowControl w:val="false"/>
              <w:spacing w:before="0" w:after="0"/>
              <w:jc w:val="center"/>
              <w:rPr/>
            </w:pPr>
            <w:r>
              <w:rPr>
                <w:rFonts w:eastAsia="宋体"/>
                <w:b/>
                <w:sz w:val="16"/>
              </w:rPr>
              <w:t>0.1397</w:t>
            </w:r>
          </w:p>
        </w:tc>
      </w:tr>
      <w:tr>
        <w:trPr/>
        <w:tc>
          <w:tcPr>
            <w:tcW w:w="1701" w:type="dxa"/>
            <w:tcBorders/>
            <w:shd w:fill="E1EFFA"/>
            <w:vAlign w:val="center"/>
          </w:tcPr>
          <w:p>
            <w:pPr>
              <w:pStyle w:val="Normal"/>
              <w:widowControl w:val="false"/>
              <w:spacing w:before="0" w:after="0"/>
              <w:jc w:val="center"/>
              <w:rPr/>
            </w:pPr>
            <w:r>
              <w:rPr>
                <w:rFonts w:eastAsia="宋体"/>
                <w:b/>
                <w:sz w:val="16"/>
              </w:rPr>
              <w:t xml:space="preserve">Qwen </w:t>
            </w:r>
            <w:r>
              <w:rPr>
                <w:rFonts w:ascii="Times New Roman" w:hAnsi="Times New Roman"/>
                <w:b/>
                <w:sz w:val="16"/>
              </w:rPr>
              <w:t xml:space="preserve">动态动作三轮 </w:t>
            </w:r>
            <w:r>
              <w:rPr>
                <w:rFonts w:eastAsia="宋体"/>
                <w:b/>
                <w:sz w:val="16"/>
              </w:rPr>
              <w:t>RL</w:t>
            </w:r>
          </w:p>
        </w:tc>
        <w:tc>
          <w:tcPr>
            <w:tcW w:w="1701" w:type="dxa"/>
            <w:tcBorders/>
            <w:shd w:fill="E1EFFA"/>
            <w:vAlign w:val="center"/>
          </w:tcPr>
          <w:p>
            <w:pPr>
              <w:pStyle w:val="Normal"/>
              <w:widowControl w:val="false"/>
              <w:spacing w:before="0" w:after="0"/>
              <w:jc w:val="center"/>
              <w:rPr/>
            </w:pPr>
            <w:r>
              <w:rPr>
                <w:rFonts w:eastAsia="宋体"/>
                <w:b/>
                <w:sz w:val="16"/>
              </w:rPr>
              <w:t>35,869</w:t>
            </w:r>
          </w:p>
        </w:tc>
        <w:tc>
          <w:tcPr>
            <w:tcW w:w="1701" w:type="dxa"/>
            <w:tcBorders/>
            <w:shd w:fill="E1EFFA"/>
            <w:vAlign w:val="center"/>
          </w:tcPr>
          <w:p>
            <w:pPr>
              <w:pStyle w:val="Normal"/>
              <w:widowControl w:val="false"/>
              <w:spacing w:before="0" w:after="0"/>
              <w:jc w:val="center"/>
              <w:rPr/>
            </w:pPr>
            <w:r>
              <w:rPr>
                <w:rFonts w:eastAsia="宋体"/>
                <w:b/>
                <w:sz w:val="16"/>
              </w:rPr>
              <w:t>0.5004</w:t>
            </w:r>
          </w:p>
        </w:tc>
        <w:tc>
          <w:tcPr>
            <w:tcW w:w="1701" w:type="dxa"/>
            <w:tcBorders/>
            <w:shd w:fill="E1EFFA"/>
            <w:vAlign w:val="center"/>
          </w:tcPr>
          <w:p>
            <w:pPr>
              <w:pStyle w:val="Normal"/>
              <w:widowControl w:val="false"/>
              <w:spacing w:before="0" w:after="0"/>
              <w:jc w:val="center"/>
              <w:rPr/>
            </w:pPr>
            <w:r>
              <w:rPr>
                <w:rFonts w:eastAsia="宋体"/>
                <w:b/>
                <w:sz w:val="16"/>
              </w:rPr>
              <w:t>0.3248</w:t>
            </w:r>
          </w:p>
        </w:tc>
        <w:tc>
          <w:tcPr>
            <w:tcW w:w="1701" w:type="dxa"/>
            <w:tcBorders/>
            <w:shd w:fill="E1EFFA"/>
            <w:vAlign w:val="center"/>
          </w:tcPr>
          <w:p>
            <w:pPr>
              <w:pStyle w:val="Normal"/>
              <w:widowControl w:val="false"/>
              <w:spacing w:before="0" w:after="0"/>
              <w:jc w:val="center"/>
              <w:rPr/>
            </w:pPr>
            <w:r>
              <w:rPr>
                <w:rFonts w:eastAsia="宋体"/>
                <w:b/>
                <w:sz w:val="16"/>
              </w:rPr>
              <w:t>0.1424</w:t>
            </w:r>
          </w:p>
        </w:tc>
      </w:tr>
    </w:tbl>
    <w:p>
      <w:pPr>
        <w:pStyle w:val="Style12"/>
        <w:rPr/>
      </w:pPr>
      <w:r>
        <w:rPr/>
      </w:r>
    </w:p>
    <w:p>
      <w:pPr>
        <w:pStyle w:val="Style12"/>
        <w:rPr/>
      </w:pPr>
      <w:r>
        <w:rPr>
          <w:b w:val="false"/>
        </w:rPr>
        <w:t xml:space="preserve">固定动作 </w:t>
      </w:r>
      <w:r>
        <w:rPr>
          <w:b w:val="false"/>
        </w:rPr>
        <w:t xml:space="preserve">RL </w:t>
      </w:r>
      <w:r>
        <w:rPr>
          <w:b w:val="false"/>
        </w:rPr>
        <w:t xml:space="preserve">的 </w:t>
      </w:r>
      <w:r>
        <w:rPr>
          <w:b w:val="false"/>
        </w:rPr>
        <w:t xml:space="preserve">Acc@0.5 </w:t>
      </w:r>
      <w:r>
        <w:rPr>
          <w:b w:val="false"/>
        </w:rPr>
        <w:t xml:space="preserve">最高，为 </w:t>
      </w:r>
      <w:r>
        <w:rPr>
          <w:b w:val="false"/>
        </w:rPr>
        <w:t>0.5293</w:t>
      </w:r>
      <w:r>
        <w:rPr>
          <w:b w:val="false"/>
        </w:rPr>
        <w:t>，说明针对弱类的固定扩展具有更强召回能力。</w:t>
      </w:r>
      <w:r>
        <w:rPr>
          <w:b w:val="false"/>
        </w:rPr>
        <w:t xml:space="preserve">Qwen </w:t>
      </w:r>
      <w:r>
        <w:rPr>
          <w:b w:val="false"/>
        </w:rPr>
        <w:t xml:space="preserve">动态策略将预测框从 </w:t>
      </w:r>
      <w:r>
        <w:rPr>
          <w:b w:val="false"/>
        </w:rPr>
        <w:t xml:space="preserve">40904 </w:t>
      </w:r>
      <w:r>
        <w:rPr>
          <w:b w:val="false"/>
        </w:rPr>
        <w:t xml:space="preserve">减少到 </w:t>
      </w:r>
      <w:r>
        <w:rPr>
          <w:b w:val="false"/>
        </w:rPr>
        <w:t>35869</w:t>
      </w:r>
      <w:r>
        <w:rPr>
          <w:b w:val="false"/>
        </w:rPr>
        <w:t xml:space="preserve">，降幅约 </w:t>
      </w:r>
      <w:r>
        <w:rPr>
          <w:b w:val="false"/>
        </w:rPr>
        <w:t>12.3%</w:t>
      </w:r>
      <w:r>
        <w:rPr>
          <w:b w:val="false"/>
        </w:rPr>
        <w:t xml:space="preserve">，同时将 </w:t>
      </w:r>
      <w:r>
        <w:rPr>
          <w:b w:val="false"/>
        </w:rPr>
        <w:t xml:space="preserve">mAP@0.5 </w:t>
      </w:r>
      <w:r>
        <w:rPr>
          <w:b w:val="false"/>
        </w:rPr>
        <w:t xml:space="preserve">从 </w:t>
      </w:r>
      <w:r>
        <w:rPr>
          <w:b w:val="false"/>
        </w:rPr>
        <w:t xml:space="preserve">0.1397 </w:t>
      </w:r>
      <w:r>
        <w:rPr>
          <w:b w:val="false"/>
        </w:rPr>
        <w:t xml:space="preserve">提升到 </w:t>
      </w:r>
      <w:r>
        <w:rPr>
          <w:b w:val="false"/>
        </w:rPr>
        <w:t>0.1424</w:t>
      </w:r>
      <w:r>
        <w:rPr>
          <w:b w:val="false"/>
        </w:rPr>
        <w:t xml:space="preserve">；但 </w:t>
      </w:r>
      <w:r>
        <w:rPr>
          <w:b w:val="false"/>
        </w:rPr>
        <w:t xml:space="preserve">Acc@0.5 </w:t>
      </w:r>
      <w:r>
        <w:rPr>
          <w:b w:val="false"/>
        </w:rPr>
        <w:t xml:space="preserve">和 </w:t>
      </w:r>
      <w:r>
        <w:rPr>
          <w:b w:val="false"/>
        </w:rPr>
        <w:t xml:space="preserve">Acc@0.75 </w:t>
      </w:r>
      <w:r>
        <w:rPr>
          <w:b w:val="false"/>
        </w:rPr>
        <w:t xml:space="preserve">分别下降 </w:t>
      </w:r>
      <w:r>
        <w:rPr>
          <w:b w:val="false"/>
        </w:rPr>
        <w:t xml:space="preserve">0.0289 </w:t>
      </w:r>
      <w:r>
        <w:rPr>
          <w:b w:val="false"/>
        </w:rPr>
        <w:t xml:space="preserve">和 </w:t>
      </w:r>
      <w:r>
        <w:rPr>
          <w:b w:val="false"/>
        </w:rPr>
        <w:t>0.0062</w:t>
      </w:r>
      <w:r>
        <w:rPr>
          <w:b w:val="false"/>
        </w:rPr>
        <w:t xml:space="preserve">。动作统计中，动态策略的 </w:t>
      </w:r>
      <w:r>
        <w:rPr>
          <w:b w:val="false"/>
        </w:rPr>
        <w:t xml:space="preserve">STOP </w:t>
      </w:r>
      <w:r>
        <w:rPr>
          <w:b w:val="false"/>
        </w:rPr>
        <w:t xml:space="preserve">比例为 </w:t>
      </w:r>
      <w:r>
        <w:rPr>
          <w:b w:val="false"/>
        </w:rPr>
        <w:t>52.3%</w:t>
      </w:r>
      <w:r>
        <w:rPr>
          <w:b w:val="false"/>
        </w:rPr>
        <w:t xml:space="preserve">，高于固定策略的 </w:t>
      </w:r>
      <w:r>
        <w:rPr>
          <w:b w:val="false"/>
        </w:rPr>
        <w:t>32.3%</w:t>
      </w:r>
      <w:r>
        <w:rPr>
          <w:b w:val="false"/>
        </w:rPr>
        <w:t>，表明其选择更保守。</w:t>
      </w:r>
    </w:p>
    <w:p>
      <w:pPr>
        <w:pStyle w:val="Style12"/>
        <w:rPr/>
      </w:pPr>
      <w:r>
        <w:rPr>
          <w:b w:val="false"/>
        </w:rPr>
        <w:t>因此，本实验不支持“动态策略在所有指标上优于固定策略”的结论。更准确的表述是：</w:t>
      </w:r>
      <w:r>
        <w:rPr>
          <w:b w:val="false"/>
        </w:rPr>
        <w:t xml:space="preserve">Qwen </w:t>
      </w:r>
      <w:r>
        <w:rPr>
          <w:b w:val="false"/>
        </w:rPr>
        <w:t>动态动作改善了候选规模和置信度排序质量，固定动作策略则更有利于候选召回；两者体现了不同的精度—开销偏好。</w:t>
      </w:r>
    </w:p>
    <w:p>
      <w:pPr>
        <w:pStyle w:val="23"/>
        <w:numPr>
          <w:ilvl w:val="1"/>
          <w:numId w:val="1"/>
        </w:numPr>
        <w:rPr/>
      </w:pPr>
      <w:bookmarkStart w:id="175" w:name="__RefHeading___Toc10318_2198631117"/>
      <w:bookmarkEnd w:id="175"/>
      <w:r>
        <w:rPr>
          <w:b w:val="false"/>
        </w:rPr>
        <w:t>闭环轮数消融</w:t>
      </w:r>
    </w:p>
    <w:p>
      <w:pPr>
        <w:pStyle w:val="Style12"/>
        <w:rPr/>
      </w:pPr>
      <w:r>
        <w:rPr>
          <w:b w:val="false"/>
        </w:rPr>
        <w:t xml:space="preserve">轮数消融固定同一三轮训练策略，仅改变总推理轮数。两轮表示 </w:t>
      </w:r>
      <w:r>
        <w:rPr>
          <w:b w:val="false"/>
        </w:rPr>
        <w:t xml:space="preserve">C0 </w:t>
      </w:r>
      <w:r>
        <w:rPr>
          <w:b w:val="false"/>
        </w:rPr>
        <w:t xml:space="preserve">后执行一次反馈决策，三轮执行两次；四轮沿用同一策略，并在额外决策处使用 </w:t>
      </w:r>
      <w:r>
        <w:rPr>
          <w:b w:val="false"/>
        </w:rPr>
        <w:t>progress=1.0</w:t>
      </w:r>
      <w:r>
        <w:rPr>
          <w:b w:val="false"/>
        </w:rPr>
        <w:t>、</w:t>
      </w:r>
      <w:r>
        <w:rPr>
          <w:b w:val="false"/>
        </w:rPr>
        <w:t xml:space="preserve">remaining=0.0 </w:t>
      </w:r>
      <w:r>
        <w:rPr>
          <w:b w:val="false"/>
        </w:rPr>
        <w:t>的范围终点编码，因此它是固定策略下的推理轮数扩展，而非重新训练的四轮策略。</w:t>
      </w:r>
    </w:p>
    <w:p>
      <w:pPr>
        <w:pStyle w:val="Normal"/>
        <w:spacing w:before="120" w:after="80"/>
        <w:jc w:val="center"/>
        <w:rPr/>
      </w:pPr>
      <w:r>
        <w:rPr>
          <w:rFonts w:ascii="Times New Roman" w:hAnsi="Times New Roman" w:eastAsia="黑体"/>
          <w:b w:val="false"/>
          <w:sz w:val="21"/>
        </w:rPr>
        <w:t>表</w:t>
      </w:r>
      <w:r>
        <w:rPr>
          <w:rFonts w:eastAsia="黑体"/>
          <w:b w:val="false"/>
          <w:sz w:val="21"/>
        </w:rPr>
        <w:t xml:space="preserve">4-3 RL </w:t>
      </w:r>
      <w:r>
        <w:rPr>
          <w:rFonts w:ascii="Times New Roman" w:hAnsi="Times New Roman" w:eastAsia="黑体"/>
          <w:b w:val="false"/>
          <w:sz w:val="21"/>
        </w:rPr>
        <w:t>闭环轮数消融结果</w:t>
      </w:r>
    </w:p>
    <w:tbl>
      <w:tblPr>
        <w:tblStyle w:val="15"/>
        <w:tblW w:w="85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15"/>
        <w:gridCol w:w="1214"/>
        <w:gridCol w:w="1216"/>
        <w:gridCol w:w="1214"/>
        <w:gridCol w:w="1216"/>
        <w:gridCol w:w="1214"/>
        <w:gridCol w:w="1215"/>
      </w:tblGrid>
      <w:tr>
        <w:trPr>
          <w:tblHeader w:val="true"/>
        </w:trPr>
        <w:tc>
          <w:tcPr>
            <w:tcW w:w="1215" w:type="dxa"/>
            <w:tcBorders/>
            <w:shd w:fill="1E3D59"/>
            <w:vAlign w:val="center"/>
          </w:tcPr>
          <w:p>
            <w:pPr>
              <w:pStyle w:val="Normal"/>
              <w:widowControl w:val="false"/>
              <w:spacing w:before="0" w:after="0"/>
              <w:jc w:val="center"/>
              <w:rPr/>
            </w:pPr>
            <w:r>
              <w:rPr>
                <w:rFonts w:ascii="Times New Roman" w:hAnsi="Times New Roman"/>
                <w:b/>
                <w:color w:val="FFFFFF"/>
                <w:sz w:val="16"/>
              </w:rPr>
              <w:t>总轮数</w:t>
            </w:r>
          </w:p>
        </w:tc>
        <w:tc>
          <w:tcPr>
            <w:tcW w:w="1214" w:type="dxa"/>
            <w:tcBorders/>
            <w:shd w:fill="1E3D59"/>
            <w:vAlign w:val="center"/>
          </w:tcPr>
          <w:p>
            <w:pPr>
              <w:pStyle w:val="Normal"/>
              <w:widowControl w:val="false"/>
              <w:spacing w:before="0" w:after="0"/>
              <w:jc w:val="center"/>
              <w:rPr/>
            </w:pPr>
            <w:r>
              <w:rPr>
                <w:rFonts w:ascii="Times New Roman" w:hAnsi="Times New Roman"/>
                <w:b/>
                <w:color w:val="FFFFFF"/>
                <w:sz w:val="16"/>
              </w:rPr>
              <w:t>候选框</w:t>
            </w:r>
          </w:p>
        </w:tc>
        <w:tc>
          <w:tcPr>
            <w:tcW w:w="1216" w:type="dxa"/>
            <w:tcBorders/>
            <w:shd w:fill="1E3D59"/>
            <w:vAlign w:val="center"/>
          </w:tcPr>
          <w:p>
            <w:pPr>
              <w:pStyle w:val="Normal"/>
              <w:widowControl w:val="false"/>
              <w:spacing w:before="0" w:after="0"/>
              <w:jc w:val="center"/>
              <w:rPr/>
            </w:pPr>
            <w:r>
              <w:rPr>
                <w:rFonts w:eastAsia="宋体"/>
                <w:b/>
                <w:color w:val="FFFFFF"/>
                <w:sz w:val="16"/>
              </w:rPr>
              <w:t>TP@0.5</w:t>
            </w:r>
          </w:p>
        </w:tc>
        <w:tc>
          <w:tcPr>
            <w:tcW w:w="1214" w:type="dxa"/>
            <w:tcBorders/>
            <w:shd w:fill="1E3D59"/>
            <w:vAlign w:val="center"/>
          </w:tcPr>
          <w:p>
            <w:pPr>
              <w:pStyle w:val="Normal"/>
              <w:widowControl w:val="false"/>
              <w:spacing w:before="0" w:after="0"/>
              <w:jc w:val="center"/>
              <w:rPr/>
            </w:pPr>
            <w:r>
              <w:rPr>
                <w:rFonts w:eastAsia="宋体"/>
                <w:b/>
                <w:color w:val="FFFFFF"/>
                <w:sz w:val="16"/>
              </w:rPr>
              <w:t>Acc@0.5</w:t>
            </w:r>
          </w:p>
        </w:tc>
        <w:tc>
          <w:tcPr>
            <w:tcW w:w="1216" w:type="dxa"/>
            <w:tcBorders/>
            <w:shd w:fill="1E3D59"/>
            <w:vAlign w:val="center"/>
          </w:tcPr>
          <w:p>
            <w:pPr>
              <w:pStyle w:val="Normal"/>
              <w:widowControl w:val="false"/>
              <w:spacing w:before="0" w:after="0"/>
              <w:jc w:val="center"/>
              <w:rPr/>
            </w:pPr>
            <w:r>
              <w:rPr>
                <w:rFonts w:eastAsia="宋体"/>
                <w:b/>
                <w:color w:val="FFFFFF"/>
                <w:sz w:val="16"/>
              </w:rPr>
              <w:t>Acc@0.75</w:t>
            </w:r>
          </w:p>
        </w:tc>
        <w:tc>
          <w:tcPr>
            <w:tcW w:w="1214" w:type="dxa"/>
            <w:tcBorders/>
            <w:shd w:fill="1E3D59"/>
            <w:vAlign w:val="center"/>
          </w:tcPr>
          <w:p>
            <w:pPr>
              <w:pStyle w:val="Normal"/>
              <w:widowControl w:val="false"/>
              <w:spacing w:before="0" w:after="0"/>
              <w:jc w:val="center"/>
              <w:rPr/>
            </w:pPr>
            <w:r>
              <w:rPr>
                <w:rFonts w:eastAsia="宋体"/>
                <w:b/>
                <w:color w:val="FFFFFF"/>
                <w:sz w:val="16"/>
              </w:rPr>
              <w:t>mAP@0.5</w:t>
            </w:r>
          </w:p>
        </w:tc>
        <w:tc>
          <w:tcPr>
            <w:tcW w:w="1215" w:type="dxa"/>
            <w:tcBorders/>
            <w:shd w:fill="1E3D59"/>
            <w:vAlign w:val="center"/>
          </w:tcPr>
          <w:p>
            <w:pPr>
              <w:pStyle w:val="Normal"/>
              <w:widowControl w:val="false"/>
              <w:spacing w:before="0" w:after="0"/>
              <w:jc w:val="center"/>
              <w:rPr/>
            </w:pPr>
            <w:r>
              <w:rPr>
                <w:rFonts w:ascii="Times New Roman" w:hAnsi="Times New Roman"/>
                <w:b/>
                <w:color w:val="FFFFFF"/>
                <w:sz w:val="16"/>
              </w:rPr>
              <w:t>单图时间</w:t>
            </w:r>
          </w:p>
        </w:tc>
      </w:tr>
      <w:tr>
        <w:trPr/>
        <w:tc>
          <w:tcPr>
            <w:tcW w:w="1215" w:type="dxa"/>
            <w:tcBorders/>
            <w:vAlign w:val="center"/>
          </w:tcPr>
          <w:p>
            <w:pPr>
              <w:pStyle w:val="Normal"/>
              <w:widowControl w:val="false"/>
              <w:spacing w:before="0" w:after="0"/>
              <w:jc w:val="center"/>
              <w:rPr/>
            </w:pPr>
            <w:r>
              <w:rPr>
                <w:rFonts w:eastAsia="宋体"/>
                <w:b w:val="false"/>
                <w:sz w:val="16"/>
              </w:rPr>
              <w:t>2</w:t>
            </w:r>
          </w:p>
        </w:tc>
        <w:tc>
          <w:tcPr>
            <w:tcW w:w="1214" w:type="dxa"/>
            <w:tcBorders/>
            <w:vAlign w:val="center"/>
          </w:tcPr>
          <w:p>
            <w:pPr>
              <w:pStyle w:val="Normal"/>
              <w:widowControl w:val="false"/>
              <w:spacing w:before="0" w:after="0"/>
              <w:jc w:val="center"/>
              <w:rPr/>
            </w:pPr>
            <w:r>
              <w:rPr>
                <w:rFonts w:eastAsia="宋体"/>
                <w:b w:val="false"/>
                <w:sz w:val="16"/>
              </w:rPr>
              <w:t>37,487</w:t>
            </w:r>
          </w:p>
        </w:tc>
        <w:tc>
          <w:tcPr>
            <w:tcW w:w="1216" w:type="dxa"/>
            <w:tcBorders/>
            <w:vAlign w:val="center"/>
          </w:tcPr>
          <w:p>
            <w:pPr>
              <w:pStyle w:val="Normal"/>
              <w:widowControl w:val="false"/>
              <w:spacing w:before="0" w:after="0"/>
              <w:jc w:val="center"/>
              <w:rPr/>
            </w:pPr>
            <w:r>
              <w:rPr>
                <w:rFonts w:eastAsia="宋体"/>
                <w:b w:val="false"/>
                <w:sz w:val="16"/>
              </w:rPr>
              <w:t>4,097</w:t>
            </w:r>
          </w:p>
        </w:tc>
        <w:tc>
          <w:tcPr>
            <w:tcW w:w="1214" w:type="dxa"/>
            <w:tcBorders/>
            <w:vAlign w:val="center"/>
          </w:tcPr>
          <w:p>
            <w:pPr>
              <w:pStyle w:val="Normal"/>
              <w:widowControl w:val="false"/>
              <w:spacing w:before="0" w:after="0"/>
              <w:jc w:val="center"/>
              <w:rPr/>
            </w:pPr>
            <w:r>
              <w:rPr>
                <w:rFonts w:eastAsia="宋体"/>
                <w:b w:val="false"/>
                <w:sz w:val="16"/>
              </w:rPr>
              <w:t>0.5139</w:t>
            </w:r>
          </w:p>
        </w:tc>
        <w:tc>
          <w:tcPr>
            <w:tcW w:w="1216" w:type="dxa"/>
            <w:tcBorders/>
            <w:vAlign w:val="center"/>
          </w:tcPr>
          <w:p>
            <w:pPr>
              <w:pStyle w:val="Normal"/>
              <w:widowControl w:val="false"/>
              <w:spacing w:before="0" w:after="0"/>
              <w:jc w:val="center"/>
              <w:rPr/>
            </w:pPr>
            <w:r>
              <w:rPr>
                <w:rFonts w:eastAsia="宋体"/>
                <w:b w:val="false"/>
                <w:sz w:val="16"/>
              </w:rPr>
              <w:t>0.3253</w:t>
            </w:r>
          </w:p>
        </w:tc>
        <w:tc>
          <w:tcPr>
            <w:tcW w:w="1214" w:type="dxa"/>
            <w:tcBorders/>
            <w:vAlign w:val="center"/>
          </w:tcPr>
          <w:p>
            <w:pPr>
              <w:pStyle w:val="Normal"/>
              <w:widowControl w:val="false"/>
              <w:spacing w:before="0" w:after="0"/>
              <w:jc w:val="center"/>
              <w:rPr/>
            </w:pPr>
            <w:r>
              <w:rPr>
                <w:rFonts w:eastAsia="宋体"/>
                <w:b w:val="false"/>
                <w:sz w:val="16"/>
              </w:rPr>
              <w:t>0.1386</w:t>
            </w:r>
          </w:p>
        </w:tc>
        <w:tc>
          <w:tcPr>
            <w:tcW w:w="1215" w:type="dxa"/>
            <w:tcBorders/>
            <w:vAlign w:val="center"/>
          </w:tcPr>
          <w:p>
            <w:pPr>
              <w:pStyle w:val="Normal"/>
              <w:widowControl w:val="false"/>
              <w:spacing w:before="0" w:after="0"/>
              <w:jc w:val="center"/>
              <w:rPr/>
            </w:pPr>
            <w:r>
              <w:rPr>
                <w:rFonts w:eastAsia="宋体"/>
                <w:b w:val="false"/>
                <w:sz w:val="16"/>
              </w:rPr>
              <w:t>75.11 ms</w:t>
            </w:r>
          </w:p>
        </w:tc>
      </w:tr>
      <w:tr>
        <w:trPr/>
        <w:tc>
          <w:tcPr>
            <w:tcW w:w="1215" w:type="dxa"/>
            <w:tcBorders/>
            <w:shd w:fill="E1EFFA"/>
            <w:vAlign w:val="center"/>
          </w:tcPr>
          <w:p>
            <w:pPr>
              <w:pStyle w:val="Normal"/>
              <w:widowControl w:val="false"/>
              <w:spacing w:before="0" w:after="0"/>
              <w:jc w:val="center"/>
              <w:rPr/>
            </w:pPr>
            <w:r>
              <w:rPr>
                <w:rFonts w:eastAsia="宋体"/>
                <w:b/>
                <w:sz w:val="16"/>
              </w:rPr>
              <w:t>3</w:t>
            </w:r>
          </w:p>
        </w:tc>
        <w:tc>
          <w:tcPr>
            <w:tcW w:w="1214" w:type="dxa"/>
            <w:tcBorders/>
            <w:shd w:fill="E1EFFA"/>
            <w:vAlign w:val="center"/>
          </w:tcPr>
          <w:p>
            <w:pPr>
              <w:pStyle w:val="Normal"/>
              <w:widowControl w:val="false"/>
              <w:spacing w:before="0" w:after="0"/>
              <w:jc w:val="center"/>
              <w:rPr/>
            </w:pPr>
            <w:r>
              <w:rPr>
                <w:rFonts w:eastAsia="宋体"/>
                <w:b/>
                <w:sz w:val="16"/>
              </w:rPr>
              <w:t>40,904</w:t>
            </w:r>
          </w:p>
        </w:tc>
        <w:tc>
          <w:tcPr>
            <w:tcW w:w="1216" w:type="dxa"/>
            <w:tcBorders/>
            <w:shd w:fill="E1EFFA"/>
            <w:vAlign w:val="center"/>
          </w:tcPr>
          <w:p>
            <w:pPr>
              <w:pStyle w:val="Normal"/>
              <w:widowControl w:val="false"/>
              <w:spacing w:before="0" w:after="0"/>
              <w:jc w:val="center"/>
              <w:rPr/>
            </w:pPr>
            <w:r>
              <w:rPr>
                <w:rFonts w:eastAsia="宋体"/>
                <w:b/>
                <w:sz w:val="16"/>
              </w:rPr>
              <w:t>4,220</w:t>
            </w:r>
          </w:p>
        </w:tc>
        <w:tc>
          <w:tcPr>
            <w:tcW w:w="1214" w:type="dxa"/>
            <w:tcBorders/>
            <w:shd w:fill="E1EFFA"/>
            <w:vAlign w:val="center"/>
          </w:tcPr>
          <w:p>
            <w:pPr>
              <w:pStyle w:val="Normal"/>
              <w:widowControl w:val="false"/>
              <w:spacing w:before="0" w:after="0"/>
              <w:jc w:val="center"/>
              <w:rPr/>
            </w:pPr>
            <w:r>
              <w:rPr>
                <w:rFonts w:eastAsia="宋体"/>
                <w:b/>
                <w:sz w:val="16"/>
              </w:rPr>
              <w:t>0.5293</w:t>
            </w:r>
          </w:p>
        </w:tc>
        <w:tc>
          <w:tcPr>
            <w:tcW w:w="1216" w:type="dxa"/>
            <w:tcBorders/>
            <w:shd w:fill="E1EFFA"/>
            <w:vAlign w:val="center"/>
          </w:tcPr>
          <w:p>
            <w:pPr>
              <w:pStyle w:val="Normal"/>
              <w:widowControl w:val="false"/>
              <w:spacing w:before="0" w:after="0"/>
              <w:jc w:val="center"/>
              <w:rPr/>
            </w:pPr>
            <w:r>
              <w:rPr>
                <w:rFonts w:eastAsia="宋体"/>
                <w:b/>
                <w:sz w:val="16"/>
              </w:rPr>
              <w:t>0.3310</w:t>
            </w:r>
          </w:p>
        </w:tc>
        <w:tc>
          <w:tcPr>
            <w:tcW w:w="1214" w:type="dxa"/>
            <w:tcBorders/>
            <w:shd w:fill="E1EFFA"/>
            <w:vAlign w:val="center"/>
          </w:tcPr>
          <w:p>
            <w:pPr>
              <w:pStyle w:val="Normal"/>
              <w:widowControl w:val="false"/>
              <w:spacing w:before="0" w:after="0"/>
              <w:jc w:val="center"/>
              <w:rPr/>
            </w:pPr>
            <w:r>
              <w:rPr>
                <w:rFonts w:eastAsia="宋体"/>
                <w:b/>
                <w:sz w:val="16"/>
              </w:rPr>
              <w:t>0.1397</w:t>
            </w:r>
          </w:p>
        </w:tc>
        <w:tc>
          <w:tcPr>
            <w:tcW w:w="1215" w:type="dxa"/>
            <w:tcBorders/>
            <w:shd w:fill="E1EFFA"/>
            <w:vAlign w:val="center"/>
          </w:tcPr>
          <w:p>
            <w:pPr>
              <w:pStyle w:val="Normal"/>
              <w:widowControl w:val="false"/>
              <w:spacing w:before="0" w:after="0"/>
              <w:jc w:val="center"/>
              <w:rPr/>
            </w:pPr>
            <w:r>
              <w:rPr>
                <w:rFonts w:eastAsia="宋体"/>
                <w:b/>
                <w:sz w:val="16"/>
              </w:rPr>
              <w:t>93.16 ms</w:t>
            </w:r>
          </w:p>
        </w:tc>
      </w:tr>
      <w:tr>
        <w:trPr/>
        <w:tc>
          <w:tcPr>
            <w:tcW w:w="1215" w:type="dxa"/>
            <w:tcBorders/>
            <w:shd w:fill="E1EFFA"/>
            <w:vAlign w:val="center"/>
          </w:tcPr>
          <w:p>
            <w:pPr>
              <w:pStyle w:val="Normal"/>
              <w:widowControl w:val="false"/>
              <w:spacing w:before="0" w:after="0"/>
              <w:jc w:val="center"/>
              <w:rPr/>
            </w:pPr>
            <w:r>
              <w:rPr>
                <w:rFonts w:eastAsia="宋体"/>
                <w:b/>
                <w:sz w:val="16"/>
              </w:rPr>
              <w:t>4</w:t>
            </w:r>
          </w:p>
        </w:tc>
        <w:tc>
          <w:tcPr>
            <w:tcW w:w="1214" w:type="dxa"/>
            <w:tcBorders/>
            <w:shd w:fill="E1EFFA"/>
            <w:vAlign w:val="center"/>
          </w:tcPr>
          <w:p>
            <w:pPr>
              <w:pStyle w:val="Normal"/>
              <w:widowControl w:val="false"/>
              <w:spacing w:before="0" w:after="0"/>
              <w:jc w:val="center"/>
              <w:rPr/>
            </w:pPr>
            <w:r>
              <w:rPr>
                <w:rFonts w:eastAsia="宋体"/>
                <w:b/>
                <w:sz w:val="16"/>
              </w:rPr>
              <w:t>42,229</w:t>
            </w:r>
          </w:p>
        </w:tc>
        <w:tc>
          <w:tcPr>
            <w:tcW w:w="1216" w:type="dxa"/>
            <w:tcBorders/>
            <w:shd w:fill="E1EFFA"/>
            <w:vAlign w:val="center"/>
          </w:tcPr>
          <w:p>
            <w:pPr>
              <w:pStyle w:val="Normal"/>
              <w:widowControl w:val="false"/>
              <w:spacing w:before="0" w:after="0"/>
              <w:jc w:val="center"/>
              <w:rPr/>
            </w:pPr>
            <w:r>
              <w:rPr>
                <w:rFonts w:eastAsia="宋体"/>
                <w:b/>
                <w:sz w:val="16"/>
              </w:rPr>
              <w:t>4,271</w:t>
            </w:r>
          </w:p>
        </w:tc>
        <w:tc>
          <w:tcPr>
            <w:tcW w:w="1214" w:type="dxa"/>
            <w:tcBorders/>
            <w:shd w:fill="E1EFFA"/>
            <w:vAlign w:val="center"/>
          </w:tcPr>
          <w:p>
            <w:pPr>
              <w:pStyle w:val="Normal"/>
              <w:widowControl w:val="false"/>
              <w:spacing w:before="0" w:after="0"/>
              <w:jc w:val="center"/>
              <w:rPr/>
            </w:pPr>
            <w:r>
              <w:rPr>
                <w:rFonts w:eastAsia="宋体"/>
                <w:b/>
                <w:sz w:val="16"/>
              </w:rPr>
              <w:t>0.5357</w:t>
            </w:r>
          </w:p>
        </w:tc>
        <w:tc>
          <w:tcPr>
            <w:tcW w:w="1216" w:type="dxa"/>
            <w:tcBorders/>
            <w:shd w:fill="E1EFFA"/>
            <w:vAlign w:val="center"/>
          </w:tcPr>
          <w:p>
            <w:pPr>
              <w:pStyle w:val="Normal"/>
              <w:widowControl w:val="false"/>
              <w:spacing w:before="0" w:after="0"/>
              <w:jc w:val="center"/>
              <w:rPr/>
            </w:pPr>
            <w:r>
              <w:rPr>
                <w:rFonts w:eastAsia="宋体"/>
                <w:b/>
                <w:sz w:val="16"/>
              </w:rPr>
              <w:t>0.3335</w:t>
            </w:r>
          </w:p>
        </w:tc>
        <w:tc>
          <w:tcPr>
            <w:tcW w:w="1214" w:type="dxa"/>
            <w:tcBorders/>
            <w:shd w:fill="E1EFFA"/>
            <w:vAlign w:val="center"/>
          </w:tcPr>
          <w:p>
            <w:pPr>
              <w:pStyle w:val="Normal"/>
              <w:widowControl w:val="false"/>
              <w:spacing w:before="0" w:after="0"/>
              <w:jc w:val="center"/>
              <w:rPr/>
            </w:pPr>
            <w:r>
              <w:rPr>
                <w:rFonts w:eastAsia="宋体"/>
                <w:b/>
                <w:sz w:val="16"/>
              </w:rPr>
              <w:t>0.1402</w:t>
            </w:r>
          </w:p>
        </w:tc>
        <w:tc>
          <w:tcPr>
            <w:tcW w:w="1215" w:type="dxa"/>
            <w:tcBorders/>
            <w:shd w:fill="E1EFFA"/>
            <w:vAlign w:val="center"/>
          </w:tcPr>
          <w:p>
            <w:pPr>
              <w:pStyle w:val="Normal"/>
              <w:widowControl w:val="false"/>
              <w:spacing w:before="0" w:after="0"/>
              <w:jc w:val="center"/>
              <w:rPr/>
            </w:pPr>
            <w:r>
              <w:rPr>
                <w:rFonts w:eastAsia="宋体"/>
                <w:b/>
                <w:sz w:val="16"/>
              </w:rPr>
              <w:t>106.11 ms</w:t>
            </w:r>
          </w:p>
        </w:tc>
      </w:tr>
    </w:tbl>
    <w:p>
      <w:pPr>
        <w:pStyle w:val="Style12"/>
        <w:rPr/>
      </w:pPr>
      <w:r>
        <w:rPr/>
      </w:r>
    </w:p>
    <w:p>
      <w:pPr>
        <w:pStyle w:val="Style12"/>
        <w:rPr/>
      </w:pPr>
      <w:r>
        <w:rPr>
          <w:b w:val="false"/>
        </w:rPr>
        <w:t xml:space="preserve">四轮取得最高最终指标，但边际收益递减。由三轮增加到四轮仅新增 </w:t>
      </w:r>
      <w:r>
        <w:rPr>
          <w:b w:val="false"/>
        </w:rPr>
        <w:t xml:space="preserve">51 </w:t>
      </w:r>
      <w:r>
        <w:rPr>
          <w:b w:val="false"/>
        </w:rPr>
        <w:t xml:space="preserve">个 </w:t>
      </w:r>
      <w:r>
        <w:rPr>
          <w:b w:val="false"/>
        </w:rPr>
        <w:t>TP@0.5</w:t>
      </w:r>
      <w:r>
        <w:rPr>
          <w:b w:val="false"/>
        </w:rPr>
        <w:t>，</w:t>
      </w:r>
      <w:r>
        <w:rPr>
          <w:b w:val="false"/>
        </w:rPr>
        <w:t xml:space="preserve">Acc@0.5 </w:t>
      </w:r>
      <w:r>
        <w:rPr>
          <w:b w:val="false"/>
        </w:rPr>
        <w:t xml:space="preserve">提升 </w:t>
      </w:r>
      <w:r>
        <w:rPr>
          <w:b w:val="false"/>
        </w:rPr>
        <w:t>0.0064</w:t>
      </w:r>
      <w:r>
        <w:rPr>
          <w:b w:val="false"/>
        </w:rPr>
        <w:t>，</w:t>
      </w:r>
      <w:r>
        <w:rPr>
          <w:b w:val="false"/>
        </w:rPr>
        <w:t xml:space="preserve">mAP@0.5 </w:t>
      </w:r>
      <w:r>
        <w:rPr>
          <w:b w:val="false"/>
        </w:rPr>
        <w:t xml:space="preserve">提升 </w:t>
      </w:r>
      <w:r>
        <w:rPr>
          <w:b w:val="false"/>
        </w:rPr>
        <w:t>0.00052</w:t>
      </w:r>
      <w:r>
        <w:rPr>
          <w:b w:val="false"/>
        </w:rPr>
        <w:t xml:space="preserve">，同时增加 </w:t>
      </w:r>
      <w:r>
        <w:rPr>
          <w:b w:val="false"/>
        </w:rPr>
        <w:t xml:space="preserve">1325 </w:t>
      </w:r>
      <w:r>
        <w:rPr>
          <w:b w:val="false"/>
        </w:rPr>
        <w:t xml:space="preserve">个候选框和 </w:t>
      </w:r>
      <w:r>
        <w:rPr>
          <w:b w:val="false"/>
        </w:rPr>
        <w:t xml:space="preserve">1.94 s </w:t>
      </w:r>
      <w:r>
        <w:rPr>
          <w:b w:val="false"/>
        </w:rPr>
        <w:t>闭环处理时间。因此最高召回优先时可使用四轮，综合候选规模和效率时三轮更均衡。</w:t>
      </w:r>
    </w:p>
    <w:p>
      <w:pPr>
        <w:pStyle w:val="23"/>
        <w:numPr>
          <w:ilvl w:val="1"/>
          <w:numId w:val="1"/>
        </w:numPr>
        <w:rPr/>
      </w:pPr>
      <w:bookmarkStart w:id="176" w:name="__RefHeading___Toc10316_2198631117"/>
      <w:bookmarkEnd w:id="176"/>
      <w:r>
        <w:rPr>
          <w:b w:val="false"/>
        </w:rPr>
        <w:t xml:space="preserve">RL </w:t>
      </w:r>
      <w:r>
        <w:rPr>
          <w:b w:val="false"/>
        </w:rPr>
        <w:t>动作策略消融</w:t>
      </w:r>
    </w:p>
    <w:p>
      <w:pPr>
        <w:pStyle w:val="Style12"/>
        <w:rPr/>
      </w:pPr>
      <w:r>
        <w:rPr>
          <w:b w:val="false"/>
        </w:rPr>
        <w:t>为判断收益是否只是因为多执行了候选生成，本实验在相同第一轮候选、去重、富元信息重评分和评测逻辑下比较立即停止、穷举扩展、随机动作、</w:t>
      </w:r>
      <w:r>
        <w:rPr>
          <w:b w:val="false"/>
        </w:rPr>
        <w:t xml:space="preserve">Qwen </w:t>
      </w:r>
      <w:r>
        <w:rPr>
          <w:b w:val="false"/>
        </w:rPr>
        <w:t xml:space="preserve">顺序选择、固定动作 </w:t>
      </w:r>
      <w:r>
        <w:rPr>
          <w:b w:val="false"/>
        </w:rPr>
        <w:t xml:space="preserve">RL </w:t>
      </w:r>
      <w:r>
        <w:rPr>
          <w:b w:val="false"/>
        </w:rPr>
        <w:t xml:space="preserve">与 </w:t>
      </w:r>
      <w:r>
        <w:rPr>
          <w:b w:val="false"/>
        </w:rPr>
        <w:t xml:space="preserve">Qwen </w:t>
      </w:r>
      <w:r>
        <w:rPr>
          <w:b w:val="false"/>
        </w:rPr>
        <w:t xml:space="preserve">动态 </w:t>
      </w:r>
      <w:r>
        <w:rPr>
          <w:b w:val="false"/>
        </w:rPr>
        <w:t>RL</w:t>
      </w:r>
      <w:r>
        <w:rPr>
          <w:b w:val="false"/>
        </w:rPr>
        <w:t>。</w:t>
      </w:r>
      <w:r>
        <w:rPr>
          <w:b w:val="false"/>
        </w:rPr>
        <w:t xml:space="preserve">Random action </w:t>
      </w:r>
      <w:r>
        <w:rPr>
          <w:b w:val="false"/>
        </w:rPr>
        <w:t xml:space="preserve">为随机种子 </w:t>
      </w:r>
      <w:r>
        <w:rPr>
          <w:b w:val="false"/>
        </w:rPr>
        <w:t xml:space="preserve">42—46 </w:t>
      </w:r>
      <w:r>
        <w:rPr>
          <w:b w:val="false"/>
        </w:rPr>
        <w:t xml:space="preserve">的均值与总体标准差；其每图非 </w:t>
      </w:r>
      <w:r>
        <w:rPr>
          <w:b w:val="false"/>
        </w:rPr>
        <w:t xml:space="preserve">STOP </w:t>
      </w:r>
      <w:r>
        <w:rPr>
          <w:b w:val="false"/>
        </w:rPr>
        <w:t xml:space="preserve">动作预算与固定动作 </w:t>
      </w:r>
      <w:r>
        <w:rPr>
          <w:b w:val="false"/>
        </w:rPr>
        <w:t xml:space="preserve">RL </w:t>
      </w:r>
      <w:r>
        <w:rPr>
          <w:b w:val="false"/>
        </w:rPr>
        <w:t>一致。</w:t>
      </w:r>
    </w:p>
    <w:p>
      <w:pPr>
        <w:pStyle w:val="Normal"/>
        <w:spacing w:before="120" w:after="80"/>
        <w:jc w:val="center"/>
        <w:rPr/>
      </w:pPr>
      <w:r>
        <w:rPr>
          <w:rFonts w:ascii="Times New Roman" w:hAnsi="Times New Roman" w:eastAsia="黑体"/>
          <w:b w:val="false"/>
          <w:sz w:val="21"/>
        </w:rPr>
        <w:t>表</w:t>
      </w:r>
      <w:r>
        <w:rPr>
          <w:rFonts w:eastAsia="黑体"/>
          <w:b w:val="false"/>
          <w:sz w:val="21"/>
        </w:rPr>
        <w:t xml:space="preserve">4-4 RL </w:t>
      </w:r>
      <w:r>
        <w:rPr>
          <w:rFonts w:ascii="Times New Roman" w:hAnsi="Times New Roman" w:eastAsia="黑体"/>
          <w:b w:val="false"/>
          <w:sz w:val="21"/>
        </w:rPr>
        <w:t>动作策略消融结果</w:t>
      </w:r>
    </w:p>
    <w:tbl>
      <w:tblPr>
        <w:tblStyle w:val="15"/>
        <w:tblW w:w="85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15"/>
        <w:gridCol w:w="1214"/>
        <w:gridCol w:w="1216"/>
        <w:gridCol w:w="1214"/>
        <w:gridCol w:w="1216"/>
        <w:gridCol w:w="1214"/>
        <w:gridCol w:w="1215"/>
      </w:tblGrid>
      <w:tr>
        <w:trPr>
          <w:tblHeader w:val="true"/>
        </w:trPr>
        <w:tc>
          <w:tcPr>
            <w:tcW w:w="1215" w:type="dxa"/>
            <w:tcBorders/>
            <w:shd w:fill="1E3D59"/>
            <w:vAlign w:val="center"/>
          </w:tcPr>
          <w:p>
            <w:pPr>
              <w:pStyle w:val="Normal"/>
              <w:widowControl w:val="false"/>
              <w:spacing w:before="0" w:after="0"/>
              <w:jc w:val="center"/>
              <w:rPr/>
            </w:pPr>
            <w:r>
              <w:rPr>
                <w:rFonts w:ascii="Times New Roman" w:hAnsi="Times New Roman"/>
                <w:b/>
                <w:color w:val="FFFFFF"/>
                <w:sz w:val="16"/>
              </w:rPr>
              <w:t>方法</w:t>
            </w:r>
          </w:p>
        </w:tc>
        <w:tc>
          <w:tcPr>
            <w:tcW w:w="1214" w:type="dxa"/>
            <w:tcBorders/>
            <w:shd w:fill="1E3D59"/>
            <w:vAlign w:val="center"/>
          </w:tcPr>
          <w:p>
            <w:pPr>
              <w:pStyle w:val="Normal"/>
              <w:widowControl w:val="false"/>
              <w:spacing w:before="0" w:after="0"/>
              <w:jc w:val="center"/>
              <w:rPr/>
            </w:pPr>
            <w:r>
              <w:rPr>
                <w:rFonts w:ascii="Times New Roman" w:hAnsi="Times New Roman"/>
                <w:b/>
                <w:color w:val="FFFFFF"/>
                <w:sz w:val="16"/>
              </w:rPr>
              <w:t>预测框数</w:t>
            </w:r>
          </w:p>
        </w:tc>
        <w:tc>
          <w:tcPr>
            <w:tcW w:w="1216" w:type="dxa"/>
            <w:tcBorders/>
            <w:shd w:fill="1E3D59"/>
            <w:vAlign w:val="center"/>
          </w:tcPr>
          <w:p>
            <w:pPr>
              <w:pStyle w:val="Normal"/>
              <w:widowControl w:val="false"/>
              <w:spacing w:before="0" w:after="0"/>
              <w:jc w:val="center"/>
              <w:rPr/>
            </w:pPr>
            <w:r>
              <w:rPr>
                <w:rFonts w:eastAsia="宋体"/>
                <w:b/>
                <w:color w:val="FFFFFF"/>
                <w:sz w:val="16"/>
              </w:rPr>
              <w:t>Acc@0.5</w:t>
            </w:r>
          </w:p>
        </w:tc>
        <w:tc>
          <w:tcPr>
            <w:tcW w:w="1214" w:type="dxa"/>
            <w:tcBorders/>
            <w:shd w:fill="1E3D59"/>
            <w:vAlign w:val="center"/>
          </w:tcPr>
          <w:p>
            <w:pPr>
              <w:pStyle w:val="Normal"/>
              <w:widowControl w:val="false"/>
              <w:spacing w:before="0" w:after="0"/>
              <w:jc w:val="center"/>
              <w:rPr/>
            </w:pPr>
            <w:r>
              <w:rPr>
                <w:rFonts w:eastAsia="宋体"/>
                <w:b/>
                <w:color w:val="FFFFFF"/>
                <w:sz w:val="16"/>
              </w:rPr>
              <w:t>mAP@0.5</w:t>
            </w:r>
          </w:p>
        </w:tc>
        <w:tc>
          <w:tcPr>
            <w:tcW w:w="1216" w:type="dxa"/>
            <w:tcBorders/>
            <w:shd w:fill="1E3D59"/>
            <w:vAlign w:val="center"/>
          </w:tcPr>
          <w:p>
            <w:pPr>
              <w:pStyle w:val="Normal"/>
              <w:widowControl w:val="false"/>
              <w:spacing w:before="0" w:after="0"/>
              <w:jc w:val="center"/>
              <w:rPr/>
            </w:pPr>
            <w:r>
              <w:rPr>
                <w:rFonts w:ascii="Times New Roman" w:hAnsi="Times New Roman"/>
                <w:b/>
                <w:color w:val="FFFFFF"/>
                <w:sz w:val="16"/>
              </w:rPr>
              <w:t>动作</w:t>
            </w:r>
            <w:r>
              <w:rPr>
                <w:rFonts w:eastAsia="宋体"/>
                <w:b/>
                <w:color w:val="FFFFFF"/>
                <w:sz w:val="16"/>
              </w:rPr>
              <w:t>/</w:t>
            </w:r>
            <w:r>
              <w:rPr>
                <w:rFonts w:ascii="Times New Roman" w:hAnsi="Times New Roman"/>
                <w:b/>
                <w:color w:val="FFFFFF"/>
                <w:sz w:val="16"/>
              </w:rPr>
              <w:t>图</w:t>
            </w:r>
          </w:p>
        </w:tc>
        <w:tc>
          <w:tcPr>
            <w:tcW w:w="1214" w:type="dxa"/>
            <w:tcBorders/>
            <w:shd w:fill="1E3D59"/>
            <w:vAlign w:val="center"/>
          </w:tcPr>
          <w:p>
            <w:pPr>
              <w:pStyle w:val="Normal"/>
              <w:widowControl w:val="false"/>
              <w:spacing w:before="0" w:after="0"/>
              <w:jc w:val="center"/>
              <w:rPr/>
            </w:pPr>
            <w:r>
              <w:rPr>
                <w:rFonts w:eastAsia="宋体"/>
                <w:b/>
                <w:color w:val="FFFFFF"/>
                <w:sz w:val="16"/>
              </w:rPr>
              <w:t>STOP</w:t>
            </w:r>
          </w:p>
        </w:tc>
        <w:tc>
          <w:tcPr>
            <w:tcW w:w="1215" w:type="dxa"/>
            <w:tcBorders/>
            <w:shd w:fill="1E3D59"/>
            <w:vAlign w:val="center"/>
          </w:tcPr>
          <w:p>
            <w:pPr>
              <w:pStyle w:val="Normal"/>
              <w:widowControl w:val="false"/>
              <w:spacing w:before="0" w:after="0"/>
              <w:jc w:val="center"/>
              <w:rPr/>
            </w:pPr>
            <w:r>
              <w:rPr>
                <w:rFonts w:ascii="Times New Roman" w:hAnsi="Times New Roman"/>
                <w:b/>
                <w:color w:val="FFFFFF"/>
                <w:sz w:val="16"/>
              </w:rPr>
              <w:t>小目标最终</w:t>
            </w:r>
            <w:r>
              <w:rPr>
                <w:rFonts w:eastAsia="宋体"/>
                <w:b/>
                <w:color w:val="FFFFFF"/>
                <w:sz w:val="16"/>
              </w:rPr>
              <w:t>Recall</w:t>
            </w:r>
          </w:p>
        </w:tc>
      </w:tr>
      <w:tr>
        <w:trPr/>
        <w:tc>
          <w:tcPr>
            <w:tcW w:w="1215" w:type="dxa"/>
            <w:tcBorders/>
            <w:vAlign w:val="center"/>
          </w:tcPr>
          <w:p>
            <w:pPr>
              <w:pStyle w:val="Normal"/>
              <w:widowControl w:val="false"/>
              <w:spacing w:before="0" w:after="0"/>
              <w:jc w:val="center"/>
              <w:rPr/>
            </w:pPr>
            <w:r>
              <w:rPr>
                <w:rFonts w:eastAsia="宋体"/>
                <w:b w:val="false"/>
                <w:sz w:val="16"/>
              </w:rPr>
              <w:t>No expansion</w:t>
            </w:r>
          </w:p>
        </w:tc>
        <w:tc>
          <w:tcPr>
            <w:tcW w:w="1214" w:type="dxa"/>
            <w:tcBorders/>
            <w:vAlign w:val="center"/>
          </w:tcPr>
          <w:p>
            <w:pPr>
              <w:pStyle w:val="Normal"/>
              <w:widowControl w:val="false"/>
              <w:spacing w:before="0" w:after="0"/>
              <w:jc w:val="center"/>
              <w:rPr/>
            </w:pPr>
            <w:r>
              <w:rPr>
                <w:rFonts w:eastAsia="宋体"/>
                <w:b w:val="false"/>
                <w:sz w:val="16"/>
              </w:rPr>
              <w:t>22,298</w:t>
            </w:r>
          </w:p>
        </w:tc>
        <w:tc>
          <w:tcPr>
            <w:tcW w:w="1216" w:type="dxa"/>
            <w:tcBorders/>
            <w:vAlign w:val="center"/>
          </w:tcPr>
          <w:p>
            <w:pPr>
              <w:pStyle w:val="Normal"/>
              <w:widowControl w:val="false"/>
              <w:spacing w:before="0" w:after="0"/>
              <w:jc w:val="center"/>
              <w:rPr/>
            </w:pPr>
            <w:r>
              <w:rPr>
                <w:rFonts w:eastAsia="宋体"/>
                <w:b w:val="false"/>
                <w:sz w:val="16"/>
              </w:rPr>
              <w:t>0.4651</w:t>
            </w:r>
          </w:p>
        </w:tc>
        <w:tc>
          <w:tcPr>
            <w:tcW w:w="1214" w:type="dxa"/>
            <w:tcBorders/>
            <w:vAlign w:val="center"/>
          </w:tcPr>
          <w:p>
            <w:pPr>
              <w:pStyle w:val="Normal"/>
              <w:widowControl w:val="false"/>
              <w:spacing w:before="0" w:after="0"/>
              <w:jc w:val="center"/>
              <w:rPr/>
            </w:pPr>
            <w:r>
              <w:rPr>
                <w:rFonts w:eastAsia="宋体"/>
                <w:b w:val="false"/>
                <w:sz w:val="16"/>
              </w:rPr>
              <w:t>0.1343</w:t>
            </w:r>
          </w:p>
        </w:tc>
        <w:tc>
          <w:tcPr>
            <w:tcW w:w="1216" w:type="dxa"/>
            <w:tcBorders/>
            <w:vAlign w:val="center"/>
          </w:tcPr>
          <w:p>
            <w:pPr>
              <w:pStyle w:val="Normal"/>
              <w:widowControl w:val="false"/>
              <w:spacing w:before="0" w:after="0"/>
              <w:jc w:val="center"/>
              <w:rPr/>
            </w:pPr>
            <w:r>
              <w:rPr>
                <w:rFonts w:eastAsia="宋体"/>
                <w:b w:val="false"/>
                <w:sz w:val="16"/>
              </w:rPr>
              <w:t>0.000</w:t>
            </w:r>
          </w:p>
        </w:tc>
        <w:tc>
          <w:tcPr>
            <w:tcW w:w="1214" w:type="dxa"/>
            <w:tcBorders/>
            <w:vAlign w:val="center"/>
          </w:tcPr>
          <w:p>
            <w:pPr>
              <w:pStyle w:val="Normal"/>
              <w:widowControl w:val="false"/>
              <w:spacing w:before="0" w:after="0"/>
              <w:jc w:val="center"/>
              <w:rPr/>
            </w:pPr>
            <w:r>
              <w:rPr>
                <w:rFonts w:eastAsia="宋体"/>
                <w:b w:val="false"/>
                <w:sz w:val="16"/>
              </w:rPr>
              <w:t>100.0%</w:t>
            </w:r>
          </w:p>
        </w:tc>
        <w:tc>
          <w:tcPr>
            <w:tcW w:w="1215" w:type="dxa"/>
            <w:tcBorders/>
            <w:vAlign w:val="center"/>
          </w:tcPr>
          <w:p>
            <w:pPr>
              <w:pStyle w:val="Normal"/>
              <w:widowControl w:val="false"/>
              <w:spacing w:before="0" w:after="0"/>
              <w:jc w:val="center"/>
              <w:rPr/>
            </w:pPr>
            <w:r>
              <w:rPr>
                <w:rFonts w:eastAsia="宋体"/>
                <w:b w:val="false"/>
                <w:sz w:val="16"/>
              </w:rPr>
              <w:t>0.3291</w:t>
            </w:r>
          </w:p>
        </w:tc>
      </w:tr>
      <w:tr>
        <w:trPr/>
        <w:tc>
          <w:tcPr>
            <w:tcW w:w="1215" w:type="dxa"/>
            <w:tcBorders/>
            <w:vAlign w:val="center"/>
          </w:tcPr>
          <w:p>
            <w:pPr>
              <w:pStyle w:val="Normal"/>
              <w:widowControl w:val="false"/>
              <w:spacing w:before="0" w:after="0"/>
              <w:jc w:val="center"/>
              <w:rPr/>
            </w:pPr>
            <w:r>
              <w:rPr>
                <w:rFonts w:eastAsia="宋体"/>
                <w:b w:val="false"/>
                <w:sz w:val="16"/>
              </w:rPr>
              <w:t>All expansion</w:t>
            </w:r>
          </w:p>
        </w:tc>
        <w:tc>
          <w:tcPr>
            <w:tcW w:w="1214" w:type="dxa"/>
            <w:tcBorders/>
            <w:vAlign w:val="center"/>
          </w:tcPr>
          <w:p>
            <w:pPr>
              <w:pStyle w:val="Normal"/>
              <w:widowControl w:val="false"/>
              <w:spacing w:before="0" w:after="0"/>
              <w:jc w:val="center"/>
              <w:rPr/>
            </w:pPr>
            <w:r>
              <w:rPr>
                <w:rFonts w:eastAsia="宋体"/>
                <w:b w:val="false"/>
                <w:sz w:val="16"/>
              </w:rPr>
              <w:t>68,771</w:t>
            </w:r>
          </w:p>
        </w:tc>
        <w:tc>
          <w:tcPr>
            <w:tcW w:w="1216" w:type="dxa"/>
            <w:tcBorders/>
            <w:vAlign w:val="center"/>
          </w:tcPr>
          <w:p>
            <w:pPr>
              <w:pStyle w:val="Normal"/>
              <w:widowControl w:val="false"/>
              <w:spacing w:before="0" w:after="0"/>
              <w:jc w:val="center"/>
              <w:rPr/>
            </w:pPr>
            <w:r>
              <w:rPr>
                <w:rFonts w:eastAsia="宋体"/>
                <w:b w:val="false"/>
                <w:sz w:val="16"/>
              </w:rPr>
              <w:t>0.5731</w:t>
            </w:r>
          </w:p>
        </w:tc>
        <w:tc>
          <w:tcPr>
            <w:tcW w:w="1214" w:type="dxa"/>
            <w:tcBorders/>
            <w:vAlign w:val="center"/>
          </w:tcPr>
          <w:p>
            <w:pPr>
              <w:pStyle w:val="Normal"/>
              <w:widowControl w:val="false"/>
              <w:spacing w:before="0" w:after="0"/>
              <w:jc w:val="center"/>
              <w:rPr/>
            </w:pPr>
            <w:r>
              <w:rPr>
                <w:rFonts w:eastAsia="宋体"/>
                <w:b w:val="false"/>
                <w:sz w:val="16"/>
              </w:rPr>
              <w:t>0.1510</w:t>
            </w:r>
          </w:p>
        </w:tc>
        <w:tc>
          <w:tcPr>
            <w:tcW w:w="1216" w:type="dxa"/>
            <w:tcBorders/>
            <w:vAlign w:val="center"/>
          </w:tcPr>
          <w:p>
            <w:pPr>
              <w:pStyle w:val="Normal"/>
              <w:widowControl w:val="false"/>
              <w:spacing w:before="0" w:after="0"/>
              <w:jc w:val="center"/>
              <w:rPr/>
            </w:pPr>
            <w:r>
              <w:rPr>
                <w:rFonts w:eastAsia="宋体"/>
                <w:b w:val="false"/>
                <w:sz w:val="16"/>
              </w:rPr>
              <w:t>11.000</w:t>
            </w:r>
          </w:p>
        </w:tc>
        <w:tc>
          <w:tcPr>
            <w:tcW w:w="1214" w:type="dxa"/>
            <w:tcBorders/>
            <w:vAlign w:val="center"/>
          </w:tcPr>
          <w:p>
            <w:pPr>
              <w:pStyle w:val="Normal"/>
              <w:widowControl w:val="false"/>
              <w:spacing w:before="0" w:after="0"/>
              <w:jc w:val="center"/>
              <w:rPr/>
            </w:pPr>
            <w:r>
              <w:rPr>
                <w:rFonts w:eastAsia="宋体"/>
                <w:b w:val="false"/>
                <w:sz w:val="16"/>
              </w:rPr>
              <w:t>0.0%</w:t>
            </w:r>
          </w:p>
        </w:tc>
        <w:tc>
          <w:tcPr>
            <w:tcW w:w="1215" w:type="dxa"/>
            <w:tcBorders/>
            <w:vAlign w:val="center"/>
          </w:tcPr>
          <w:p>
            <w:pPr>
              <w:pStyle w:val="Normal"/>
              <w:widowControl w:val="false"/>
              <w:spacing w:before="0" w:after="0"/>
              <w:jc w:val="center"/>
              <w:rPr/>
            </w:pPr>
            <w:r>
              <w:rPr>
                <w:rFonts w:eastAsia="宋体"/>
                <w:b w:val="false"/>
                <w:sz w:val="16"/>
              </w:rPr>
              <w:t>0.4593</w:t>
            </w:r>
          </w:p>
        </w:tc>
      </w:tr>
      <w:tr>
        <w:trPr/>
        <w:tc>
          <w:tcPr>
            <w:tcW w:w="1215" w:type="dxa"/>
            <w:tcBorders/>
            <w:vAlign w:val="center"/>
          </w:tcPr>
          <w:p>
            <w:pPr>
              <w:pStyle w:val="Normal"/>
              <w:widowControl w:val="false"/>
              <w:spacing w:before="0" w:after="0"/>
              <w:jc w:val="center"/>
              <w:rPr/>
            </w:pPr>
            <w:r>
              <w:rPr>
                <w:rFonts w:eastAsia="宋体"/>
                <w:b w:val="false"/>
                <w:sz w:val="16"/>
              </w:rPr>
              <w:t>Random (5 seeds)</w:t>
            </w:r>
          </w:p>
        </w:tc>
        <w:tc>
          <w:tcPr>
            <w:tcW w:w="1214" w:type="dxa"/>
            <w:tcBorders/>
            <w:vAlign w:val="center"/>
          </w:tcPr>
          <w:p>
            <w:pPr>
              <w:pStyle w:val="Normal"/>
              <w:widowControl w:val="false"/>
              <w:spacing w:before="0" w:after="0"/>
              <w:jc w:val="center"/>
              <w:rPr/>
            </w:pPr>
            <w:r>
              <w:rPr>
                <w:rFonts w:eastAsia="宋体"/>
                <w:b w:val="false"/>
                <w:sz w:val="16"/>
              </w:rPr>
              <w:t>30,227±582</w:t>
            </w:r>
          </w:p>
        </w:tc>
        <w:tc>
          <w:tcPr>
            <w:tcW w:w="1216" w:type="dxa"/>
            <w:tcBorders/>
            <w:vAlign w:val="center"/>
          </w:tcPr>
          <w:p>
            <w:pPr>
              <w:pStyle w:val="Normal"/>
              <w:widowControl w:val="false"/>
              <w:spacing w:before="0" w:after="0"/>
              <w:jc w:val="center"/>
              <w:rPr/>
            </w:pPr>
            <w:r>
              <w:rPr>
                <w:rFonts w:eastAsia="宋体"/>
                <w:b w:val="false"/>
                <w:sz w:val="16"/>
              </w:rPr>
              <w:t>0.4892±0.0034</w:t>
            </w:r>
          </w:p>
        </w:tc>
        <w:tc>
          <w:tcPr>
            <w:tcW w:w="1214" w:type="dxa"/>
            <w:tcBorders/>
            <w:vAlign w:val="center"/>
          </w:tcPr>
          <w:p>
            <w:pPr>
              <w:pStyle w:val="Normal"/>
              <w:widowControl w:val="false"/>
              <w:spacing w:before="0" w:after="0"/>
              <w:jc w:val="center"/>
              <w:rPr/>
            </w:pPr>
            <w:r>
              <w:rPr>
                <w:rFonts w:eastAsia="宋体"/>
                <w:b w:val="false"/>
                <w:sz w:val="16"/>
              </w:rPr>
              <w:t>0.1377±0.0012</w:t>
            </w:r>
          </w:p>
        </w:tc>
        <w:tc>
          <w:tcPr>
            <w:tcW w:w="1216" w:type="dxa"/>
            <w:tcBorders/>
            <w:vAlign w:val="center"/>
          </w:tcPr>
          <w:p>
            <w:pPr>
              <w:pStyle w:val="Normal"/>
              <w:widowControl w:val="false"/>
              <w:spacing w:before="0" w:after="0"/>
              <w:jc w:val="center"/>
              <w:rPr/>
            </w:pPr>
            <w:r>
              <w:rPr>
                <w:rFonts w:eastAsia="宋体"/>
                <w:b w:val="false"/>
                <w:sz w:val="16"/>
              </w:rPr>
              <w:t>1.353</w:t>
            </w:r>
          </w:p>
        </w:tc>
        <w:tc>
          <w:tcPr>
            <w:tcW w:w="1214" w:type="dxa"/>
            <w:tcBorders/>
            <w:vAlign w:val="center"/>
          </w:tcPr>
          <w:p>
            <w:pPr>
              <w:pStyle w:val="Normal"/>
              <w:widowControl w:val="false"/>
              <w:spacing w:before="0" w:after="0"/>
              <w:jc w:val="center"/>
              <w:rPr/>
            </w:pPr>
            <w:r>
              <w:rPr>
                <w:rFonts w:eastAsia="宋体"/>
                <w:b w:val="false"/>
                <w:sz w:val="16"/>
              </w:rPr>
              <w:t>0.0%</w:t>
            </w:r>
          </w:p>
        </w:tc>
        <w:tc>
          <w:tcPr>
            <w:tcW w:w="1215" w:type="dxa"/>
            <w:tcBorders/>
            <w:vAlign w:val="center"/>
          </w:tcPr>
          <w:p>
            <w:pPr>
              <w:pStyle w:val="Normal"/>
              <w:widowControl w:val="false"/>
              <w:spacing w:before="0" w:after="0"/>
              <w:jc w:val="center"/>
              <w:rPr/>
            </w:pPr>
            <w:r>
              <w:rPr>
                <w:rFonts w:eastAsia="宋体"/>
                <w:b w:val="false"/>
                <w:sz w:val="16"/>
              </w:rPr>
              <w:t>0.3584±0.0053</w:t>
            </w:r>
          </w:p>
        </w:tc>
      </w:tr>
      <w:tr>
        <w:trPr/>
        <w:tc>
          <w:tcPr>
            <w:tcW w:w="1215" w:type="dxa"/>
            <w:tcBorders/>
            <w:vAlign w:val="center"/>
          </w:tcPr>
          <w:p>
            <w:pPr>
              <w:pStyle w:val="Normal"/>
              <w:widowControl w:val="false"/>
              <w:spacing w:before="0" w:after="0"/>
              <w:jc w:val="center"/>
              <w:rPr/>
            </w:pPr>
            <w:r>
              <w:rPr>
                <w:rFonts w:eastAsia="宋体"/>
                <w:b w:val="false"/>
                <w:sz w:val="16"/>
              </w:rPr>
              <w:t>Prompt-rank</w:t>
            </w:r>
          </w:p>
        </w:tc>
        <w:tc>
          <w:tcPr>
            <w:tcW w:w="1214" w:type="dxa"/>
            <w:tcBorders/>
            <w:vAlign w:val="center"/>
          </w:tcPr>
          <w:p>
            <w:pPr>
              <w:pStyle w:val="Normal"/>
              <w:widowControl w:val="false"/>
              <w:spacing w:before="0" w:after="0"/>
              <w:jc w:val="center"/>
              <w:rPr/>
            </w:pPr>
            <w:r>
              <w:rPr>
                <w:rFonts w:eastAsia="宋体"/>
                <w:b w:val="false"/>
                <w:sz w:val="16"/>
              </w:rPr>
              <w:t>41,969</w:t>
            </w:r>
          </w:p>
        </w:tc>
        <w:tc>
          <w:tcPr>
            <w:tcW w:w="1216" w:type="dxa"/>
            <w:tcBorders/>
            <w:vAlign w:val="center"/>
          </w:tcPr>
          <w:p>
            <w:pPr>
              <w:pStyle w:val="Normal"/>
              <w:widowControl w:val="false"/>
              <w:spacing w:before="0" w:after="0"/>
              <w:jc w:val="center"/>
              <w:rPr/>
            </w:pPr>
            <w:r>
              <w:rPr>
                <w:rFonts w:eastAsia="宋体"/>
                <w:b w:val="false"/>
                <w:sz w:val="16"/>
              </w:rPr>
              <w:t>0.5090</w:t>
            </w:r>
          </w:p>
        </w:tc>
        <w:tc>
          <w:tcPr>
            <w:tcW w:w="1214" w:type="dxa"/>
            <w:tcBorders/>
            <w:vAlign w:val="center"/>
          </w:tcPr>
          <w:p>
            <w:pPr>
              <w:pStyle w:val="Normal"/>
              <w:widowControl w:val="false"/>
              <w:spacing w:before="0" w:after="0"/>
              <w:jc w:val="center"/>
              <w:rPr/>
            </w:pPr>
            <w:r>
              <w:rPr>
                <w:rFonts w:eastAsia="宋体"/>
                <w:b w:val="false"/>
                <w:sz w:val="16"/>
              </w:rPr>
              <w:t>0.1440</w:t>
            </w:r>
          </w:p>
        </w:tc>
        <w:tc>
          <w:tcPr>
            <w:tcW w:w="1216" w:type="dxa"/>
            <w:tcBorders/>
            <w:vAlign w:val="center"/>
          </w:tcPr>
          <w:p>
            <w:pPr>
              <w:pStyle w:val="Normal"/>
              <w:widowControl w:val="false"/>
              <w:spacing w:before="0" w:after="0"/>
              <w:jc w:val="center"/>
              <w:rPr/>
            </w:pPr>
            <w:r>
              <w:rPr>
                <w:rFonts w:eastAsia="宋体"/>
                <w:b w:val="false"/>
                <w:sz w:val="16"/>
              </w:rPr>
              <w:t>1.087</w:t>
            </w:r>
          </w:p>
        </w:tc>
        <w:tc>
          <w:tcPr>
            <w:tcW w:w="1214" w:type="dxa"/>
            <w:tcBorders/>
            <w:vAlign w:val="center"/>
          </w:tcPr>
          <w:p>
            <w:pPr>
              <w:pStyle w:val="Normal"/>
              <w:widowControl w:val="false"/>
              <w:spacing w:before="0" w:after="0"/>
              <w:jc w:val="center"/>
              <w:rPr/>
            </w:pPr>
            <w:r>
              <w:rPr>
                <w:rFonts w:eastAsia="宋体"/>
                <w:b w:val="false"/>
                <w:sz w:val="16"/>
              </w:rPr>
              <w:t>0.0%</w:t>
            </w:r>
          </w:p>
        </w:tc>
        <w:tc>
          <w:tcPr>
            <w:tcW w:w="1215" w:type="dxa"/>
            <w:tcBorders/>
            <w:vAlign w:val="center"/>
          </w:tcPr>
          <w:p>
            <w:pPr>
              <w:pStyle w:val="Normal"/>
              <w:widowControl w:val="false"/>
              <w:spacing w:before="0" w:after="0"/>
              <w:jc w:val="center"/>
              <w:rPr/>
            </w:pPr>
            <w:r>
              <w:rPr>
                <w:rFonts w:eastAsia="宋体"/>
                <w:b w:val="false"/>
                <w:sz w:val="16"/>
              </w:rPr>
              <w:t>0.3840</w:t>
            </w:r>
          </w:p>
        </w:tc>
      </w:tr>
      <w:tr>
        <w:trPr/>
        <w:tc>
          <w:tcPr>
            <w:tcW w:w="1215" w:type="dxa"/>
            <w:tcBorders/>
            <w:shd w:fill="E1EFFA"/>
            <w:vAlign w:val="center"/>
          </w:tcPr>
          <w:p>
            <w:pPr>
              <w:pStyle w:val="Normal"/>
              <w:widowControl w:val="false"/>
              <w:spacing w:before="0" w:after="0"/>
              <w:jc w:val="center"/>
              <w:rPr/>
            </w:pPr>
            <w:r>
              <w:rPr>
                <w:rFonts w:eastAsia="宋体"/>
                <w:b/>
                <w:sz w:val="16"/>
              </w:rPr>
              <w:t>Fixed-action RL</w:t>
            </w:r>
          </w:p>
        </w:tc>
        <w:tc>
          <w:tcPr>
            <w:tcW w:w="1214" w:type="dxa"/>
            <w:tcBorders/>
            <w:shd w:fill="E1EFFA"/>
            <w:vAlign w:val="center"/>
          </w:tcPr>
          <w:p>
            <w:pPr>
              <w:pStyle w:val="Normal"/>
              <w:widowControl w:val="false"/>
              <w:spacing w:before="0" w:after="0"/>
              <w:jc w:val="center"/>
              <w:rPr/>
            </w:pPr>
            <w:r>
              <w:rPr>
                <w:rFonts w:eastAsia="宋体"/>
                <w:b/>
                <w:sz w:val="16"/>
              </w:rPr>
              <w:t>40,904</w:t>
            </w:r>
          </w:p>
        </w:tc>
        <w:tc>
          <w:tcPr>
            <w:tcW w:w="1216" w:type="dxa"/>
            <w:tcBorders/>
            <w:shd w:fill="E1EFFA"/>
            <w:vAlign w:val="center"/>
          </w:tcPr>
          <w:p>
            <w:pPr>
              <w:pStyle w:val="Normal"/>
              <w:widowControl w:val="false"/>
              <w:spacing w:before="0" w:after="0"/>
              <w:jc w:val="center"/>
              <w:rPr/>
            </w:pPr>
            <w:r>
              <w:rPr>
                <w:rFonts w:eastAsia="宋体"/>
                <w:b/>
                <w:sz w:val="16"/>
              </w:rPr>
              <w:t>0.5293</w:t>
            </w:r>
          </w:p>
        </w:tc>
        <w:tc>
          <w:tcPr>
            <w:tcW w:w="1214" w:type="dxa"/>
            <w:tcBorders/>
            <w:shd w:fill="E1EFFA"/>
            <w:vAlign w:val="center"/>
          </w:tcPr>
          <w:p>
            <w:pPr>
              <w:pStyle w:val="Normal"/>
              <w:widowControl w:val="false"/>
              <w:spacing w:before="0" w:after="0"/>
              <w:jc w:val="center"/>
              <w:rPr/>
            </w:pPr>
            <w:r>
              <w:rPr>
                <w:rFonts w:eastAsia="宋体"/>
                <w:b/>
                <w:sz w:val="16"/>
              </w:rPr>
              <w:t>0.1397</w:t>
            </w:r>
          </w:p>
        </w:tc>
        <w:tc>
          <w:tcPr>
            <w:tcW w:w="1216" w:type="dxa"/>
            <w:tcBorders/>
            <w:shd w:fill="E1EFFA"/>
            <w:vAlign w:val="center"/>
          </w:tcPr>
          <w:p>
            <w:pPr>
              <w:pStyle w:val="Normal"/>
              <w:widowControl w:val="false"/>
              <w:spacing w:before="0" w:after="0"/>
              <w:jc w:val="center"/>
              <w:rPr/>
            </w:pPr>
            <w:r>
              <w:rPr>
                <w:rFonts w:eastAsia="宋体"/>
                <w:b/>
                <w:sz w:val="16"/>
              </w:rPr>
              <w:t>1.353</w:t>
            </w:r>
          </w:p>
        </w:tc>
        <w:tc>
          <w:tcPr>
            <w:tcW w:w="1214" w:type="dxa"/>
            <w:tcBorders/>
            <w:shd w:fill="E1EFFA"/>
            <w:vAlign w:val="center"/>
          </w:tcPr>
          <w:p>
            <w:pPr>
              <w:pStyle w:val="Normal"/>
              <w:widowControl w:val="false"/>
              <w:spacing w:before="0" w:after="0"/>
              <w:jc w:val="center"/>
              <w:rPr/>
            </w:pPr>
            <w:r>
              <w:rPr>
                <w:rFonts w:eastAsia="宋体"/>
                <w:b/>
                <w:sz w:val="16"/>
              </w:rPr>
              <w:t>32.3%</w:t>
            </w:r>
          </w:p>
        </w:tc>
        <w:tc>
          <w:tcPr>
            <w:tcW w:w="1215" w:type="dxa"/>
            <w:tcBorders/>
            <w:shd w:fill="E1EFFA"/>
            <w:vAlign w:val="center"/>
          </w:tcPr>
          <w:p>
            <w:pPr>
              <w:pStyle w:val="Normal"/>
              <w:widowControl w:val="false"/>
              <w:spacing w:before="0" w:after="0"/>
              <w:jc w:val="center"/>
              <w:rPr/>
            </w:pPr>
            <w:r>
              <w:rPr>
                <w:rFonts w:eastAsia="宋体"/>
                <w:b/>
                <w:sz w:val="16"/>
              </w:rPr>
              <w:t>0.4159</w:t>
            </w:r>
          </w:p>
        </w:tc>
      </w:tr>
      <w:tr>
        <w:trPr/>
        <w:tc>
          <w:tcPr>
            <w:tcW w:w="1215" w:type="dxa"/>
            <w:tcBorders/>
            <w:shd w:fill="E1EFFA"/>
            <w:vAlign w:val="center"/>
          </w:tcPr>
          <w:p>
            <w:pPr>
              <w:pStyle w:val="Normal"/>
              <w:widowControl w:val="false"/>
              <w:spacing w:before="0" w:after="0"/>
              <w:jc w:val="center"/>
              <w:rPr/>
            </w:pPr>
            <w:r>
              <w:rPr>
                <w:rFonts w:eastAsia="宋体"/>
                <w:b/>
                <w:sz w:val="16"/>
              </w:rPr>
              <w:t>Qwen dynamic RL</w:t>
            </w:r>
          </w:p>
        </w:tc>
        <w:tc>
          <w:tcPr>
            <w:tcW w:w="1214" w:type="dxa"/>
            <w:tcBorders/>
            <w:shd w:fill="E1EFFA"/>
            <w:vAlign w:val="center"/>
          </w:tcPr>
          <w:p>
            <w:pPr>
              <w:pStyle w:val="Normal"/>
              <w:widowControl w:val="false"/>
              <w:spacing w:before="0" w:after="0"/>
              <w:jc w:val="center"/>
              <w:rPr/>
            </w:pPr>
            <w:r>
              <w:rPr>
                <w:rFonts w:eastAsia="宋体"/>
                <w:b/>
                <w:sz w:val="16"/>
              </w:rPr>
              <w:t>35,869</w:t>
            </w:r>
          </w:p>
        </w:tc>
        <w:tc>
          <w:tcPr>
            <w:tcW w:w="1216" w:type="dxa"/>
            <w:tcBorders/>
            <w:shd w:fill="E1EFFA"/>
            <w:vAlign w:val="center"/>
          </w:tcPr>
          <w:p>
            <w:pPr>
              <w:pStyle w:val="Normal"/>
              <w:widowControl w:val="false"/>
              <w:spacing w:before="0" w:after="0"/>
              <w:jc w:val="center"/>
              <w:rPr/>
            </w:pPr>
            <w:r>
              <w:rPr>
                <w:rFonts w:eastAsia="宋体"/>
                <w:b/>
                <w:sz w:val="16"/>
              </w:rPr>
              <w:t>0.5004</w:t>
            </w:r>
          </w:p>
        </w:tc>
        <w:tc>
          <w:tcPr>
            <w:tcW w:w="1214" w:type="dxa"/>
            <w:tcBorders/>
            <w:shd w:fill="E1EFFA"/>
            <w:vAlign w:val="center"/>
          </w:tcPr>
          <w:p>
            <w:pPr>
              <w:pStyle w:val="Normal"/>
              <w:widowControl w:val="false"/>
              <w:spacing w:before="0" w:after="0"/>
              <w:jc w:val="center"/>
              <w:rPr/>
            </w:pPr>
            <w:r>
              <w:rPr>
                <w:rFonts w:eastAsia="宋体"/>
                <w:b/>
                <w:sz w:val="16"/>
              </w:rPr>
              <w:t>0.1424</w:t>
            </w:r>
          </w:p>
        </w:tc>
        <w:tc>
          <w:tcPr>
            <w:tcW w:w="1216" w:type="dxa"/>
            <w:tcBorders/>
            <w:shd w:fill="E1EFFA"/>
            <w:vAlign w:val="center"/>
          </w:tcPr>
          <w:p>
            <w:pPr>
              <w:pStyle w:val="Normal"/>
              <w:widowControl w:val="false"/>
              <w:spacing w:before="0" w:after="0"/>
              <w:jc w:val="center"/>
              <w:rPr/>
            </w:pPr>
            <w:r>
              <w:rPr>
                <w:rFonts w:eastAsia="宋体"/>
                <w:b/>
                <w:sz w:val="16"/>
              </w:rPr>
              <w:t>0.953</w:t>
            </w:r>
          </w:p>
        </w:tc>
        <w:tc>
          <w:tcPr>
            <w:tcW w:w="1214" w:type="dxa"/>
            <w:tcBorders/>
            <w:shd w:fill="E1EFFA"/>
            <w:vAlign w:val="center"/>
          </w:tcPr>
          <w:p>
            <w:pPr>
              <w:pStyle w:val="Normal"/>
              <w:widowControl w:val="false"/>
              <w:spacing w:before="0" w:after="0"/>
              <w:jc w:val="center"/>
              <w:rPr/>
            </w:pPr>
            <w:r>
              <w:rPr>
                <w:rFonts w:eastAsia="宋体"/>
                <w:b/>
                <w:sz w:val="16"/>
              </w:rPr>
              <w:t>52.3%</w:t>
            </w:r>
          </w:p>
        </w:tc>
        <w:tc>
          <w:tcPr>
            <w:tcW w:w="1215" w:type="dxa"/>
            <w:tcBorders/>
            <w:shd w:fill="E1EFFA"/>
            <w:vAlign w:val="center"/>
          </w:tcPr>
          <w:p>
            <w:pPr>
              <w:pStyle w:val="Normal"/>
              <w:widowControl w:val="false"/>
              <w:spacing w:before="0" w:after="0"/>
              <w:jc w:val="center"/>
              <w:rPr/>
            </w:pPr>
            <w:r>
              <w:rPr>
                <w:rFonts w:eastAsia="宋体"/>
                <w:b/>
                <w:sz w:val="16"/>
              </w:rPr>
              <w:t>0.3732</w:t>
            </w:r>
          </w:p>
        </w:tc>
      </w:tr>
    </w:tbl>
    <w:p>
      <w:pPr>
        <w:pStyle w:val="Style12"/>
        <w:rPr/>
      </w:pPr>
      <w:r>
        <w:rPr/>
      </w:r>
    </w:p>
    <w:p>
      <w:pPr>
        <w:pStyle w:val="Style12"/>
        <w:rPr/>
      </w:pPr>
      <w:r>
        <w:rPr>
          <w:b w:val="false"/>
        </w:rPr>
        <w:t xml:space="preserve">在相同的 </w:t>
      </w:r>
      <w:r>
        <w:rPr>
          <w:b w:val="false"/>
        </w:rPr>
        <w:t xml:space="preserve">1.353 </w:t>
      </w:r>
      <w:r>
        <w:rPr>
          <w:b w:val="false"/>
        </w:rPr>
        <w:t>动作</w:t>
      </w:r>
      <w:r>
        <w:rPr>
          <w:b w:val="false"/>
        </w:rPr>
        <w:t>/</w:t>
      </w:r>
      <w:r>
        <w:rPr>
          <w:b w:val="false"/>
        </w:rPr>
        <w:t xml:space="preserve">图预算下，固定动作 </w:t>
      </w:r>
      <w:r>
        <w:rPr>
          <w:b w:val="false"/>
        </w:rPr>
        <w:t xml:space="preserve">RL </w:t>
      </w:r>
      <w:r>
        <w:rPr>
          <w:b w:val="false"/>
        </w:rPr>
        <w:t xml:space="preserve">的 </w:t>
      </w:r>
      <w:r>
        <w:rPr>
          <w:b w:val="false"/>
        </w:rPr>
        <w:t xml:space="preserve">Acc@0.5 </w:t>
      </w:r>
      <w:r>
        <w:rPr>
          <w:b w:val="false"/>
        </w:rPr>
        <w:t xml:space="preserve">比随机动作高 </w:t>
      </w:r>
      <w:r>
        <w:rPr>
          <w:b w:val="false"/>
        </w:rPr>
        <w:t xml:space="preserve">4.01 </w:t>
      </w:r>
      <w:r>
        <w:rPr>
          <w:b w:val="false"/>
        </w:rPr>
        <w:t xml:space="preserve">个百分点，小目标最终 </w:t>
      </w:r>
      <w:r>
        <w:rPr>
          <w:b w:val="false"/>
        </w:rPr>
        <w:t xml:space="preserve">Recall@0.5 </w:t>
      </w:r>
      <w:r>
        <w:rPr>
          <w:b w:val="false"/>
        </w:rPr>
        <w:t xml:space="preserve">高 </w:t>
      </w:r>
      <w:r>
        <w:rPr>
          <w:b w:val="false"/>
        </w:rPr>
        <w:t xml:space="preserve">5.75 </w:t>
      </w:r>
      <w:r>
        <w:rPr>
          <w:b w:val="false"/>
        </w:rPr>
        <w:t>个百分点，说明策略确实学到了更有效的动作选择，而不仅是增加生成次数。</w:t>
      </w:r>
      <w:r>
        <w:rPr>
          <w:b w:val="false"/>
        </w:rPr>
        <w:t xml:space="preserve">All expansion </w:t>
      </w:r>
      <w:r>
        <w:rPr>
          <w:b w:val="false"/>
        </w:rPr>
        <w:t xml:space="preserve">的绝对指标最高，但每图 </w:t>
      </w:r>
      <w:r>
        <w:rPr>
          <w:b w:val="false"/>
        </w:rPr>
        <w:t xml:space="preserve">11 </w:t>
      </w:r>
      <w:r>
        <w:rPr>
          <w:b w:val="false"/>
        </w:rPr>
        <w:t xml:space="preserve">个动作，是固定动作 </w:t>
      </w:r>
      <w:r>
        <w:rPr>
          <w:b w:val="false"/>
        </w:rPr>
        <w:t xml:space="preserve">RL </w:t>
      </w:r>
      <w:r>
        <w:rPr>
          <w:b w:val="false"/>
        </w:rPr>
        <w:t xml:space="preserve">的 </w:t>
      </w:r>
      <w:r>
        <w:rPr>
          <w:b w:val="false"/>
        </w:rPr>
        <w:t xml:space="preserve">8.13 </w:t>
      </w:r>
      <w:r>
        <w:rPr>
          <w:b w:val="false"/>
        </w:rPr>
        <w:t xml:space="preserve">倍，最终框数也是其 </w:t>
      </w:r>
      <w:r>
        <w:rPr>
          <w:b w:val="false"/>
        </w:rPr>
        <w:t xml:space="preserve">1.68 </w:t>
      </w:r>
      <w:r>
        <w:rPr>
          <w:b w:val="false"/>
        </w:rPr>
        <w:t>倍。由此可见，</w:t>
      </w:r>
      <w:r>
        <w:rPr>
          <w:b w:val="false"/>
        </w:rPr>
        <w:t xml:space="preserve">RL </w:t>
      </w:r>
      <w:r>
        <w:rPr>
          <w:b w:val="false"/>
        </w:rPr>
        <w:t>的主要价值是提高给定动作和候选预算下的扩展效率，而不是证明穷举无法提高精度。</w:t>
      </w:r>
    </w:p>
    <w:p>
      <w:pPr>
        <w:pStyle w:val="Style12"/>
        <w:rPr/>
      </w:pPr>
      <w:r>
        <w:rPr>
          <w:b w:val="false"/>
        </w:rPr>
        <w:t xml:space="preserve">Prompt-rank </w:t>
      </w:r>
      <w:r>
        <w:rPr>
          <w:b w:val="false"/>
        </w:rPr>
        <w:t xml:space="preserve">的 </w:t>
      </w:r>
      <w:r>
        <w:rPr>
          <w:b w:val="false"/>
        </w:rPr>
        <w:t xml:space="preserve">mAP@0.5 </w:t>
      </w:r>
      <w:r>
        <w:rPr>
          <w:b w:val="false"/>
        </w:rPr>
        <w:t xml:space="preserve">为 </w:t>
      </w:r>
      <w:r>
        <w:rPr>
          <w:b w:val="false"/>
        </w:rPr>
        <w:t>0.1440</w:t>
      </w:r>
      <w:r>
        <w:rPr>
          <w:b w:val="false"/>
        </w:rPr>
        <w:t xml:space="preserve">，高于固定动作 </w:t>
      </w:r>
      <w:r>
        <w:rPr>
          <w:b w:val="false"/>
        </w:rPr>
        <w:t>RL</w:t>
      </w:r>
      <w:r>
        <w:rPr>
          <w:b w:val="false"/>
        </w:rPr>
        <w:t>；</w:t>
      </w:r>
      <w:r>
        <w:rPr>
          <w:b w:val="false"/>
        </w:rPr>
        <w:t xml:space="preserve">Qwen dynamic RL </w:t>
      </w:r>
      <w:r>
        <w:rPr>
          <w:b w:val="false"/>
        </w:rPr>
        <w:t xml:space="preserve">用更少动作获得 </w:t>
      </w:r>
      <w:r>
        <w:rPr>
          <w:b w:val="false"/>
        </w:rPr>
        <w:t>0.1424</w:t>
      </w:r>
      <w:r>
        <w:rPr>
          <w:b w:val="false"/>
        </w:rPr>
        <w:t xml:space="preserve">。动态方法在排序质量和候选规模上具有优势，而固定 </w:t>
      </w:r>
      <w:r>
        <w:rPr>
          <w:b w:val="false"/>
        </w:rPr>
        <w:t xml:space="preserve">RL </w:t>
      </w:r>
      <w:r>
        <w:rPr>
          <w:b w:val="false"/>
        </w:rPr>
        <w:t>的召回和小目标召回更强。</w:t>
      </w:r>
    </w:p>
    <w:p>
      <w:pPr>
        <w:pStyle w:val="Normal"/>
        <w:jc w:val="center"/>
        <w:rPr/>
      </w:pPr>
      <w:r>
        <w:rPr/>
        <w:drawing>
          <wp:inline distT="0" distB="0" distL="0" distR="0">
            <wp:extent cx="5760720" cy="2304415"/>
            <wp:effectExtent l="0" t="0" r="0" b="0"/>
            <wp:docPr id="11"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
                    <pic:cNvPicPr>
                      <a:picLocks noChangeAspect="1" noChangeArrowheads="1"/>
                    </pic:cNvPicPr>
                  </pic:nvPicPr>
                  <pic:blipFill>
                    <a:blip r:embed="rId18"/>
                    <a:stretch>
                      <a:fillRect/>
                    </a:stretch>
                  </pic:blipFill>
                  <pic:spPr bwMode="auto">
                    <a:xfrm>
                      <a:off x="0" y="0"/>
                      <a:ext cx="5760720" cy="2304415"/>
                    </a:xfrm>
                    <a:prstGeom prst="rect">
                      <a:avLst/>
                    </a:prstGeom>
                  </pic:spPr>
                </pic:pic>
              </a:graphicData>
            </a:graphic>
          </wp:inline>
        </w:drawing>
      </w:r>
    </w:p>
    <w:p>
      <w:pPr>
        <w:pStyle w:val="Normal"/>
        <w:spacing w:before="80" w:after="120"/>
        <w:jc w:val="center"/>
        <w:rPr/>
      </w:pPr>
      <w:r>
        <w:rPr>
          <w:rFonts w:ascii="Times New Roman" w:hAnsi="Times New Roman" w:eastAsia="黑体"/>
          <w:b w:val="false"/>
          <w:sz w:val="21"/>
        </w:rPr>
        <w:t>图</w:t>
      </w:r>
      <w:r>
        <w:rPr>
          <w:rFonts w:eastAsia="黑体"/>
          <w:b w:val="false"/>
          <w:sz w:val="21"/>
        </w:rPr>
        <w:t xml:space="preserve">4-1 </w:t>
      </w:r>
      <w:r>
        <w:rPr>
          <w:rFonts w:ascii="Times New Roman" w:hAnsi="Times New Roman" w:eastAsia="黑体"/>
          <w:b w:val="false"/>
          <w:sz w:val="21"/>
        </w:rPr>
        <w:t>不同动作策略的主要指标与候选框数量</w:t>
      </w:r>
    </w:p>
    <w:p>
      <w:pPr>
        <w:pStyle w:val="23"/>
        <w:numPr>
          <w:ilvl w:val="1"/>
          <w:numId w:val="1"/>
        </w:numPr>
        <w:rPr/>
      </w:pPr>
      <w:bookmarkStart w:id="177" w:name="__RefHeading___Toc10314_2198631117"/>
      <w:bookmarkEnd w:id="177"/>
      <w:r>
        <w:rPr>
          <w:b w:val="false"/>
        </w:rPr>
        <w:t>固定候选集排序实验</w:t>
      </w:r>
    </w:p>
    <w:p>
      <w:pPr>
        <w:pStyle w:val="Style12"/>
        <w:rPr/>
      </w:pPr>
      <w:r>
        <w:rPr>
          <w:b w:val="false"/>
        </w:rPr>
        <w:t xml:space="preserve">为验证排序收益不依赖候选增加，三种方法读取同一来源的 </w:t>
      </w:r>
      <w:r>
        <w:rPr>
          <w:b w:val="false"/>
        </w:rPr>
        <w:t xml:space="preserve">52872 </w:t>
      </w:r>
      <w:r>
        <w:rPr>
          <w:b w:val="false"/>
        </w:rPr>
        <w:t xml:space="preserve">个 </w:t>
      </w:r>
      <w:r>
        <w:rPr>
          <w:b w:val="false"/>
        </w:rPr>
        <w:t xml:space="preserve">metadata </w:t>
      </w:r>
      <w:r>
        <w:rPr>
          <w:b w:val="false"/>
        </w:rPr>
        <w:t>候选框。规则筛选对照只删除候选，排序器校准只重标定分数。表</w:t>
      </w:r>
      <w:r>
        <w:rPr>
          <w:b w:val="false"/>
        </w:rPr>
        <w:t>4-5</w:t>
      </w:r>
      <w:r>
        <w:rPr>
          <w:b w:val="false"/>
        </w:rPr>
        <w:t>为最终单模型配置结果。</w:t>
      </w:r>
    </w:p>
    <w:p>
      <w:pPr>
        <w:pStyle w:val="Normal"/>
        <w:spacing w:before="120" w:after="80"/>
        <w:jc w:val="center"/>
        <w:rPr/>
      </w:pPr>
      <w:r>
        <w:rPr>
          <w:rFonts w:ascii="Times New Roman" w:hAnsi="Times New Roman" w:eastAsia="黑体"/>
          <w:b w:val="false"/>
          <w:sz w:val="21"/>
        </w:rPr>
        <w:t>表</w:t>
      </w:r>
      <w:r>
        <w:rPr>
          <w:rFonts w:eastAsia="黑体"/>
          <w:b w:val="false"/>
          <w:sz w:val="21"/>
        </w:rPr>
        <w:t xml:space="preserve">4-5 </w:t>
      </w:r>
      <w:r>
        <w:rPr>
          <w:rFonts w:ascii="Times New Roman" w:hAnsi="Times New Roman" w:eastAsia="黑体"/>
          <w:b w:val="false"/>
          <w:sz w:val="21"/>
        </w:rPr>
        <w:t>固定候选集上的排序优化结果</w:t>
      </w:r>
    </w:p>
    <w:tbl>
      <w:tblPr>
        <w:tblStyle w:val="15"/>
        <w:tblW w:w="850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17"/>
        <w:gridCol w:w="1416"/>
        <w:gridCol w:w="1418"/>
        <w:gridCol w:w="1417"/>
        <w:gridCol w:w="1416"/>
        <w:gridCol w:w="1417"/>
      </w:tblGrid>
      <w:tr>
        <w:trPr>
          <w:tblHeader w:val="true"/>
        </w:trPr>
        <w:tc>
          <w:tcPr>
            <w:tcW w:w="1417" w:type="dxa"/>
            <w:tcBorders/>
            <w:shd w:fill="1E3D59"/>
            <w:vAlign w:val="center"/>
          </w:tcPr>
          <w:p>
            <w:pPr>
              <w:pStyle w:val="Normal"/>
              <w:widowControl w:val="false"/>
              <w:spacing w:before="0" w:after="0"/>
              <w:jc w:val="center"/>
              <w:rPr/>
            </w:pPr>
            <w:r>
              <w:rPr>
                <w:rFonts w:ascii="Times New Roman" w:hAnsi="Times New Roman"/>
                <w:b/>
                <w:color w:val="FFFFFF"/>
                <w:sz w:val="16"/>
              </w:rPr>
              <w:t>方法</w:t>
            </w:r>
          </w:p>
        </w:tc>
        <w:tc>
          <w:tcPr>
            <w:tcW w:w="1416" w:type="dxa"/>
            <w:tcBorders/>
            <w:shd w:fill="1E3D59"/>
            <w:vAlign w:val="center"/>
          </w:tcPr>
          <w:p>
            <w:pPr>
              <w:pStyle w:val="Normal"/>
              <w:widowControl w:val="false"/>
              <w:spacing w:before="0" w:after="0"/>
              <w:jc w:val="center"/>
              <w:rPr/>
            </w:pPr>
            <w:r>
              <w:rPr>
                <w:rFonts w:ascii="Times New Roman" w:hAnsi="Times New Roman"/>
                <w:b/>
                <w:color w:val="FFFFFF"/>
                <w:sz w:val="16"/>
              </w:rPr>
              <w:t>预测框数</w:t>
            </w:r>
          </w:p>
        </w:tc>
        <w:tc>
          <w:tcPr>
            <w:tcW w:w="1418" w:type="dxa"/>
            <w:tcBorders/>
            <w:shd w:fill="1E3D59"/>
            <w:vAlign w:val="center"/>
          </w:tcPr>
          <w:p>
            <w:pPr>
              <w:pStyle w:val="Normal"/>
              <w:widowControl w:val="false"/>
              <w:spacing w:before="0" w:after="0"/>
              <w:jc w:val="center"/>
              <w:rPr/>
            </w:pPr>
            <w:r>
              <w:rPr>
                <w:rFonts w:eastAsia="宋体"/>
                <w:b/>
                <w:color w:val="FFFFFF"/>
                <w:sz w:val="16"/>
              </w:rPr>
              <w:t>Acc@0.5</w:t>
            </w:r>
          </w:p>
        </w:tc>
        <w:tc>
          <w:tcPr>
            <w:tcW w:w="1417" w:type="dxa"/>
            <w:tcBorders/>
            <w:shd w:fill="1E3D59"/>
            <w:vAlign w:val="center"/>
          </w:tcPr>
          <w:p>
            <w:pPr>
              <w:pStyle w:val="Normal"/>
              <w:widowControl w:val="false"/>
              <w:spacing w:before="0" w:after="0"/>
              <w:jc w:val="center"/>
              <w:rPr/>
            </w:pPr>
            <w:r>
              <w:rPr>
                <w:rFonts w:eastAsia="宋体"/>
                <w:b/>
                <w:color w:val="FFFFFF"/>
                <w:sz w:val="16"/>
              </w:rPr>
              <w:t>Acc@0.75</w:t>
            </w:r>
          </w:p>
        </w:tc>
        <w:tc>
          <w:tcPr>
            <w:tcW w:w="1416" w:type="dxa"/>
            <w:tcBorders/>
            <w:shd w:fill="1E3D59"/>
            <w:vAlign w:val="center"/>
          </w:tcPr>
          <w:p>
            <w:pPr>
              <w:pStyle w:val="Normal"/>
              <w:widowControl w:val="false"/>
              <w:spacing w:before="0" w:after="0"/>
              <w:jc w:val="center"/>
              <w:rPr/>
            </w:pPr>
            <w:r>
              <w:rPr>
                <w:rFonts w:eastAsia="宋体"/>
                <w:b/>
                <w:color w:val="FFFFFF"/>
                <w:sz w:val="16"/>
              </w:rPr>
              <w:t>mAP@0.5</w:t>
            </w:r>
          </w:p>
        </w:tc>
        <w:tc>
          <w:tcPr>
            <w:tcW w:w="1417" w:type="dxa"/>
            <w:tcBorders/>
            <w:shd w:fill="1E3D59"/>
            <w:vAlign w:val="center"/>
          </w:tcPr>
          <w:p>
            <w:pPr>
              <w:pStyle w:val="Normal"/>
              <w:widowControl w:val="false"/>
              <w:spacing w:before="0" w:after="0"/>
              <w:jc w:val="center"/>
              <w:rPr/>
            </w:pPr>
            <w:r>
              <w:rPr>
                <w:rFonts w:eastAsia="宋体"/>
                <w:b/>
                <w:color w:val="FFFFFF"/>
                <w:sz w:val="16"/>
              </w:rPr>
              <w:t>TP@0.5</w:t>
            </w:r>
          </w:p>
        </w:tc>
      </w:tr>
      <w:tr>
        <w:trPr/>
        <w:tc>
          <w:tcPr>
            <w:tcW w:w="1417" w:type="dxa"/>
            <w:tcBorders/>
            <w:vAlign w:val="center"/>
          </w:tcPr>
          <w:p>
            <w:pPr>
              <w:pStyle w:val="Normal"/>
              <w:widowControl w:val="false"/>
              <w:spacing w:before="0" w:after="0"/>
              <w:jc w:val="center"/>
              <w:rPr/>
            </w:pPr>
            <w:r>
              <w:rPr>
                <w:rFonts w:ascii="Times New Roman" w:hAnsi="Times New Roman"/>
                <w:b w:val="false"/>
                <w:sz w:val="16"/>
              </w:rPr>
              <w:t>富元信息融合前</w:t>
            </w:r>
          </w:p>
        </w:tc>
        <w:tc>
          <w:tcPr>
            <w:tcW w:w="1416" w:type="dxa"/>
            <w:tcBorders/>
            <w:vAlign w:val="center"/>
          </w:tcPr>
          <w:p>
            <w:pPr>
              <w:pStyle w:val="Normal"/>
              <w:widowControl w:val="false"/>
              <w:spacing w:before="0" w:after="0"/>
              <w:jc w:val="center"/>
              <w:rPr/>
            </w:pPr>
            <w:r>
              <w:rPr>
                <w:rFonts w:eastAsia="宋体"/>
                <w:b w:val="false"/>
                <w:sz w:val="16"/>
              </w:rPr>
              <w:t>52,872</w:t>
            </w:r>
          </w:p>
        </w:tc>
        <w:tc>
          <w:tcPr>
            <w:tcW w:w="1418" w:type="dxa"/>
            <w:tcBorders/>
            <w:vAlign w:val="center"/>
          </w:tcPr>
          <w:p>
            <w:pPr>
              <w:pStyle w:val="Normal"/>
              <w:widowControl w:val="false"/>
              <w:spacing w:before="0" w:after="0"/>
              <w:jc w:val="center"/>
              <w:rPr/>
            </w:pPr>
            <w:r>
              <w:rPr>
                <w:rFonts w:eastAsia="宋体"/>
                <w:b w:val="false"/>
                <w:sz w:val="16"/>
              </w:rPr>
              <w:t>0.5374</w:t>
            </w:r>
          </w:p>
        </w:tc>
        <w:tc>
          <w:tcPr>
            <w:tcW w:w="1417" w:type="dxa"/>
            <w:tcBorders/>
            <w:vAlign w:val="center"/>
          </w:tcPr>
          <w:p>
            <w:pPr>
              <w:pStyle w:val="Normal"/>
              <w:widowControl w:val="false"/>
              <w:spacing w:before="0" w:after="0"/>
              <w:jc w:val="center"/>
              <w:rPr/>
            </w:pPr>
            <w:r>
              <w:rPr>
                <w:rFonts w:eastAsia="宋体"/>
                <w:b w:val="false"/>
                <w:sz w:val="16"/>
              </w:rPr>
              <w:t>0.3463</w:t>
            </w:r>
          </w:p>
        </w:tc>
        <w:tc>
          <w:tcPr>
            <w:tcW w:w="1416" w:type="dxa"/>
            <w:tcBorders/>
            <w:vAlign w:val="center"/>
          </w:tcPr>
          <w:p>
            <w:pPr>
              <w:pStyle w:val="Normal"/>
              <w:widowControl w:val="false"/>
              <w:spacing w:before="0" w:after="0"/>
              <w:jc w:val="center"/>
              <w:rPr/>
            </w:pPr>
            <w:r>
              <w:rPr>
                <w:rFonts w:eastAsia="宋体"/>
                <w:b w:val="false"/>
                <w:sz w:val="16"/>
              </w:rPr>
              <w:t>0.1464</w:t>
            </w:r>
          </w:p>
        </w:tc>
        <w:tc>
          <w:tcPr>
            <w:tcW w:w="1417" w:type="dxa"/>
            <w:tcBorders/>
            <w:vAlign w:val="center"/>
          </w:tcPr>
          <w:p>
            <w:pPr>
              <w:pStyle w:val="Normal"/>
              <w:widowControl w:val="false"/>
              <w:spacing w:before="0" w:after="0"/>
              <w:jc w:val="center"/>
              <w:rPr/>
            </w:pPr>
            <w:r>
              <w:rPr>
                <w:rFonts w:eastAsia="宋体"/>
                <w:b w:val="false"/>
                <w:sz w:val="16"/>
              </w:rPr>
              <w:t>4,285</w:t>
            </w:r>
          </w:p>
        </w:tc>
      </w:tr>
      <w:tr>
        <w:trPr/>
        <w:tc>
          <w:tcPr>
            <w:tcW w:w="1417" w:type="dxa"/>
            <w:tcBorders/>
            <w:vAlign w:val="center"/>
          </w:tcPr>
          <w:p>
            <w:pPr>
              <w:pStyle w:val="Normal"/>
              <w:widowControl w:val="false"/>
              <w:spacing w:before="0" w:after="0"/>
              <w:jc w:val="center"/>
              <w:rPr/>
            </w:pPr>
            <w:r>
              <w:rPr>
                <w:rFonts w:ascii="Times New Roman" w:hAnsi="Times New Roman"/>
                <w:b w:val="false"/>
                <w:sz w:val="16"/>
              </w:rPr>
              <w:t>规则筛选对照</w:t>
            </w:r>
          </w:p>
        </w:tc>
        <w:tc>
          <w:tcPr>
            <w:tcW w:w="1416" w:type="dxa"/>
            <w:tcBorders/>
            <w:vAlign w:val="center"/>
          </w:tcPr>
          <w:p>
            <w:pPr>
              <w:pStyle w:val="Normal"/>
              <w:widowControl w:val="false"/>
              <w:spacing w:before="0" w:after="0"/>
              <w:jc w:val="center"/>
              <w:rPr/>
            </w:pPr>
            <w:r>
              <w:rPr>
                <w:rFonts w:eastAsia="宋体"/>
                <w:b w:val="false"/>
                <w:sz w:val="16"/>
              </w:rPr>
              <w:t>9,586</w:t>
            </w:r>
          </w:p>
        </w:tc>
        <w:tc>
          <w:tcPr>
            <w:tcW w:w="1418" w:type="dxa"/>
            <w:tcBorders/>
            <w:vAlign w:val="center"/>
          </w:tcPr>
          <w:p>
            <w:pPr>
              <w:pStyle w:val="Normal"/>
              <w:widowControl w:val="false"/>
              <w:spacing w:before="0" w:after="0"/>
              <w:jc w:val="center"/>
              <w:rPr/>
            </w:pPr>
            <w:r>
              <w:rPr>
                <w:rFonts w:eastAsia="宋体"/>
                <w:b w:val="false"/>
                <w:sz w:val="16"/>
              </w:rPr>
              <w:t>0.3193</w:t>
            </w:r>
          </w:p>
        </w:tc>
        <w:tc>
          <w:tcPr>
            <w:tcW w:w="1417" w:type="dxa"/>
            <w:tcBorders/>
            <w:vAlign w:val="center"/>
          </w:tcPr>
          <w:p>
            <w:pPr>
              <w:pStyle w:val="Normal"/>
              <w:widowControl w:val="false"/>
              <w:spacing w:before="0" w:after="0"/>
              <w:jc w:val="center"/>
              <w:rPr/>
            </w:pPr>
            <w:r>
              <w:rPr>
                <w:rFonts w:eastAsia="宋体"/>
                <w:b w:val="false"/>
                <w:sz w:val="16"/>
              </w:rPr>
              <w:t>0.2491</w:t>
            </w:r>
          </w:p>
        </w:tc>
        <w:tc>
          <w:tcPr>
            <w:tcW w:w="1416" w:type="dxa"/>
            <w:tcBorders/>
            <w:vAlign w:val="center"/>
          </w:tcPr>
          <w:p>
            <w:pPr>
              <w:pStyle w:val="Normal"/>
              <w:widowControl w:val="false"/>
              <w:spacing w:before="0" w:after="0"/>
              <w:jc w:val="center"/>
              <w:rPr/>
            </w:pPr>
            <w:r>
              <w:rPr>
                <w:rFonts w:eastAsia="宋体"/>
                <w:b w:val="false"/>
                <w:sz w:val="16"/>
              </w:rPr>
              <w:t>0.1187</w:t>
            </w:r>
          </w:p>
        </w:tc>
        <w:tc>
          <w:tcPr>
            <w:tcW w:w="1417" w:type="dxa"/>
            <w:tcBorders/>
            <w:vAlign w:val="center"/>
          </w:tcPr>
          <w:p>
            <w:pPr>
              <w:pStyle w:val="Normal"/>
              <w:widowControl w:val="false"/>
              <w:spacing w:before="0" w:after="0"/>
              <w:jc w:val="center"/>
              <w:rPr/>
            </w:pPr>
            <w:r>
              <w:rPr>
                <w:rFonts w:eastAsia="宋体"/>
                <w:b w:val="false"/>
                <w:sz w:val="16"/>
              </w:rPr>
              <w:t>2,546</w:t>
            </w:r>
          </w:p>
        </w:tc>
      </w:tr>
      <w:tr>
        <w:trPr/>
        <w:tc>
          <w:tcPr>
            <w:tcW w:w="1417" w:type="dxa"/>
            <w:tcBorders/>
            <w:shd w:fill="E1EFFA"/>
            <w:vAlign w:val="center"/>
          </w:tcPr>
          <w:p>
            <w:pPr>
              <w:pStyle w:val="Normal"/>
              <w:widowControl w:val="false"/>
              <w:spacing w:before="0" w:after="0"/>
              <w:jc w:val="center"/>
              <w:rPr/>
            </w:pPr>
            <w:r>
              <w:rPr>
                <w:rFonts w:ascii="Times New Roman" w:hAnsi="Times New Roman"/>
                <w:b/>
                <w:sz w:val="16"/>
              </w:rPr>
              <w:t>排序器校准</w:t>
            </w:r>
          </w:p>
        </w:tc>
        <w:tc>
          <w:tcPr>
            <w:tcW w:w="1416" w:type="dxa"/>
            <w:tcBorders/>
            <w:shd w:fill="E1EFFA"/>
            <w:vAlign w:val="center"/>
          </w:tcPr>
          <w:p>
            <w:pPr>
              <w:pStyle w:val="Normal"/>
              <w:widowControl w:val="false"/>
              <w:spacing w:before="0" w:after="0"/>
              <w:jc w:val="center"/>
              <w:rPr/>
            </w:pPr>
            <w:r>
              <w:rPr>
                <w:rFonts w:eastAsia="宋体"/>
                <w:b/>
                <w:sz w:val="16"/>
              </w:rPr>
              <w:t>52,872</w:t>
            </w:r>
          </w:p>
        </w:tc>
        <w:tc>
          <w:tcPr>
            <w:tcW w:w="1418" w:type="dxa"/>
            <w:tcBorders/>
            <w:shd w:fill="E1EFFA"/>
            <w:vAlign w:val="center"/>
          </w:tcPr>
          <w:p>
            <w:pPr>
              <w:pStyle w:val="Normal"/>
              <w:widowControl w:val="false"/>
              <w:spacing w:before="0" w:after="0"/>
              <w:jc w:val="center"/>
              <w:rPr/>
            </w:pPr>
            <w:r>
              <w:rPr>
                <w:rFonts w:eastAsia="宋体"/>
                <w:b/>
                <w:sz w:val="16"/>
              </w:rPr>
              <w:t>0.5374</w:t>
            </w:r>
          </w:p>
        </w:tc>
        <w:tc>
          <w:tcPr>
            <w:tcW w:w="1417" w:type="dxa"/>
            <w:tcBorders/>
            <w:shd w:fill="E1EFFA"/>
            <w:vAlign w:val="center"/>
          </w:tcPr>
          <w:p>
            <w:pPr>
              <w:pStyle w:val="Normal"/>
              <w:widowControl w:val="false"/>
              <w:spacing w:before="0" w:after="0"/>
              <w:jc w:val="center"/>
              <w:rPr/>
            </w:pPr>
            <w:r>
              <w:rPr>
                <w:rFonts w:eastAsia="宋体"/>
                <w:b/>
                <w:sz w:val="16"/>
              </w:rPr>
              <w:t>0.3491</w:t>
            </w:r>
          </w:p>
        </w:tc>
        <w:tc>
          <w:tcPr>
            <w:tcW w:w="1416" w:type="dxa"/>
            <w:tcBorders/>
            <w:shd w:fill="E1EFFA"/>
            <w:vAlign w:val="center"/>
          </w:tcPr>
          <w:p>
            <w:pPr>
              <w:pStyle w:val="Normal"/>
              <w:widowControl w:val="false"/>
              <w:spacing w:before="0" w:after="0"/>
              <w:jc w:val="center"/>
              <w:rPr/>
            </w:pPr>
            <w:r>
              <w:rPr>
                <w:rFonts w:eastAsia="宋体"/>
                <w:b/>
                <w:sz w:val="16"/>
              </w:rPr>
              <w:t>0.1690</w:t>
            </w:r>
          </w:p>
        </w:tc>
        <w:tc>
          <w:tcPr>
            <w:tcW w:w="1417" w:type="dxa"/>
            <w:tcBorders/>
            <w:shd w:fill="E1EFFA"/>
            <w:vAlign w:val="center"/>
          </w:tcPr>
          <w:p>
            <w:pPr>
              <w:pStyle w:val="Normal"/>
              <w:widowControl w:val="false"/>
              <w:spacing w:before="0" w:after="0"/>
              <w:jc w:val="center"/>
              <w:rPr/>
            </w:pPr>
            <w:r>
              <w:rPr>
                <w:rFonts w:eastAsia="宋体"/>
                <w:b/>
                <w:sz w:val="16"/>
              </w:rPr>
              <w:t>4,285</w:t>
            </w:r>
          </w:p>
        </w:tc>
      </w:tr>
    </w:tbl>
    <w:p>
      <w:pPr>
        <w:pStyle w:val="Style12"/>
        <w:rPr/>
      </w:pPr>
      <w:r>
        <w:rPr/>
      </w:r>
    </w:p>
    <w:p>
      <w:pPr>
        <w:pStyle w:val="Style12"/>
        <w:rPr/>
      </w:pPr>
      <w:r>
        <w:rPr>
          <w:b w:val="false"/>
        </w:rPr>
        <w:t>排序器校准保持预测框数、</w:t>
      </w:r>
      <w:r>
        <w:rPr>
          <w:b w:val="false"/>
        </w:rPr>
        <w:t xml:space="preserve">Acc@0.5 </w:t>
      </w:r>
      <w:r>
        <w:rPr>
          <w:b w:val="false"/>
        </w:rPr>
        <w:t xml:space="preserve">和 </w:t>
      </w:r>
      <w:r>
        <w:rPr>
          <w:b w:val="false"/>
        </w:rPr>
        <w:t xml:space="preserve">TP@0.5 </w:t>
      </w:r>
      <w:r>
        <w:rPr>
          <w:b w:val="false"/>
        </w:rPr>
        <w:t xml:space="preserve">不变，将 </w:t>
      </w:r>
      <w:r>
        <w:rPr>
          <w:b w:val="false"/>
        </w:rPr>
        <w:t xml:space="preserve">Acc@0.75 </w:t>
      </w:r>
      <w:r>
        <w:rPr>
          <w:b w:val="false"/>
        </w:rPr>
        <w:t xml:space="preserve">从 </w:t>
      </w:r>
      <w:r>
        <w:rPr>
          <w:b w:val="false"/>
        </w:rPr>
        <w:t xml:space="preserve">0.3463 </w:t>
      </w:r>
      <w:r>
        <w:rPr>
          <w:b w:val="false"/>
        </w:rPr>
        <w:t xml:space="preserve">提升到 </w:t>
      </w:r>
      <w:r>
        <w:rPr>
          <w:b w:val="false"/>
        </w:rPr>
        <w:t>0.3491</w:t>
      </w:r>
      <w:r>
        <w:rPr>
          <w:b w:val="false"/>
        </w:rPr>
        <w:t>，</w:t>
      </w:r>
      <w:r>
        <w:rPr>
          <w:b w:val="false"/>
        </w:rPr>
        <w:t xml:space="preserve">mAP@0.5 </w:t>
      </w:r>
      <w:r>
        <w:rPr>
          <w:b w:val="false"/>
        </w:rPr>
        <w:t xml:space="preserve">从 </w:t>
      </w:r>
      <w:r>
        <w:rPr>
          <w:b w:val="false"/>
        </w:rPr>
        <w:t xml:space="preserve">0.1464 </w:t>
      </w:r>
      <w:r>
        <w:rPr>
          <w:b w:val="false"/>
        </w:rPr>
        <w:t xml:space="preserve">提升到 </w:t>
      </w:r>
      <w:r>
        <w:rPr>
          <w:b w:val="false"/>
        </w:rPr>
        <w:t>0.1690</w:t>
      </w:r>
      <w:r>
        <w:rPr>
          <w:b w:val="false"/>
        </w:rPr>
        <w:t xml:space="preserve">。由于坐标、类别和候选集合均未改变，收益来自置信度校准与排序。规则硬筛选将候选压缩到 </w:t>
      </w:r>
      <w:r>
        <w:rPr>
          <w:b w:val="false"/>
        </w:rPr>
        <w:t xml:space="preserve">9586 </w:t>
      </w:r>
      <w:r>
        <w:rPr>
          <w:b w:val="false"/>
        </w:rPr>
        <w:t xml:space="preserve">个，但同时显著损失召回和 </w:t>
      </w:r>
      <w:r>
        <w:rPr>
          <w:b w:val="false"/>
        </w:rPr>
        <w:t>mAP</w:t>
      </w:r>
      <w:r>
        <w:rPr>
          <w:b w:val="false"/>
        </w:rPr>
        <w:t>，说明仅依赖固定规则删除候选难以替代学习式排序。</w:t>
      </w:r>
    </w:p>
    <w:p>
      <w:pPr>
        <w:pStyle w:val="23"/>
        <w:numPr>
          <w:ilvl w:val="1"/>
          <w:numId w:val="1"/>
        </w:numPr>
        <w:rPr/>
      </w:pPr>
      <w:bookmarkStart w:id="178" w:name="__RefHeading___Toc10312_2198631117"/>
      <w:bookmarkEnd w:id="178"/>
      <w:r>
        <w:rPr>
          <w:b w:val="false"/>
        </w:rPr>
        <w:t>富元信息特征消融</w:t>
      </w:r>
    </w:p>
    <w:p>
      <w:pPr>
        <w:pStyle w:val="Style12"/>
        <w:rPr/>
      </w:pPr>
      <w:r>
        <w:rPr>
          <w:b w:val="false"/>
        </w:rPr>
        <w:t xml:space="preserve">进一步的严格消融固定 </w:t>
      </w:r>
      <w:r>
        <w:rPr>
          <w:b w:val="false"/>
        </w:rPr>
        <w:t xml:space="preserve">52872 </w:t>
      </w:r>
      <w:r>
        <w:rPr>
          <w:b w:val="false"/>
        </w:rPr>
        <w:t>个候选、</w:t>
      </w:r>
      <w:r>
        <w:rPr>
          <w:b w:val="false"/>
        </w:rPr>
        <w:t xml:space="preserve">68 </w:t>
      </w:r>
      <w:r>
        <w:rPr>
          <w:b w:val="false"/>
        </w:rPr>
        <w:t xml:space="preserve">维输入槽位和 </w:t>
      </w:r>
      <w:r>
        <w:rPr>
          <w:b w:val="false"/>
        </w:rPr>
        <w:t xml:space="preserve">19649 </w:t>
      </w:r>
      <w:r>
        <w:rPr>
          <w:b w:val="false"/>
        </w:rPr>
        <w:t xml:space="preserve">个模型参数，仅将未启用的特征位置置零。每组使用随机种子 </w:t>
      </w:r>
      <w:r>
        <w:rPr>
          <w:b w:val="false"/>
        </w:rPr>
        <w:t>42</w:t>
      </w:r>
      <w:r>
        <w:rPr>
          <w:b w:val="false"/>
        </w:rPr>
        <w:t>、</w:t>
      </w:r>
      <w:r>
        <w:rPr>
          <w:b w:val="false"/>
        </w:rPr>
        <w:t>43</w:t>
      </w:r>
      <w:r>
        <w:rPr>
          <w:b w:val="false"/>
        </w:rPr>
        <w:t>、</w:t>
      </w:r>
      <w:r>
        <w:rPr>
          <w:b w:val="false"/>
        </w:rPr>
        <w:t xml:space="preserve">44 </w:t>
      </w:r>
      <w:r>
        <w:rPr>
          <w:b w:val="false"/>
        </w:rPr>
        <w:t xml:space="preserve">训练 </w:t>
      </w:r>
      <w:r>
        <w:rPr>
          <w:b w:val="false"/>
        </w:rPr>
        <w:t>60 epochs</w:t>
      </w:r>
      <w:r>
        <w:rPr>
          <w:b w:val="false"/>
        </w:rPr>
        <w:t xml:space="preserve">，融合系数只在 </w:t>
      </w:r>
      <w:r>
        <w:rPr>
          <w:b w:val="false"/>
        </w:rPr>
        <w:t xml:space="preserve">val holdout </w:t>
      </w:r>
      <w:r>
        <w:rPr>
          <w:b w:val="false"/>
        </w:rPr>
        <w:t>上选择，</w:t>
      </w:r>
      <w:r>
        <w:rPr>
          <w:b w:val="false"/>
        </w:rPr>
        <w:t xml:space="preserve">test </w:t>
      </w:r>
      <w:r>
        <w:rPr>
          <w:b w:val="false"/>
        </w:rPr>
        <w:t>仅用于最终评价。六组配置采用逐步累积设计。</w:t>
      </w:r>
    </w:p>
    <w:p>
      <w:pPr>
        <w:pStyle w:val="Normal"/>
        <w:spacing w:before="120" w:after="80"/>
        <w:jc w:val="center"/>
        <w:rPr/>
      </w:pPr>
      <w:r>
        <w:rPr>
          <w:rFonts w:ascii="Times New Roman" w:hAnsi="Times New Roman" w:eastAsia="黑体"/>
          <w:b w:val="false"/>
          <w:sz w:val="21"/>
        </w:rPr>
        <w:t>表</w:t>
      </w:r>
      <w:r>
        <w:rPr>
          <w:rFonts w:eastAsia="黑体"/>
          <w:b w:val="false"/>
          <w:sz w:val="21"/>
        </w:rPr>
        <w:t xml:space="preserve">4-6 </w:t>
      </w:r>
      <w:r>
        <w:rPr>
          <w:rFonts w:ascii="Times New Roman" w:hAnsi="Times New Roman" w:eastAsia="黑体"/>
          <w:b w:val="false"/>
          <w:sz w:val="21"/>
        </w:rPr>
        <w:t>富元信息特征累积消融（均值</w:t>
      </w:r>
      <w:r>
        <w:rPr>
          <w:rFonts w:eastAsia="黑体"/>
          <w:b w:val="false"/>
          <w:sz w:val="21"/>
        </w:rPr>
        <w:t>±</w:t>
      </w:r>
      <w:r>
        <w:rPr>
          <w:rFonts w:ascii="Times New Roman" w:hAnsi="Times New Roman" w:eastAsia="黑体"/>
          <w:b w:val="false"/>
          <w:sz w:val="21"/>
        </w:rPr>
        <w:t>样本标准差）</w:t>
      </w:r>
    </w:p>
    <w:tbl>
      <w:tblPr>
        <w:tblStyle w:val="15"/>
        <w:tblW w:w="850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17"/>
        <w:gridCol w:w="1416"/>
        <w:gridCol w:w="1418"/>
        <w:gridCol w:w="1417"/>
        <w:gridCol w:w="1416"/>
        <w:gridCol w:w="1417"/>
      </w:tblGrid>
      <w:tr>
        <w:trPr>
          <w:tblHeader w:val="true"/>
        </w:trPr>
        <w:tc>
          <w:tcPr>
            <w:tcW w:w="1417" w:type="dxa"/>
            <w:tcBorders/>
            <w:shd w:fill="1E3D59"/>
            <w:vAlign w:val="center"/>
          </w:tcPr>
          <w:p>
            <w:pPr>
              <w:pStyle w:val="Normal"/>
              <w:widowControl w:val="false"/>
              <w:spacing w:before="0" w:after="0"/>
              <w:jc w:val="center"/>
              <w:rPr/>
            </w:pPr>
            <w:r>
              <w:rPr>
                <w:rFonts w:ascii="Times New Roman" w:hAnsi="Times New Roman"/>
                <w:b/>
                <w:color w:val="FFFFFF"/>
                <w:sz w:val="16"/>
              </w:rPr>
              <w:t>配置</w:t>
            </w:r>
          </w:p>
        </w:tc>
        <w:tc>
          <w:tcPr>
            <w:tcW w:w="1416" w:type="dxa"/>
            <w:tcBorders/>
            <w:shd w:fill="1E3D59"/>
            <w:vAlign w:val="center"/>
          </w:tcPr>
          <w:p>
            <w:pPr>
              <w:pStyle w:val="Normal"/>
              <w:widowControl w:val="false"/>
              <w:spacing w:before="0" w:after="0"/>
              <w:jc w:val="center"/>
              <w:rPr/>
            </w:pPr>
            <w:r>
              <w:rPr>
                <w:rFonts w:ascii="Times New Roman" w:hAnsi="Times New Roman"/>
                <w:b/>
                <w:color w:val="FFFFFF"/>
                <w:sz w:val="16"/>
              </w:rPr>
              <w:t>启用维数</w:t>
            </w:r>
          </w:p>
        </w:tc>
        <w:tc>
          <w:tcPr>
            <w:tcW w:w="1418" w:type="dxa"/>
            <w:tcBorders/>
            <w:shd w:fill="1E3D59"/>
            <w:vAlign w:val="center"/>
          </w:tcPr>
          <w:p>
            <w:pPr>
              <w:pStyle w:val="Normal"/>
              <w:widowControl w:val="false"/>
              <w:spacing w:before="0" w:after="0"/>
              <w:jc w:val="center"/>
              <w:rPr/>
            </w:pPr>
            <w:r>
              <w:rPr>
                <w:rFonts w:eastAsia="宋体"/>
                <w:b/>
                <w:color w:val="FFFFFF"/>
                <w:sz w:val="16"/>
              </w:rPr>
              <w:t>Acc@0.5</w:t>
            </w:r>
          </w:p>
        </w:tc>
        <w:tc>
          <w:tcPr>
            <w:tcW w:w="1417" w:type="dxa"/>
            <w:tcBorders/>
            <w:shd w:fill="1E3D59"/>
            <w:vAlign w:val="center"/>
          </w:tcPr>
          <w:p>
            <w:pPr>
              <w:pStyle w:val="Normal"/>
              <w:widowControl w:val="false"/>
              <w:spacing w:before="0" w:after="0"/>
              <w:jc w:val="center"/>
              <w:rPr/>
            </w:pPr>
            <w:r>
              <w:rPr>
                <w:rFonts w:eastAsia="宋体"/>
                <w:b/>
                <w:color w:val="FFFFFF"/>
                <w:sz w:val="16"/>
              </w:rPr>
              <w:t>Acc@0.75</w:t>
            </w:r>
          </w:p>
        </w:tc>
        <w:tc>
          <w:tcPr>
            <w:tcW w:w="1416" w:type="dxa"/>
            <w:tcBorders/>
            <w:shd w:fill="1E3D59"/>
            <w:vAlign w:val="center"/>
          </w:tcPr>
          <w:p>
            <w:pPr>
              <w:pStyle w:val="Normal"/>
              <w:widowControl w:val="false"/>
              <w:spacing w:before="0" w:after="0"/>
              <w:jc w:val="center"/>
              <w:rPr/>
            </w:pPr>
            <w:r>
              <w:rPr>
                <w:rFonts w:eastAsia="宋体"/>
                <w:b/>
                <w:color w:val="FFFFFF"/>
                <w:sz w:val="16"/>
              </w:rPr>
              <w:t>mAP@0.5</w:t>
            </w:r>
          </w:p>
        </w:tc>
        <w:tc>
          <w:tcPr>
            <w:tcW w:w="1417" w:type="dxa"/>
            <w:tcBorders/>
            <w:shd w:fill="1E3D59"/>
            <w:vAlign w:val="center"/>
          </w:tcPr>
          <w:p>
            <w:pPr>
              <w:pStyle w:val="Normal"/>
              <w:widowControl w:val="false"/>
              <w:spacing w:before="0" w:after="0"/>
              <w:jc w:val="center"/>
              <w:rPr/>
            </w:pPr>
            <w:r>
              <w:rPr>
                <w:rFonts w:ascii="Times New Roman" w:hAnsi="Times New Roman"/>
                <w:b/>
                <w:color w:val="FFFFFF"/>
                <w:sz w:val="16"/>
              </w:rPr>
              <w:t>逐步</w:t>
            </w:r>
            <w:r>
              <w:rPr>
                <w:rFonts w:eastAsia="宋体"/>
                <w:b/>
                <w:color w:val="FFFFFF"/>
                <w:sz w:val="16"/>
              </w:rPr>
              <w:t>ΔmAP</w:t>
            </w:r>
          </w:p>
        </w:tc>
      </w:tr>
      <w:tr>
        <w:trPr/>
        <w:tc>
          <w:tcPr>
            <w:tcW w:w="1417" w:type="dxa"/>
            <w:tcBorders/>
            <w:vAlign w:val="center"/>
          </w:tcPr>
          <w:p>
            <w:pPr>
              <w:pStyle w:val="Normal"/>
              <w:widowControl w:val="false"/>
              <w:spacing w:before="0" w:after="0"/>
              <w:jc w:val="center"/>
              <w:rPr/>
            </w:pPr>
            <w:r>
              <w:rPr>
                <w:rFonts w:eastAsia="宋体"/>
                <w:b w:val="false"/>
                <w:sz w:val="16"/>
              </w:rPr>
              <w:t>Raw score</w:t>
            </w:r>
          </w:p>
        </w:tc>
        <w:tc>
          <w:tcPr>
            <w:tcW w:w="1416" w:type="dxa"/>
            <w:tcBorders/>
            <w:vAlign w:val="center"/>
          </w:tcPr>
          <w:p>
            <w:pPr>
              <w:pStyle w:val="Normal"/>
              <w:widowControl w:val="false"/>
              <w:spacing w:before="0" w:after="0"/>
              <w:jc w:val="center"/>
              <w:rPr/>
            </w:pPr>
            <w:r>
              <w:rPr>
                <w:rFonts w:eastAsia="宋体"/>
                <w:b w:val="false"/>
                <w:sz w:val="16"/>
              </w:rPr>
              <w:t>1</w:t>
            </w:r>
          </w:p>
        </w:tc>
        <w:tc>
          <w:tcPr>
            <w:tcW w:w="1418" w:type="dxa"/>
            <w:tcBorders/>
            <w:vAlign w:val="center"/>
          </w:tcPr>
          <w:p>
            <w:pPr>
              <w:pStyle w:val="Normal"/>
              <w:widowControl w:val="false"/>
              <w:spacing w:before="0" w:after="0"/>
              <w:jc w:val="center"/>
              <w:rPr/>
            </w:pPr>
            <w:r>
              <w:rPr>
                <w:rFonts w:eastAsia="宋体"/>
                <w:b w:val="false"/>
                <w:sz w:val="16"/>
              </w:rPr>
              <w:t>0.5374±0.0000</w:t>
            </w:r>
          </w:p>
        </w:tc>
        <w:tc>
          <w:tcPr>
            <w:tcW w:w="1417" w:type="dxa"/>
            <w:tcBorders/>
            <w:vAlign w:val="center"/>
          </w:tcPr>
          <w:p>
            <w:pPr>
              <w:pStyle w:val="Normal"/>
              <w:widowControl w:val="false"/>
              <w:spacing w:before="0" w:after="0"/>
              <w:jc w:val="center"/>
              <w:rPr/>
            </w:pPr>
            <w:r>
              <w:rPr>
                <w:rFonts w:eastAsia="宋体"/>
                <w:b w:val="false"/>
                <w:sz w:val="16"/>
              </w:rPr>
              <w:t>0.3463±0.0000</w:t>
            </w:r>
          </w:p>
        </w:tc>
        <w:tc>
          <w:tcPr>
            <w:tcW w:w="1416" w:type="dxa"/>
            <w:tcBorders/>
            <w:vAlign w:val="center"/>
          </w:tcPr>
          <w:p>
            <w:pPr>
              <w:pStyle w:val="Normal"/>
              <w:widowControl w:val="false"/>
              <w:spacing w:before="0" w:after="0"/>
              <w:jc w:val="center"/>
              <w:rPr/>
            </w:pPr>
            <w:r>
              <w:rPr>
                <w:rFonts w:eastAsia="宋体"/>
                <w:b w:val="false"/>
                <w:sz w:val="16"/>
              </w:rPr>
              <w:t>0.1464±0.0000</w:t>
            </w:r>
          </w:p>
        </w:tc>
        <w:tc>
          <w:tcPr>
            <w:tcW w:w="1417" w:type="dxa"/>
            <w:tcBorders/>
            <w:vAlign w:val="center"/>
          </w:tcPr>
          <w:p>
            <w:pPr>
              <w:pStyle w:val="Normal"/>
              <w:widowControl w:val="false"/>
              <w:spacing w:before="0" w:after="0"/>
              <w:jc w:val="center"/>
              <w:rPr/>
            </w:pPr>
            <w:r>
              <w:rPr>
                <w:rFonts w:eastAsia="宋体"/>
                <w:b w:val="false"/>
                <w:sz w:val="16"/>
              </w:rPr>
              <w:t>+0.0000</w:t>
            </w:r>
          </w:p>
        </w:tc>
      </w:tr>
      <w:tr>
        <w:trPr/>
        <w:tc>
          <w:tcPr>
            <w:tcW w:w="1417" w:type="dxa"/>
            <w:tcBorders/>
            <w:vAlign w:val="center"/>
          </w:tcPr>
          <w:p>
            <w:pPr>
              <w:pStyle w:val="Normal"/>
              <w:widowControl w:val="false"/>
              <w:spacing w:before="0" w:after="0"/>
              <w:jc w:val="center"/>
              <w:rPr/>
            </w:pPr>
            <w:r>
              <w:rPr>
                <w:rFonts w:eastAsia="宋体"/>
                <w:b w:val="false"/>
                <w:sz w:val="16"/>
              </w:rPr>
              <w:t>+ geometry</w:t>
            </w:r>
          </w:p>
        </w:tc>
        <w:tc>
          <w:tcPr>
            <w:tcW w:w="1416" w:type="dxa"/>
            <w:tcBorders/>
            <w:vAlign w:val="center"/>
          </w:tcPr>
          <w:p>
            <w:pPr>
              <w:pStyle w:val="Normal"/>
              <w:widowControl w:val="false"/>
              <w:spacing w:before="0" w:after="0"/>
              <w:jc w:val="center"/>
              <w:rPr/>
            </w:pPr>
            <w:r>
              <w:rPr>
                <w:rFonts w:eastAsia="宋体"/>
                <w:b w:val="false"/>
                <w:sz w:val="16"/>
              </w:rPr>
              <w:t>9</w:t>
            </w:r>
          </w:p>
        </w:tc>
        <w:tc>
          <w:tcPr>
            <w:tcW w:w="1418" w:type="dxa"/>
            <w:tcBorders/>
            <w:vAlign w:val="center"/>
          </w:tcPr>
          <w:p>
            <w:pPr>
              <w:pStyle w:val="Normal"/>
              <w:widowControl w:val="false"/>
              <w:spacing w:before="0" w:after="0"/>
              <w:jc w:val="center"/>
              <w:rPr/>
            </w:pPr>
            <w:r>
              <w:rPr>
                <w:rFonts w:eastAsia="宋体"/>
                <w:b w:val="false"/>
                <w:sz w:val="16"/>
              </w:rPr>
              <w:t>0.5374±0.0000</w:t>
            </w:r>
          </w:p>
        </w:tc>
        <w:tc>
          <w:tcPr>
            <w:tcW w:w="1417" w:type="dxa"/>
            <w:tcBorders/>
            <w:vAlign w:val="center"/>
          </w:tcPr>
          <w:p>
            <w:pPr>
              <w:pStyle w:val="Normal"/>
              <w:widowControl w:val="false"/>
              <w:spacing w:before="0" w:after="0"/>
              <w:jc w:val="center"/>
              <w:rPr/>
            </w:pPr>
            <w:r>
              <w:rPr>
                <w:rFonts w:eastAsia="宋体"/>
                <w:b w:val="false"/>
                <w:sz w:val="16"/>
              </w:rPr>
              <w:t>0.3463±0.0005</w:t>
            </w:r>
          </w:p>
        </w:tc>
        <w:tc>
          <w:tcPr>
            <w:tcW w:w="1416" w:type="dxa"/>
            <w:tcBorders/>
            <w:vAlign w:val="center"/>
          </w:tcPr>
          <w:p>
            <w:pPr>
              <w:pStyle w:val="Normal"/>
              <w:widowControl w:val="false"/>
              <w:spacing w:before="0" w:after="0"/>
              <w:jc w:val="center"/>
              <w:rPr/>
            </w:pPr>
            <w:r>
              <w:rPr>
                <w:rFonts w:eastAsia="宋体"/>
                <w:b w:val="false"/>
                <w:sz w:val="16"/>
              </w:rPr>
              <w:t>0.1504±0.0012</w:t>
            </w:r>
          </w:p>
        </w:tc>
        <w:tc>
          <w:tcPr>
            <w:tcW w:w="1417" w:type="dxa"/>
            <w:tcBorders/>
            <w:vAlign w:val="center"/>
          </w:tcPr>
          <w:p>
            <w:pPr>
              <w:pStyle w:val="Normal"/>
              <w:widowControl w:val="false"/>
              <w:spacing w:before="0" w:after="0"/>
              <w:jc w:val="center"/>
              <w:rPr/>
            </w:pPr>
            <w:r>
              <w:rPr>
                <w:rFonts w:eastAsia="宋体"/>
                <w:b w:val="false"/>
                <w:sz w:val="16"/>
              </w:rPr>
              <w:t>+0.0040</w:t>
            </w:r>
          </w:p>
        </w:tc>
      </w:tr>
      <w:tr>
        <w:trPr/>
        <w:tc>
          <w:tcPr>
            <w:tcW w:w="1417" w:type="dxa"/>
            <w:tcBorders/>
            <w:vAlign w:val="center"/>
          </w:tcPr>
          <w:p>
            <w:pPr>
              <w:pStyle w:val="Normal"/>
              <w:widowControl w:val="false"/>
              <w:spacing w:before="0" w:after="0"/>
              <w:jc w:val="center"/>
              <w:rPr/>
            </w:pPr>
            <w:r>
              <w:rPr>
                <w:rFonts w:eastAsia="宋体"/>
                <w:b w:val="false"/>
                <w:sz w:val="16"/>
              </w:rPr>
              <w:t>+ query</w:t>
            </w:r>
          </w:p>
        </w:tc>
        <w:tc>
          <w:tcPr>
            <w:tcW w:w="1416" w:type="dxa"/>
            <w:tcBorders/>
            <w:vAlign w:val="center"/>
          </w:tcPr>
          <w:p>
            <w:pPr>
              <w:pStyle w:val="Normal"/>
              <w:widowControl w:val="false"/>
              <w:spacing w:before="0" w:after="0"/>
              <w:jc w:val="center"/>
              <w:rPr/>
            </w:pPr>
            <w:r>
              <w:rPr>
                <w:rFonts w:eastAsia="宋体"/>
                <w:b w:val="false"/>
                <w:sz w:val="16"/>
              </w:rPr>
              <w:t>10</w:t>
            </w:r>
          </w:p>
        </w:tc>
        <w:tc>
          <w:tcPr>
            <w:tcW w:w="1418" w:type="dxa"/>
            <w:tcBorders/>
            <w:vAlign w:val="center"/>
          </w:tcPr>
          <w:p>
            <w:pPr>
              <w:pStyle w:val="Normal"/>
              <w:widowControl w:val="false"/>
              <w:spacing w:before="0" w:after="0"/>
              <w:jc w:val="center"/>
              <w:rPr/>
            </w:pPr>
            <w:r>
              <w:rPr>
                <w:rFonts w:eastAsia="宋体"/>
                <w:b w:val="false"/>
                <w:sz w:val="16"/>
              </w:rPr>
              <w:t>0.5374±0.0000</w:t>
            </w:r>
          </w:p>
        </w:tc>
        <w:tc>
          <w:tcPr>
            <w:tcW w:w="1417" w:type="dxa"/>
            <w:tcBorders/>
            <w:vAlign w:val="center"/>
          </w:tcPr>
          <w:p>
            <w:pPr>
              <w:pStyle w:val="Normal"/>
              <w:widowControl w:val="false"/>
              <w:spacing w:before="0" w:after="0"/>
              <w:jc w:val="center"/>
              <w:rPr/>
            </w:pPr>
            <w:r>
              <w:rPr>
                <w:rFonts w:eastAsia="宋体"/>
                <w:b w:val="false"/>
                <w:sz w:val="16"/>
              </w:rPr>
              <w:t>0.3461±0.0002</w:t>
            </w:r>
          </w:p>
        </w:tc>
        <w:tc>
          <w:tcPr>
            <w:tcW w:w="1416" w:type="dxa"/>
            <w:tcBorders/>
            <w:vAlign w:val="center"/>
          </w:tcPr>
          <w:p>
            <w:pPr>
              <w:pStyle w:val="Normal"/>
              <w:widowControl w:val="false"/>
              <w:spacing w:before="0" w:after="0"/>
              <w:jc w:val="center"/>
              <w:rPr/>
            </w:pPr>
            <w:r>
              <w:rPr>
                <w:rFonts w:eastAsia="宋体"/>
                <w:b w:val="false"/>
                <w:sz w:val="16"/>
              </w:rPr>
              <w:t>0.1514±0.0005</w:t>
            </w:r>
          </w:p>
        </w:tc>
        <w:tc>
          <w:tcPr>
            <w:tcW w:w="1417" w:type="dxa"/>
            <w:tcBorders/>
            <w:vAlign w:val="center"/>
          </w:tcPr>
          <w:p>
            <w:pPr>
              <w:pStyle w:val="Normal"/>
              <w:widowControl w:val="false"/>
              <w:spacing w:before="0" w:after="0"/>
              <w:jc w:val="center"/>
              <w:rPr/>
            </w:pPr>
            <w:r>
              <w:rPr>
                <w:rFonts w:eastAsia="宋体"/>
                <w:b w:val="false"/>
                <w:sz w:val="16"/>
              </w:rPr>
              <w:t>+0.0010</w:t>
            </w:r>
          </w:p>
        </w:tc>
      </w:tr>
      <w:tr>
        <w:trPr/>
        <w:tc>
          <w:tcPr>
            <w:tcW w:w="1417" w:type="dxa"/>
            <w:tcBorders/>
            <w:shd w:fill="E1EFFA"/>
            <w:vAlign w:val="center"/>
          </w:tcPr>
          <w:p>
            <w:pPr>
              <w:pStyle w:val="Normal"/>
              <w:widowControl w:val="false"/>
              <w:spacing w:before="0" w:after="0"/>
              <w:jc w:val="center"/>
              <w:rPr/>
            </w:pPr>
            <w:r>
              <w:rPr>
                <w:rFonts w:eastAsia="宋体"/>
                <w:b/>
                <w:sz w:val="16"/>
              </w:rPr>
              <w:t>+ source</w:t>
            </w:r>
          </w:p>
        </w:tc>
        <w:tc>
          <w:tcPr>
            <w:tcW w:w="1416" w:type="dxa"/>
            <w:tcBorders/>
            <w:shd w:fill="E1EFFA"/>
            <w:vAlign w:val="center"/>
          </w:tcPr>
          <w:p>
            <w:pPr>
              <w:pStyle w:val="Normal"/>
              <w:widowControl w:val="false"/>
              <w:spacing w:before="0" w:after="0"/>
              <w:jc w:val="center"/>
              <w:rPr/>
            </w:pPr>
            <w:r>
              <w:rPr>
                <w:rFonts w:eastAsia="宋体"/>
                <w:b/>
                <w:sz w:val="16"/>
              </w:rPr>
              <w:t>36</w:t>
            </w:r>
          </w:p>
        </w:tc>
        <w:tc>
          <w:tcPr>
            <w:tcW w:w="1418" w:type="dxa"/>
            <w:tcBorders/>
            <w:shd w:fill="E1EFFA"/>
            <w:vAlign w:val="center"/>
          </w:tcPr>
          <w:p>
            <w:pPr>
              <w:pStyle w:val="Normal"/>
              <w:widowControl w:val="false"/>
              <w:spacing w:before="0" w:after="0"/>
              <w:jc w:val="center"/>
              <w:rPr/>
            </w:pPr>
            <w:r>
              <w:rPr>
                <w:rFonts w:eastAsia="宋体"/>
                <w:b/>
                <w:sz w:val="16"/>
              </w:rPr>
              <w:t>0.5374±0.0000</w:t>
            </w:r>
          </w:p>
        </w:tc>
        <w:tc>
          <w:tcPr>
            <w:tcW w:w="1417" w:type="dxa"/>
            <w:tcBorders/>
            <w:shd w:fill="E1EFFA"/>
            <w:vAlign w:val="center"/>
          </w:tcPr>
          <w:p>
            <w:pPr>
              <w:pStyle w:val="Normal"/>
              <w:widowControl w:val="false"/>
              <w:spacing w:before="0" w:after="0"/>
              <w:jc w:val="center"/>
              <w:rPr/>
            </w:pPr>
            <w:r>
              <w:rPr>
                <w:rFonts w:eastAsia="宋体"/>
                <w:b/>
                <w:sz w:val="16"/>
              </w:rPr>
              <w:t>0.3483±0.0002</w:t>
            </w:r>
          </w:p>
        </w:tc>
        <w:tc>
          <w:tcPr>
            <w:tcW w:w="1416" w:type="dxa"/>
            <w:tcBorders/>
            <w:shd w:fill="E1EFFA"/>
            <w:vAlign w:val="center"/>
          </w:tcPr>
          <w:p>
            <w:pPr>
              <w:pStyle w:val="Normal"/>
              <w:widowControl w:val="false"/>
              <w:spacing w:before="0" w:after="0"/>
              <w:jc w:val="center"/>
              <w:rPr/>
            </w:pPr>
            <w:r>
              <w:rPr>
                <w:rFonts w:eastAsia="宋体"/>
                <w:b/>
                <w:sz w:val="16"/>
              </w:rPr>
              <w:t>0.1664±0.0003</w:t>
            </w:r>
          </w:p>
        </w:tc>
        <w:tc>
          <w:tcPr>
            <w:tcW w:w="1417" w:type="dxa"/>
            <w:tcBorders/>
            <w:shd w:fill="E1EFFA"/>
            <w:vAlign w:val="center"/>
          </w:tcPr>
          <w:p>
            <w:pPr>
              <w:pStyle w:val="Normal"/>
              <w:widowControl w:val="false"/>
              <w:spacing w:before="0" w:after="0"/>
              <w:jc w:val="center"/>
              <w:rPr/>
            </w:pPr>
            <w:r>
              <w:rPr>
                <w:rFonts w:eastAsia="宋体"/>
                <w:b/>
                <w:sz w:val="16"/>
              </w:rPr>
              <w:t>+0.0150</w:t>
            </w:r>
          </w:p>
        </w:tc>
      </w:tr>
      <w:tr>
        <w:trPr/>
        <w:tc>
          <w:tcPr>
            <w:tcW w:w="1417" w:type="dxa"/>
            <w:tcBorders/>
            <w:vAlign w:val="center"/>
          </w:tcPr>
          <w:p>
            <w:pPr>
              <w:pStyle w:val="Normal"/>
              <w:widowControl w:val="false"/>
              <w:spacing w:before="0" w:after="0"/>
              <w:jc w:val="center"/>
              <w:rPr/>
            </w:pPr>
            <w:r>
              <w:rPr>
                <w:rFonts w:eastAsia="宋体"/>
                <w:b w:val="false"/>
                <w:sz w:val="16"/>
              </w:rPr>
              <w:t>+ small prior</w:t>
            </w:r>
          </w:p>
        </w:tc>
        <w:tc>
          <w:tcPr>
            <w:tcW w:w="1416" w:type="dxa"/>
            <w:tcBorders/>
            <w:vAlign w:val="center"/>
          </w:tcPr>
          <w:p>
            <w:pPr>
              <w:pStyle w:val="Normal"/>
              <w:widowControl w:val="false"/>
              <w:spacing w:before="0" w:after="0"/>
              <w:jc w:val="center"/>
              <w:rPr/>
            </w:pPr>
            <w:r>
              <w:rPr>
                <w:rFonts w:eastAsia="宋体"/>
                <w:b w:val="false"/>
                <w:sz w:val="16"/>
              </w:rPr>
              <w:t>59</w:t>
            </w:r>
          </w:p>
        </w:tc>
        <w:tc>
          <w:tcPr>
            <w:tcW w:w="1418" w:type="dxa"/>
            <w:tcBorders/>
            <w:vAlign w:val="center"/>
          </w:tcPr>
          <w:p>
            <w:pPr>
              <w:pStyle w:val="Normal"/>
              <w:widowControl w:val="false"/>
              <w:spacing w:before="0" w:after="0"/>
              <w:jc w:val="center"/>
              <w:rPr/>
            </w:pPr>
            <w:r>
              <w:rPr>
                <w:rFonts w:eastAsia="宋体"/>
                <w:b w:val="false"/>
                <w:sz w:val="16"/>
              </w:rPr>
              <w:t>0.5374±0.0000</w:t>
            </w:r>
          </w:p>
        </w:tc>
        <w:tc>
          <w:tcPr>
            <w:tcW w:w="1417" w:type="dxa"/>
            <w:tcBorders/>
            <w:vAlign w:val="center"/>
          </w:tcPr>
          <w:p>
            <w:pPr>
              <w:pStyle w:val="Normal"/>
              <w:widowControl w:val="false"/>
              <w:spacing w:before="0" w:after="0"/>
              <w:jc w:val="center"/>
              <w:rPr/>
            </w:pPr>
            <w:r>
              <w:rPr>
                <w:rFonts w:eastAsia="宋体"/>
                <w:b w:val="false"/>
                <w:sz w:val="16"/>
              </w:rPr>
              <w:t>0.3482±0.0003</w:t>
            </w:r>
          </w:p>
        </w:tc>
        <w:tc>
          <w:tcPr>
            <w:tcW w:w="1416" w:type="dxa"/>
            <w:tcBorders/>
            <w:vAlign w:val="center"/>
          </w:tcPr>
          <w:p>
            <w:pPr>
              <w:pStyle w:val="Normal"/>
              <w:widowControl w:val="false"/>
              <w:spacing w:before="0" w:after="0"/>
              <w:jc w:val="center"/>
              <w:rPr/>
            </w:pPr>
            <w:r>
              <w:rPr>
                <w:rFonts w:eastAsia="宋体"/>
                <w:b w:val="false"/>
                <w:sz w:val="16"/>
              </w:rPr>
              <w:t>0.1637±0.0008</w:t>
            </w:r>
          </w:p>
        </w:tc>
        <w:tc>
          <w:tcPr>
            <w:tcW w:w="1417" w:type="dxa"/>
            <w:tcBorders/>
            <w:vAlign w:val="center"/>
          </w:tcPr>
          <w:p>
            <w:pPr>
              <w:pStyle w:val="Normal"/>
              <w:widowControl w:val="false"/>
              <w:spacing w:before="0" w:after="0"/>
              <w:jc w:val="center"/>
              <w:rPr/>
            </w:pPr>
            <w:r>
              <w:rPr>
                <w:rFonts w:eastAsia="宋体"/>
                <w:b w:val="false"/>
                <w:sz w:val="16"/>
              </w:rPr>
              <w:t>−</w:t>
            </w:r>
            <w:r>
              <w:rPr>
                <w:rFonts w:eastAsia="宋体"/>
                <w:b w:val="false"/>
                <w:sz w:val="16"/>
              </w:rPr>
              <w:t>0.0027</w:t>
            </w:r>
          </w:p>
        </w:tc>
      </w:tr>
      <w:tr>
        <w:trPr/>
        <w:tc>
          <w:tcPr>
            <w:tcW w:w="1417" w:type="dxa"/>
            <w:tcBorders/>
            <w:shd w:fill="E1EFFA"/>
            <w:vAlign w:val="center"/>
          </w:tcPr>
          <w:p>
            <w:pPr>
              <w:pStyle w:val="Normal"/>
              <w:widowControl w:val="false"/>
              <w:spacing w:before="0" w:after="0"/>
              <w:jc w:val="center"/>
              <w:rPr/>
            </w:pPr>
            <w:r>
              <w:rPr>
                <w:rFonts w:ascii="Times New Roman" w:hAnsi="Times New Roman"/>
                <w:b/>
                <w:sz w:val="16"/>
              </w:rPr>
              <w:t>完整特征配置</w:t>
            </w:r>
          </w:p>
        </w:tc>
        <w:tc>
          <w:tcPr>
            <w:tcW w:w="1416" w:type="dxa"/>
            <w:tcBorders/>
            <w:shd w:fill="E1EFFA"/>
            <w:vAlign w:val="center"/>
          </w:tcPr>
          <w:p>
            <w:pPr>
              <w:pStyle w:val="Normal"/>
              <w:widowControl w:val="false"/>
              <w:spacing w:before="0" w:after="0"/>
              <w:jc w:val="center"/>
              <w:rPr/>
            </w:pPr>
            <w:r>
              <w:rPr>
                <w:rFonts w:eastAsia="宋体"/>
                <w:b/>
                <w:sz w:val="16"/>
              </w:rPr>
              <w:t>68</w:t>
            </w:r>
          </w:p>
        </w:tc>
        <w:tc>
          <w:tcPr>
            <w:tcW w:w="1418" w:type="dxa"/>
            <w:tcBorders/>
            <w:shd w:fill="E1EFFA"/>
            <w:vAlign w:val="center"/>
          </w:tcPr>
          <w:p>
            <w:pPr>
              <w:pStyle w:val="Normal"/>
              <w:widowControl w:val="false"/>
              <w:spacing w:before="0" w:after="0"/>
              <w:jc w:val="center"/>
              <w:rPr/>
            </w:pPr>
            <w:r>
              <w:rPr>
                <w:rFonts w:eastAsia="宋体"/>
                <w:b/>
                <w:sz w:val="16"/>
              </w:rPr>
              <w:t>0.5374±0.0000</w:t>
            </w:r>
          </w:p>
        </w:tc>
        <w:tc>
          <w:tcPr>
            <w:tcW w:w="1417" w:type="dxa"/>
            <w:tcBorders/>
            <w:shd w:fill="E1EFFA"/>
            <w:vAlign w:val="center"/>
          </w:tcPr>
          <w:p>
            <w:pPr>
              <w:pStyle w:val="Normal"/>
              <w:widowControl w:val="false"/>
              <w:spacing w:before="0" w:after="0"/>
              <w:jc w:val="center"/>
              <w:rPr/>
            </w:pPr>
            <w:r>
              <w:rPr>
                <w:rFonts w:eastAsia="宋体"/>
                <w:b/>
                <w:sz w:val="16"/>
              </w:rPr>
              <w:t>0.3490±0.0006</w:t>
            </w:r>
          </w:p>
        </w:tc>
        <w:tc>
          <w:tcPr>
            <w:tcW w:w="1416" w:type="dxa"/>
            <w:tcBorders/>
            <w:shd w:fill="E1EFFA"/>
            <w:vAlign w:val="center"/>
          </w:tcPr>
          <w:p>
            <w:pPr>
              <w:pStyle w:val="Normal"/>
              <w:widowControl w:val="false"/>
              <w:spacing w:before="0" w:after="0"/>
              <w:jc w:val="center"/>
              <w:rPr/>
            </w:pPr>
            <w:r>
              <w:rPr>
                <w:rFonts w:eastAsia="宋体"/>
                <w:b/>
                <w:sz w:val="16"/>
              </w:rPr>
              <w:t>0.1677±0.0020</w:t>
            </w:r>
          </w:p>
        </w:tc>
        <w:tc>
          <w:tcPr>
            <w:tcW w:w="1417" w:type="dxa"/>
            <w:tcBorders/>
            <w:shd w:fill="E1EFFA"/>
            <w:vAlign w:val="center"/>
          </w:tcPr>
          <w:p>
            <w:pPr>
              <w:pStyle w:val="Normal"/>
              <w:widowControl w:val="false"/>
              <w:spacing w:before="0" w:after="0"/>
              <w:jc w:val="center"/>
              <w:rPr/>
            </w:pPr>
            <w:r>
              <w:rPr>
                <w:rFonts w:eastAsia="宋体"/>
                <w:b/>
                <w:sz w:val="16"/>
              </w:rPr>
              <w:t>+0.0040</w:t>
            </w:r>
          </w:p>
        </w:tc>
      </w:tr>
    </w:tbl>
    <w:p>
      <w:pPr>
        <w:pStyle w:val="Style12"/>
        <w:rPr/>
      </w:pPr>
      <w:r>
        <w:rPr/>
      </w:r>
    </w:p>
    <w:p>
      <w:pPr>
        <w:pStyle w:val="Style12"/>
        <w:rPr/>
      </w:pPr>
      <w:r>
        <w:rPr>
          <w:b w:val="false"/>
        </w:rPr>
        <w:t xml:space="preserve">完整特征配置 相比 </w:t>
      </w:r>
      <w:r>
        <w:rPr>
          <w:b w:val="false"/>
        </w:rPr>
        <w:t xml:space="preserve">score-only MLP </w:t>
      </w:r>
      <w:r>
        <w:rPr>
          <w:b w:val="false"/>
        </w:rPr>
        <w:t xml:space="preserve">的 </w:t>
      </w:r>
      <w:r>
        <w:rPr>
          <w:b w:val="false"/>
        </w:rPr>
        <w:t xml:space="preserve">mAP@0.5 </w:t>
      </w:r>
      <w:r>
        <w:rPr>
          <w:b w:val="false"/>
        </w:rPr>
        <w:t xml:space="preserve">绝对提升 </w:t>
      </w:r>
      <w:r>
        <w:rPr>
          <w:b w:val="false"/>
        </w:rPr>
        <w:t>0.0212</w:t>
      </w:r>
      <w:r>
        <w:rPr>
          <w:b w:val="false"/>
        </w:rPr>
        <w:t xml:space="preserve">，相对提升 </w:t>
      </w:r>
      <w:r>
        <w:rPr>
          <w:b w:val="false"/>
        </w:rPr>
        <w:t>14.5%</w:t>
      </w:r>
      <w:r>
        <w:rPr>
          <w:b w:val="false"/>
        </w:rPr>
        <w:t xml:space="preserve">。所有配置的候选框数量和 </w:t>
      </w:r>
      <w:r>
        <w:rPr>
          <w:b w:val="false"/>
        </w:rPr>
        <w:t xml:space="preserve">Acc@0.5 </w:t>
      </w:r>
      <w:r>
        <w:rPr>
          <w:b w:val="false"/>
        </w:rPr>
        <w:t xml:space="preserve">不变，且网络结构和参数量相同，因此差异来自元数据字段对排序的贡献。加入 </w:t>
      </w:r>
      <w:r>
        <w:rPr>
          <w:b w:val="false"/>
        </w:rPr>
        <w:t xml:space="preserve">source </w:t>
      </w:r>
      <w:r>
        <w:rPr>
          <w:b w:val="false"/>
        </w:rPr>
        <w:t xml:space="preserve">特征后 </w:t>
      </w:r>
      <w:r>
        <w:rPr>
          <w:b w:val="false"/>
        </w:rPr>
        <w:t xml:space="preserve">mAP </w:t>
      </w:r>
      <w:r>
        <w:rPr>
          <w:b w:val="false"/>
        </w:rPr>
        <w:t xml:space="preserve">从 </w:t>
      </w:r>
      <w:r>
        <w:rPr>
          <w:b w:val="false"/>
        </w:rPr>
        <w:t xml:space="preserve">0.1514 </w:t>
      </w:r>
      <w:r>
        <w:rPr>
          <w:b w:val="false"/>
        </w:rPr>
        <w:t xml:space="preserve">提升至 </w:t>
      </w:r>
      <w:r>
        <w:rPr>
          <w:b w:val="false"/>
        </w:rPr>
        <w:t>0.1664</w:t>
      </w:r>
      <w:r>
        <w:rPr>
          <w:b w:val="false"/>
        </w:rPr>
        <w:t xml:space="preserve">，是最大且最稳定的单步增益；几何和 </w:t>
      </w:r>
      <w:r>
        <w:rPr>
          <w:b w:val="false"/>
        </w:rPr>
        <w:t xml:space="preserve">query </w:t>
      </w:r>
      <w:r>
        <w:rPr>
          <w:b w:val="false"/>
        </w:rPr>
        <w:t>特征提供较小正增益。</w:t>
      </w:r>
    </w:p>
    <w:p>
      <w:pPr>
        <w:pStyle w:val="Style12"/>
        <w:rPr/>
      </w:pPr>
      <w:r>
        <w:rPr>
          <w:b w:val="false"/>
        </w:rPr>
        <w:t xml:space="preserve">加入 </w:t>
      </w:r>
      <w:r>
        <w:rPr>
          <w:b w:val="false"/>
        </w:rPr>
        <w:t xml:space="preserve">small prior </w:t>
      </w:r>
      <w:r>
        <w:rPr>
          <w:b w:val="false"/>
        </w:rPr>
        <w:t xml:space="preserve">后 </w:t>
      </w:r>
      <w:r>
        <w:rPr>
          <w:b w:val="false"/>
        </w:rPr>
        <w:t xml:space="preserve">mAP </w:t>
      </w:r>
      <w:r>
        <w:rPr>
          <w:b w:val="false"/>
        </w:rPr>
        <w:t xml:space="preserve">从 </w:t>
      </w:r>
      <w:r>
        <w:rPr>
          <w:b w:val="false"/>
        </w:rPr>
        <w:t xml:space="preserve">0.1664 </w:t>
      </w:r>
      <w:r>
        <w:rPr>
          <w:b w:val="false"/>
        </w:rPr>
        <w:t xml:space="preserve">降到 </w:t>
      </w:r>
      <w:r>
        <w:rPr>
          <w:b w:val="false"/>
        </w:rPr>
        <w:t>0.1637</w:t>
      </w:r>
      <w:r>
        <w:rPr>
          <w:b w:val="false"/>
        </w:rPr>
        <w:t xml:space="preserve">，不能将该先验单独表述为有效模块，可能原因是过拟合或与来源特征重复。完整分数及交互特征将 </w:t>
      </w:r>
      <w:r>
        <w:rPr>
          <w:b w:val="false"/>
        </w:rPr>
        <w:t xml:space="preserve">mAP </w:t>
      </w:r>
      <w:r>
        <w:rPr>
          <w:b w:val="false"/>
        </w:rPr>
        <w:t xml:space="preserve">恢复至最高均值 </w:t>
      </w:r>
      <w:r>
        <w:rPr>
          <w:b w:val="false"/>
        </w:rPr>
        <w:t>0.1677</w:t>
      </w:r>
      <w:r>
        <w:rPr>
          <w:b w:val="false"/>
        </w:rPr>
        <w:t>。需要说明，表</w:t>
      </w:r>
      <w:r>
        <w:rPr>
          <w:b w:val="false"/>
        </w:rPr>
        <w:t>4-5</w:t>
      </w:r>
      <w:r>
        <w:rPr>
          <w:b w:val="false"/>
        </w:rPr>
        <w:t xml:space="preserve">的 </w:t>
      </w:r>
      <w:r>
        <w:rPr>
          <w:b w:val="false"/>
        </w:rPr>
        <w:t xml:space="preserve">0.1690 </w:t>
      </w:r>
      <w:r>
        <w:rPr>
          <w:b w:val="false"/>
        </w:rPr>
        <w:t>是最终单模型配置结果，而表</w:t>
      </w:r>
      <w:r>
        <w:rPr>
          <w:b w:val="false"/>
        </w:rPr>
        <w:t>4-6</w:t>
      </w:r>
      <w:r>
        <w:rPr>
          <w:b w:val="false"/>
        </w:rPr>
        <w:t xml:space="preserve">的 </w:t>
      </w:r>
      <w:r>
        <w:rPr>
          <w:b w:val="false"/>
        </w:rPr>
        <w:t xml:space="preserve">0.1677±0.0020 </w:t>
      </w:r>
      <w:r>
        <w:rPr>
          <w:b w:val="false"/>
        </w:rPr>
        <w:t>是三随机种子、等参数严格控制消融的均值，两者实验目的和统计口径不同，不应直接合并为同一个数值。</w:t>
      </w:r>
    </w:p>
    <w:p>
      <w:pPr>
        <w:pStyle w:val="23"/>
        <w:numPr>
          <w:ilvl w:val="1"/>
          <w:numId w:val="1"/>
        </w:numPr>
        <w:rPr/>
      </w:pPr>
      <w:bookmarkStart w:id="179" w:name="__RefHeading___Toc10310_2198631117"/>
      <w:bookmarkEnd w:id="179"/>
      <w:r>
        <w:rPr>
          <w:b w:val="false"/>
        </w:rPr>
        <w:t>定性分析与局限性</w:t>
      </w:r>
    </w:p>
    <w:p>
      <w:pPr>
        <w:pStyle w:val="Style12"/>
        <w:rPr/>
      </w:pPr>
      <w:r>
        <w:rPr>
          <w:b w:val="false"/>
        </w:rPr>
        <w:t>在典型样例中，输入查询描述穿过路口的黑衣骑行者。</w:t>
      </w:r>
      <w:r>
        <w:rPr>
          <w:b w:val="false"/>
        </w:rPr>
        <w:t xml:space="preserve">Qwen </w:t>
      </w:r>
      <w:r>
        <w:rPr>
          <w:b w:val="false"/>
        </w:rPr>
        <w:t xml:space="preserve">生成 </w:t>
      </w:r>
      <w:r>
        <w:rPr>
          <w:b w:val="false"/>
        </w:rPr>
        <w:t xml:space="preserve">7 </w:t>
      </w:r>
      <w:r>
        <w:rPr>
          <w:b w:val="false"/>
        </w:rPr>
        <w:t xml:space="preserve">条包含 </w:t>
      </w:r>
      <w:r>
        <w:rPr>
          <w:b w:val="false"/>
        </w:rPr>
        <w:t>cyclist</w:t>
      </w:r>
      <w:r>
        <w:rPr>
          <w:b w:val="false"/>
        </w:rPr>
        <w:t>、</w:t>
      </w:r>
      <w:r>
        <w:rPr>
          <w:b w:val="false"/>
        </w:rPr>
        <w:t>dark clothing</w:t>
      </w:r>
      <w:r>
        <w:rPr>
          <w:b w:val="false"/>
        </w:rPr>
        <w:t>、</w:t>
      </w:r>
      <w:r>
        <w:rPr>
          <w:b w:val="false"/>
        </w:rPr>
        <w:t xml:space="preserve">intersection </w:t>
      </w:r>
      <w:r>
        <w:rPr>
          <w:b w:val="false"/>
        </w:rPr>
        <w:t xml:space="preserve">和 </w:t>
      </w:r>
      <w:r>
        <w:rPr>
          <w:b w:val="false"/>
        </w:rPr>
        <w:t xml:space="preserve">road </w:t>
      </w:r>
      <w:r>
        <w:rPr>
          <w:b w:val="false"/>
        </w:rPr>
        <w:t xml:space="preserve">等信息的短提示；策略从 </w:t>
      </w:r>
      <w:r>
        <w:rPr>
          <w:b w:val="false"/>
        </w:rPr>
        <w:t xml:space="preserve">STOP </w:t>
      </w:r>
      <w:r>
        <w:rPr>
          <w:b w:val="false"/>
        </w:rPr>
        <w:t xml:space="preserve">与动态动作中依次选择 </w:t>
      </w:r>
      <w:r>
        <w:rPr>
          <w:b w:val="false"/>
        </w:rPr>
        <w:t xml:space="preserve">person </w:t>
      </w:r>
      <w:r>
        <w:rPr>
          <w:b w:val="false"/>
        </w:rPr>
        <w:t xml:space="preserve">和 </w:t>
      </w:r>
      <w:r>
        <w:rPr>
          <w:b w:val="false"/>
        </w:rPr>
        <w:t>bicycle</w:t>
      </w:r>
      <w:r>
        <w:rPr>
          <w:b w:val="false"/>
        </w:rPr>
        <w:t xml:space="preserve">。候选数量由 </w:t>
      </w:r>
      <w:r>
        <w:rPr>
          <w:b w:val="false"/>
        </w:rPr>
        <w:t xml:space="preserve">C0 </w:t>
      </w:r>
      <w:r>
        <w:rPr>
          <w:b w:val="false"/>
        </w:rPr>
        <w:t xml:space="preserve">的 </w:t>
      </w:r>
      <w:r>
        <w:rPr>
          <w:b w:val="false"/>
        </w:rPr>
        <w:t xml:space="preserve">291 </w:t>
      </w:r>
      <w:r>
        <w:rPr>
          <w:b w:val="false"/>
        </w:rPr>
        <w:t xml:space="preserve">个增加到 </w:t>
      </w:r>
      <w:r>
        <w:rPr>
          <w:b w:val="false"/>
        </w:rPr>
        <w:t xml:space="preserve">C1 </w:t>
      </w:r>
      <w:r>
        <w:rPr>
          <w:b w:val="false"/>
        </w:rPr>
        <w:t xml:space="preserve">的 </w:t>
      </w:r>
      <w:r>
        <w:rPr>
          <w:b w:val="false"/>
        </w:rPr>
        <w:t xml:space="preserve">642 </w:t>
      </w:r>
      <w:r>
        <w:rPr>
          <w:b w:val="false"/>
        </w:rPr>
        <w:t xml:space="preserve">个，最终合并后为 </w:t>
      </w:r>
      <w:r>
        <w:rPr>
          <w:b w:val="false"/>
        </w:rPr>
        <w:t xml:space="preserve">692 </w:t>
      </w:r>
      <w:r>
        <w:rPr>
          <w:b w:val="false"/>
        </w:rPr>
        <w:t xml:space="preserve">个，其中 </w:t>
      </w:r>
      <w:r>
        <w:rPr>
          <w:b w:val="false"/>
        </w:rPr>
        <w:t xml:space="preserve">483 </w:t>
      </w:r>
      <w:r>
        <w:rPr>
          <w:b w:val="false"/>
        </w:rPr>
        <w:t xml:space="preserve">个候选在 排序器 </w:t>
      </w:r>
      <w:r>
        <w:rPr>
          <w:b w:val="false"/>
        </w:rPr>
        <w:t xml:space="preserve">metadata </w:t>
      </w:r>
      <w:r>
        <w:rPr>
          <w:b w:val="false"/>
        </w:rPr>
        <w:t xml:space="preserve">中完成高 </w:t>
      </w:r>
      <w:r>
        <w:rPr>
          <w:b w:val="false"/>
        </w:rPr>
        <w:t xml:space="preserve">IoU </w:t>
      </w:r>
      <w:r>
        <w:rPr>
          <w:b w:val="false"/>
        </w:rPr>
        <w:t xml:space="preserve">匹配和重评分。该流程说明语言扩展并不直接决定结果，而是通过 </w:t>
      </w:r>
      <w:r>
        <w:rPr>
          <w:b w:val="false"/>
        </w:rPr>
        <w:t xml:space="preserve">RL </w:t>
      </w:r>
      <w:r>
        <w:rPr>
          <w:b w:val="false"/>
        </w:rPr>
        <w:t>的预算选择与 富元信息融合排序器的排序校准共同作用。</w:t>
      </w:r>
    </w:p>
    <w:p>
      <w:pPr>
        <w:pStyle w:val="Style12"/>
        <w:rPr/>
      </w:pPr>
      <w:r>
        <w:rPr>
          <w:b w:val="false"/>
        </w:rPr>
        <w:t xml:space="preserve">当前误差主要来自三方面。第一，动态策略较高的 </w:t>
      </w:r>
      <w:r>
        <w:rPr>
          <w:b w:val="false"/>
        </w:rPr>
        <w:t xml:space="preserve">STOP </w:t>
      </w:r>
      <w:r>
        <w:rPr>
          <w:b w:val="false"/>
        </w:rPr>
        <w:t xml:space="preserve">比例会减少候选，但也可能提前终止弱目标扩展；第二，开放提示仍受 </w:t>
      </w:r>
      <w:r>
        <w:rPr>
          <w:b w:val="false"/>
        </w:rPr>
        <w:t xml:space="preserve">VisDrone </w:t>
      </w:r>
      <w:r>
        <w:rPr>
          <w:b w:val="false"/>
        </w:rPr>
        <w:t>十类输出空间约束，</w:t>
      </w:r>
      <w:r>
        <w:rPr>
          <w:b w:val="false"/>
        </w:rPr>
        <w:t>car</w:t>
      </w:r>
      <w:r>
        <w:rPr>
          <w:b w:val="false"/>
        </w:rPr>
        <w:t>、</w:t>
      </w:r>
      <w:r>
        <w:rPr>
          <w:b w:val="false"/>
        </w:rPr>
        <w:t>van</w:t>
      </w:r>
      <w:r>
        <w:rPr>
          <w:b w:val="false"/>
        </w:rPr>
        <w:t>、</w:t>
      </w:r>
      <w:r>
        <w:rPr>
          <w:b w:val="false"/>
        </w:rPr>
        <w:t xml:space="preserve">truck </w:t>
      </w:r>
      <w:r>
        <w:rPr>
          <w:b w:val="false"/>
        </w:rPr>
        <w:t xml:space="preserve">和 </w:t>
      </w:r>
      <w:r>
        <w:rPr>
          <w:b w:val="false"/>
        </w:rPr>
        <w:t xml:space="preserve">bus </w:t>
      </w:r>
      <w:r>
        <w:rPr>
          <w:b w:val="false"/>
        </w:rPr>
        <w:t xml:space="preserve">等俯视外观相近类别仍易混淆；第三，当 </w:t>
      </w:r>
      <w:r>
        <w:rPr>
          <w:b w:val="false"/>
        </w:rPr>
        <w:t xml:space="preserve">Grounding DINO </w:t>
      </w:r>
      <w:r>
        <w:rPr>
          <w:b w:val="false"/>
        </w:rPr>
        <w:t>对极小目标完全没有响应时，后续排序只能重排已有候选，不能凭空恢复目标。后续可联合学习停止代价和类别特定动作预算，并为车辆细粒度类别引入更强视觉特征。</w:t>
      </w:r>
    </w:p>
    <w:p>
      <w:pPr>
        <w:pStyle w:val="23"/>
        <w:numPr>
          <w:ilvl w:val="1"/>
          <w:numId w:val="1"/>
        </w:numPr>
        <w:rPr/>
      </w:pPr>
      <w:bookmarkStart w:id="180" w:name="__RefHeading___Toc10308_2198631117"/>
      <w:bookmarkEnd w:id="180"/>
      <w:r>
        <w:rPr>
          <w:b w:val="false"/>
        </w:rPr>
        <w:t>本章小结</w:t>
      </w:r>
    </w:p>
    <w:p>
      <w:pPr>
        <w:pStyle w:val="Style12"/>
        <w:rPr/>
      </w:pPr>
      <w:r>
        <w:rPr>
          <w:b w:val="false"/>
        </w:rPr>
        <w:t>本章按照统一测试集和控制变量验证了最新流程。</w:t>
      </w:r>
      <w:r>
        <w:rPr>
          <w:b w:val="false"/>
        </w:rPr>
        <w:t xml:space="preserve">Qwen </w:t>
      </w:r>
      <w:r>
        <w:rPr>
          <w:b w:val="false"/>
        </w:rPr>
        <w:t xml:space="preserve">动态动作三轮策略以 </w:t>
      </w:r>
      <w:r>
        <w:rPr>
          <w:b w:val="false"/>
        </w:rPr>
        <w:t xml:space="preserve">35869 </w:t>
      </w:r>
      <w:r>
        <w:rPr>
          <w:b w:val="false"/>
        </w:rPr>
        <w:t xml:space="preserve">个预测框取得 </w:t>
      </w:r>
      <w:r>
        <w:rPr>
          <w:b w:val="false"/>
        </w:rPr>
        <w:t>0.1424 mAP@0.5</w:t>
      </w:r>
      <w:r>
        <w:rPr>
          <w:b w:val="false"/>
        </w:rPr>
        <w:t xml:space="preserve">，相比固定动作策略减少约 </w:t>
      </w:r>
      <w:r>
        <w:rPr>
          <w:b w:val="false"/>
        </w:rPr>
        <w:t xml:space="preserve">12.3% </w:t>
      </w:r>
      <w:r>
        <w:rPr>
          <w:b w:val="false"/>
        </w:rPr>
        <w:t xml:space="preserve">候选并改善 </w:t>
      </w:r>
      <w:r>
        <w:rPr>
          <w:b w:val="false"/>
        </w:rPr>
        <w:t>mAP</w:t>
      </w:r>
      <w:r>
        <w:rPr>
          <w:b w:val="false"/>
        </w:rPr>
        <w:t xml:space="preserve">，但固定策略在 </w:t>
      </w:r>
      <w:r>
        <w:rPr>
          <w:b w:val="false"/>
        </w:rPr>
        <w:t xml:space="preserve">Acc </w:t>
      </w:r>
      <w:r>
        <w:rPr>
          <w:b w:val="false"/>
        </w:rPr>
        <w:t xml:space="preserve">和小目标召回上更高。轮数实验表明四轮指标最高、三轮效率更均衡；动作消融证明固定 </w:t>
      </w:r>
      <w:r>
        <w:rPr>
          <w:b w:val="false"/>
        </w:rPr>
        <w:t xml:space="preserve">RL </w:t>
      </w:r>
      <w:r>
        <w:rPr>
          <w:b w:val="false"/>
        </w:rPr>
        <w:t xml:space="preserve">在相同动作预算下显著优于随机选择，而穷举扩展虽有最高绝对指标，却需要 </w:t>
      </w:r>
      <w:r>
        <w:rPr>
          <w:b w:val="false"/>
        </w:rPr>
        <w:t xml:space="preserve">8.13 </w:t>
      </w:r>
      <w:r>
        <w:rPr>
          <w:b w:val="false"/>
        </w:rPr>
        <w:t>倍动作预算。</w:t>
      </w:r>
    </w:p>
    <w:p>
      <w:pPr>
        <w:pStyle w:val="Style12"/>
        <w:rPr/>
      </w:pPr>
      <w:r>
        <w:rPr>
          <w:b w:val="false"/>
        </w:rPr>
        <w:t xml:space="preserve">固定候选集实验进一步表明，富元信息融合排序器的收益来自排序而不是候选增加。最终单模型将 </w:t>
      </w:r>
      <w:r>
        <w:rPr>
          <w:b w:val="false"/>
        </w:rPr>
        <w:t xml:space="preserve">mAP@0.5 </w:t>
      </w:r>
      <w:r>
        <w:rPr>
          <w:b w:val="false"/>
        </w:rPr>
        <w:t xml:space="preserve">从 </w:t>
      </w:r>
      <w:r>
        <w:rPr>
          <w:b w:val="false"/>
        </w:rPr>
        <w:t xml:space="preserve">0.1464 </w:t>
      </w:r>
      <w:r>
        <w:rPr>
          <w:b w:val="false"/>
        </w:rPr>
        <w:t xml:space="preserve">提升到 </w:t>
      </w:r>
      <w:r>
        <w:rPr>
          <w:b w:val="false"/>
        </w:rPr>
        <w:t>0.1690</w:t>
      </w:r>
      <w:r>
        <w:rPr>
          <w:b w:val="false"/>
        </w:rPr>
        <w:t xml:space="preserve">；三随机种子严格元数据消融中，完整特征配置 达到 </w:t>
      </w:r>
      <w:r>
        <w:rPr>
          <w:b w:val="false"/>
        </w:rPr>
        <w:t>0.1677±0.0020</w:t>
      </w:r>
      <w:r>
        <w:rPr>
          <w:b w:val="false"/>
        </w:rPr>
        <w:t xml:space="preserve">，较 </w:t>
      </w:r>
      <w:r>
        <w:rPr>
          <w:b w:val="false"/>
        </w:rPr>
        <w:t xml:space="preserve">Raw score </w:t>
      </w:r>
      <w:r>
        <w:rPr>
          <w:b w:val="false"/>
        </w:rPr>
        <w:t xml:space="preserve">相对提升 </w:t>
      </w:r>
      <w:r>
        <w:rPr>
          <w:b w:val="false"/>
        </w:rPr>
        <w:t>14.5%</w:t>
      </w:r>
      <w:r>
        <w:rPr>
          <w:b w:val="false"/>
        </w:rPr>
        <w:t xml:space="preserve">，其中 </w:t>
      </w:r>
      <w:r>
        <w:rPr>
          <w:b w:val="false"/>
        </w:rPr>
        <w:t xml:space="preserve">source </w:t>
      </w:r>
      <w:r>
        <w:rPr>
          <w:b w:val="false"/>
        </w:rPr>
        <w:t>信息贡献最大。综上，最新系统的三类模块形成互补关系：</w:t>
      </w:r>
      <w:r>
        <w:rPr>
          <w:b w:val="false"/>
        </w:rPr>
        <w:t xml:space="preserve">Qwen </w:t>
      </w:r>
      <w:r>
        <w:rPr>
          <w:b w:val="false"/>
        </w:rPr>
        <w:t>提供开放语义动作，</w:t>
      </w:r>
      <w:r>
        <w:rPr>
          <w:b w:val="false"/>
        </w:rPr>
        <w:t xml:space="preserve">RL </w:t>
      </w:r>
      <w:r>
        <w:rPr>
          <w:b w:val="false"/>
        </w:rPr>
        <w:t>提高候选扩展的预算效率，富元信息融合排序器改善最终置信度排序。</w:t>
      </w:r>
    </w:p>
    <w:p>
      <w:pPr>
        <w:pStyle w:val="Style19"/>
        <w:spacing w:before="412" w:after="329"/>
        <w:rPr/>
      </w:pPr>
      <w:bookmarkStart w:id="181" w:name="__RefHeading___Toc10298_2198631117"/>
      <w:bookmarkStart w:id="182" w:name="_Toc280628520"/>
      <w:bookmarkStart w:id="183" w:name="_Toc250450179"/>
      <w:bookmarkStart w:id="184" w:name="_Toc280715699"/>
      <w:bookmarkStart w:id="185" w:name="_Toc18126"/>
      <w:bookmarkStart w:id="186" w:name="_Toc280715554"/>
      <w:bookmarkStart w:id="187" w:name="_Toc27095"/>
      <w:bookmarkStart w:id="188" w:name="_Toc280797202"/>
      <w:bookmarkStart w:id="189" w:name="_Toc22644"/>
      <w:bookmarkStart w:id="190" w:name="_Toc24266"/>
      <w:bookmarkStart w:id="191" w:name="_Toc225579655"/>
      <w:bookmarkStart w:id="192" w:name="_Toc26664"/>
      <w:bookmarkEnd w:id="181"/>
      <w:r>
        <w:rPr/>
        <w:t>结论</w:t>
      </w:r>
      <w:bookmarkEnd w:id="182"/>
      <w:bookmarkEnd w:id="183"/>
      <w:bookmarkEnd w:id="184"/>
      <w:bookmarkEnd w:id="185"/>
      <w:bookmarkEnd w:id="186"/>
      <w:bookmarkEnd w:id="187"/>
      <w:bookmarkEnd w:id="188"/>
      <w:bookmarkEnd w:id="189"/>
      <w:bookmarkEnd w:id="190"/>
      <w:bookmarkEnd w:id="191"/>
      <w:bookmarkEnd w:id="192"/>
    </w:p>
    <w:p>
      <w:pPr>
        <w:pStyle w:val="Style12"/>
        <w:ind w:firstLine="503"/>
        <w:rPr/>
      </w:pPr>
      <w:r>
        <w:rPr/>
        <w:t xml:space="preserve">本文围绕无人机航拍图像中小目标尺度变化大、背景干扰强、类别语义相近以及检测结果排序不稳定等问题，研究了一种强化学习驱动的闭环航拍图像识别方法。该方法以开放词表候选生成模型为候选生成基础，在不重新训练大型检测模型的前提下，从提示词构造、候选框生成、元信息融合、排序校准和反馈优化等方面对航拍图像识别流程进行了改进。通过在 </w:t>
      </w:r>
      <w:r>
        <w:rPr/>
        <w:t xml:space="preserve">VisDroneSplit1000Guarded </w:t>
      </w:r>
      <w:r>
        <w:rPr/>
        <w:t>数据集上的多组实验，本文验证了所提方法在提升候选覆盖率、小目标召回能力和检测结果可用性方面的有效性。本文的主要工作和结论如下。</w:t>
      </w:r>
    </w:p>
    <w:p>
      <w:pPr>
        <w:pStyle w:val="Style12"/>
        <w:numPr>
          <w:ilvl w:val="0"/>
          <w:numId w:val="3"/>
        </w:numPr>
        <w:ind w:firstLine="503"/>
        <w:rPr/>
      </w:pPr>
      <w:r>
        <w:rPr/>
        <w:t xml:space="preserve">构建了面向航拍场景的开放词表候选生成与评估流程。针对无人机图像中目标分布密集、尺度跨度大和类别描述不稳定的问题，本文完成了 </w:t>
      </w:r>
      <w:r>
        <w:rPr/>
        <w:t xml:space="preserve">VisDrone </w:t>
      </w:r>
      <w:r>
        <w:rPr/>
        <w:t>数据集到开放词表检测格式的转换，统一了类别名称、边界框坐标、置信度分数和评价脚本，为后续实验提供了可复现的基准环境。在此基础上，本文以开放词表检测基线作为基础检测模型，分别考察了不同候选生成策略下的识别效果。实验结果表明，单纯依赖基础模型直接输出时，模型虽然能够利用文本提示完成跨类别检测，但在小目标密集区域仍存在明显漏检，且候选框置信度与真实定位质量之间并不完全一致。</w:t>
      </w:r>
    </w:p>
    <w:p>
      <w:pPr>
        <w:pStyle w:val="Style12"/>
        <w:numPr>
          <w:ilvl w:val="0"/>
          <w:numId w:val="3"/>
        </w:numPr>
        <w:ind w:firstLine="503"/>
        <w:rPr/>
      </w:pPr>
      <w:r>
        <w:rPr/>
        <w:t xml:space="preserve">提出了面向小目标的候选召回增强策略。本文结合航拍目标尺度小、局部纹理弱和遮挡频繁的特点，设计了低阈值候选生成、小目标别名提示和局部候选补充等方法，使模型能够在初始阶段保留更多潜在目标。实验结果显示，在线小目标召回方法的 </w:t>
      </w:r>
      <w:hyperlink r:id="rId19">
        <w:r>
          <w:rPr/>
          <w:t>Acc@0.5</w:t>
        </w:r>
      </w:hyperlink>
      <w:r>
        <w:rPr/>
        <w:t xml:space="preserve"> </w:t>
      </w:r>
      <w:r>
        <w:rPr/>
        <w:t xml:space="preserve">达到 </w:t>
      </w:r>
      <w:r>
        <w:rPr/>
        <w:t>0.5383</w:t>
      </w:r>
      <w:r>
        <w:rPr/>
        <w:t xml:space="preserve">，相比基础检测结果有明显提升；直接小目标召回方法进一步将 </w:t>
      </w:r>
      <w:hyperlink r:id="rId20">
        <w:r>
          <w:rPr/>
          <w:t>Acc@0.5</w:t>
        </w:r>
      </w:hyperlink>
      <w:r>
        <w:rPr/>
        <w:t xml:space="preserve"> </w:t>
      </w:r>
      <w:r>
        <w:rPr/>
        <w:t xml:space="preserve">提升至 </w:t>
      </w:r>
      <w:r>
        <w:rPr/>
        <w:t>0.5477</w:t>
      </w:r>
      <w:r>
        <w:rPr/>
        <w:t>，</w:t>
      </w:r>
      <w:hyperlink r:id="rId21">
        <w:r>
          <w:rPr/>
          <w:t>TP@0.5</w:t>
        </w:r>
      </w:hyperlink>
      <w:r>
        <w:rPr/>
        <w:t xml:space="preserve"> </w:t>
      </w:r>
      <w:r>
        <w:rPr/>
        <w:t xml:space="preserve">由 </w:t>
      </w:r>
      <w:r>
        <w:rPr/>
        <w:t xml:space="preserve">4285 </w:t>
      </w:r>
      <w:r>
        <w:rPr/>
        <w:t xml:space="preserve">增加到 </w:t>
      </w:r>
      <w:r>
        <w:rPr/>
        <w:t>4367</w:t>
      </w:r>
      <w:r>
        <w:rPr/>
        <w:t>，说明候选扩展能够有效缓解小尺度目标漏检问题。</w:t>
      </w:r>
    </w:p>
    <w:p>
      <w:pPr>
        <w:pStyle w:val="Style12"/>
        <w:numPr>
          <w:ilvl w:val="0"/>
          <w:numId w:val="3"/>
        </w:numPr>
        <w:ind w:firstLine="503"/>
        <w:rPr/>
      </w:pPr>
      <w:r>
        <w:rPr/>
        <w:t>设计了查询感知的候选排序与富元信息融合方法。针对基础检测模型输出中同类候选框密集、不同类别语义混淆以及置信度排序不稳定的问题，本文在候选框层面引入类别文本、几何位置、尺度特征、置信度分布和图像上下文等信息，对检测结果进行重排序和融合。实验表明，在在线候选压缩基础上加入小目标别名校准后，</w:t>
      </w:r>
      <w:hyperlink r:id="rId22">
        <w:r>
          <w:rPr/>
          <w:t>mAP@0.5</w:t>
        </w:r>
      </w:hyperlink>
      <w:r>
        <w:rPr/>
        <w:t xml:space="preserve"> </w:t>
      </w:r>
      <w:r>
        <w:rPr/>
        <w:t xml:space="preserve">由 </w:t>
      </w:r>
      <w:r>
        <w:rPr/>
        <w:t xml:space="preserve">0.1464 </w:t>
      </w:r>
      <w:r>
        <w:rPr/>
        <w:t xml:space="preserve">提升至 </w:t>
      </w:r>
      <w:r>
        <w:rPr/>
        <w:t>0.1546</w:t>
      </w:r>
      <w:r>
        <w:rPr/>
        <w:t>；进一步引入富元信息融合后，</w:t>
      </w:r>
      <w:hyperlink r:id="rId23">
        <w:r>
          <w:rPr/>
          <w:t>mAP@0.5</w:t>
        </w:r>
      </w:hyperlink>
      <w:r>
        <w:rPr/>
        <w:t xml:space="preserve"> </w:t>
      </w:r>
      <w:r>
        <w:rPr/>
        <w:t xml:space="preserve">提升至 </w:t>
      </w:r>
      <w:r>
        <w:rPr/>
        <w:t>0.1690</w:t>
      </w:r>
      <w:r>
        <w:rPr/>
        <w:t>。上述结果说明，航拍图像识别不仅依赖候选框是否被生成，还依赖候选框之间的相对排序和类别语义的一致性。</w:t>
      </w:r>
    </w:p>
    <w:p>
      <w:pPr>
        <w:pStyle w:val="Style12"/>
        <w:numPr>
          <w:ilvl w:val="0"/>
          <w:numId w:val="3"/>
        </w:numPr>
        <w:ind w:firstLine="503"/>
        <w:rPr/>
      </w:pPr>
      <w:r>
        <w:rPr/>
        <w:t xml:space="preserve">探索了强化学习驱动的闭环候选校准机制。本文将候选框识别过程看作由“候选生成—状态评估—动作调整—奖励反馈”组成的闭环决策过程，利用评价指标和误差分析结果对候选框保留、类别校准和排序调整进行反馈优化。消融实验表明，候选生成、别名校准、元信息融合和反馈式调整对最终性能均有贡献，其中元信息融合对 </w:t>
      </w:r>
      <w:hyperlink r:id="rId24">
        <w:r>
          <w:rPr/>
          <w:t>mAP@0.5</w:t>
        </w:r>
      </w:hyperlink>
      <w:r>
        <w:rPr/>
        <w:t xml:space="preserve"> </w:t>
      </w:r>
      <w:r>
        <w:rPr/>
        <w:t xml:space="preserve">的提升较为直接，小目标召回模块对 </w:t>
      </w:r>
      <w:hyperlink r:id="rId25">
        <w:r>
          <w:rPr/>
          <w:t>Acc@0.5</w:t>
        </w:r>
      </w:hyperlink>
      <w:r>
        <w:rPr/>
        <w:t xml:space="preserve"> </w:t>
      </w:r>
      <w:r>
        <w:rPr/>
        <w:t xml:space="preserve">和 </w:t>
      </w:r>
      <w:r>
        <w:rPr/>
        <w:t xml:space="preserve">TP </w:t>
      </w:r>
      <w:r>
        <w:rPr/>
        <w:t>数量的改善更明显。这表明强化学习式闭环思想适合用于航拍图像识别中的后处理与策略优化环节，能够弥补开放词表检测模型在特定领域数据上的泛化不足。</w:t>
      </w:r>
    </w:p>
    <w:p>
      <w:pPr>
        <w:pStyle w:val="Style12"/>
        <w:ind w:firstLine="503"/>
        <w:rPr/>
      </w:pPr>
      <w:r>
        <w:rPr/>
        <w:t>综上所述，本文提出的方法在不改变基础大模型主体结构的情况下，通过场景化提示、候选增强、排序融合和闭环校准，提高了无人机航拍图像中小目标和密集目标的识别效果，为开放词表检测模型在低空遥感场景中的应用提供了一种可行思路。但本文研究仍存在一定不足：一方面，当前方法主要基于候选框级别的反馈进行优化，对图像全局布局、目标运动关系和跨帧时序信息利用不足；另一方面，候选扩展策略在提升召回率的同时会带来冗余框增加的问题，仍需要更加精细的候选压缩和误检抑制机制。后续研究可进一步引入更细粒度的图像级奖励设计，结合分块推理、多尺度特征增强和时序信息建模，提高小目标检测的稳定性，并探索轻量化部署和实时闭环推理机制，使所提方法更好地适用于无人机巡检、交通监测和城市低空感知等实际应用场景。</w:t>
      </w:r>
    </w:p>
    <w:p>
      <w:pPr>
        <w:pStyle w:val="Style12"/>
        <w:ind w:firstLine="503"/>
        <w:rPr/>
      </w:pPr>
      <w:r>
        <w:rPr/>
      </w:r>
    </w:p>
    <w:p>
      <w:pPr>
        <w:pStyle w:val="Style12"/>
        <w:ind w:firstLine="503"/>
        <w:rPr/>
      </w:pPr>
      <w:r>
        <w:rPr/>
      </w:r>
    </w:p>
    <w:p>
      <w:pPr>
        <w:pStyle w:val="Style12"/>
        <w:ind w:firstLine="503"/>
        <w:rPr/>
      </w:pPr>
      <w:r>
        <w:rPr/>
      </w:r>
    </w:p>
    <w:p>
      <w:pPr>
        <w:pStyle w:val="Style19"/>
        <w:spacing w:before="412" w:after="329"/>
        <w:rPr/>
      </w:pPr>
      <w:bookmarkStart w:id="193" w:name="__RefHeading___Toc10300_2198631117"/>
      <w:bookmarkStart w:id="194" w:name="_Toc21886"/>
      <w:bookmarkStart w:id="195" w:name="_Toc280628521"/>
      <w:bookmarkStart w:id="196" w:name="_Toc280715700"/>
      <w:bookmarkStart w:id="197" w:name="_Toc13593"/>
      <w:bookmarkStart w:id="198" w:name="_Toc4856"/>
      <w:bookmarkStart w:id="199" w:name="_Toc250450180"/>
      <w:bookmarkStart w:id="200" w:name="_Toc280715555"/>
      <w:bookmarkStart w:id="201" w:name="_Toc13472"/>
      <w:bookmarkStart w:id="202" w:name="_Toc225579656"/>
      <w:bookmarkStart w:id="203" w:name="_Toc280797203"/>
      <w:bookmarkStart w:id="204" w:name="_Toc6148"/>
      <w:bookmarkEnd w:id="193"/>
      <w:r>
        <w:rPr/>
        <w:t>参考文献</w:t>
      </w:r>
      <w:bookmarkEnd w:id="194"/>
      <w:bookmarkEnd w:id="195"/>
      <w:bookmarkEnd w:id="196"/>
      <w:bookmarkEnd w:id="197"/>
      <w:bookmarkEnd w:id="198"/>
      <w:bookmarkEnd w:id="199"/>
      <w:bookmarkEnd w:id="200"/>
      <w:bookmarkEnd w:id="201"/>
      <w:bookmarkEnd w:id="202"/>
      <w:bookmarkEnd w:id="203"/>
      <w:bookmarkEnd w:id="204"/>
    </w:p>
    <w:p>
      <w:pPr>
        <w:pStyle w:val="Style17"/>
        <w:numPr>
          <w:ilvl w:val="0"/>
          <w:numId w:val="2"/>
        </w:numPr>
        <w:rPr/>
      </w:pPr>
      <w:bookmarkStart w:id="205" w:name="_Ref824"/>
      <w:bookmarkStart w:id="206" w:name="ref1"/>
      <w:bookmarkEnd w:id="206"/>
      <w:r>
        <w:rPr/>
        <w:t>REN S, HE K, GIRSHICK R, et al. Faster R-CNN: Towards Real-Time Object Detection with Region Proposal Networks[C]//Advances in Neural Information Processing Systems. 2015: 91-99.</w:t>
      </w:r>
      <w:bookmarkEnd w:id="205"/>
    </w:p>
    <w:p>
      <w:pPr>
        <w:pStyle w:val="Style17"/>
        <w:numPr>
          <w:ilvl w:val="0"/>
          <w:numId w:val="2"/>
        </w:numPr>
        <w:rPr/>
      </w:pPr>
      <w:bookmarkStart w:id="207" w:name="_Ref828"/>
      <w:bookmarkStart w:id="208" w:name="ref2"/>
      <w:bookmarkEnd w:id="208"/>
      <w:r>
        <w:rPr/>
        <w:t>CARION N, MASSA F, SYNNAEVE G, et al. End-to-End Object Detection with Transformers[C]//European Conference on Computer Vision. Cham: Springer, 2020: 213-229.</w:t>
      </w:r>
      <w:bookmarkEnd w:id="207"/>
    </w:p>
    <w:p>
      <w:pPr>
        <w:pStyle w:val="Style17"/>
        <w:numPr>
          <w:ilvl w:val="0"/>
          <w:numId w:val="2"/>
        </w:numPr>
        <w:rPr/>
      </w:pPr>
      <w:bookmarkStart w:id="209" w:name="_Ref883"/>
      <w:bookmarkStart w:id="210" w:name="ref3"/>
      <w:bookmarkEnd w:id="210"/>
      <w:r>
        <w:rPr/>
        <w:t>DU D, ZHU P, WEN L, et al. VisDrone-DET2019: The Vision Meets Drone Object Detection in Image Challenge Results[C]//Proceedings of the IEEE/CVF International Conference on Computer Vision Workshops. 2019: 213-226.</w:t>
      </w:r>
      <w:bookmarkEnd w:id="209"/>
    </w:p>
    <w:p>
      <w:pPr>
        <w:pStyle w:val="Style17"/>
        <w:numPr>
          <w:ilvl w:val="0"/>
          <w:numId w:val="2"/>
        </w:numPr>
        <w:rPr/>
      </w:pPr>
      <w:bookmarkStart w:id="211" w:name="_Ref890"/>
      <w:bookmarkStart w:id="212" w:name="ref4"/>
      <w:bookmarkEnd w:id="212"/>
      <w:r>
        <w:rPr/>
        <w:t>XIA G S, BAI X, DING J, et al. DOTA: A Large-Scale Dataset for Object Detection in Aerial Images[C]//Proceedings of the IEEE Conference on Computer Vision and Pattern Recognition. 2018: 3974-3983.</w:t>
      </w:r>
      <w:bookmarkEnd w:id="211"/>
    </w:p>
    <w:p>
      <w:pPr>
        <w:pStyle w:val="Style17"/>
        <w:numPr>
          <w:ilvl w:val="0"/>
          <w:numId w:val="2"/>
        </w:numPr>
        <w:rPr/>
      </w:pPr>
      <w:bookmarkStart w:id="213" w:name="_Ref926"/>
      <w:bookmarkStart w:id="214" w:name="ref5"/>
      <w:bookmarkEnd w:id="214"/>
      <w:r>
        <w:rPr/>
        <w:t>LIN T Y, DOLLAR P, GIRSHICK R, et al. Feature Pyramid Networks for Object Detection[C]//Proceedings of the IEEE Conference on Computer Vision and Pattern Recognition. 2017: 2117-2125.</w:t>
      </w:r>
      <w:bookmarkEnd w:id="213"/>
    </w:p>
    <w:p>
      <w:pPr>
        <w:pStyle w:val="Style17"/>
        <w:numPr>
          <w:ilvl w:val="0"/>
          <w:numId w:val="2"/>
        </w:numPr>
        <w:rPr/>
      </w:pPr>
      <w:bookmarkStart w:id="215" w:name="_Ref929"/>
      <w:bookmarkStart w:id="216" w:name="ref6"/>
      <w:bookmarkEnd w:id="216"/>
      <w:r>
        <w:rPr/>
        <w:t>LIU Z, LIN Y, CAO Y, et al. Swin Transformer: Hierarchical Vision Transformer Using Shifted Windows[C]//Proceedings of the IEEE/CVF International Conference on Computer Vision. 2021: 10012-10022.</w:t>
      </w:r>
      <w:bookmarkEnd w:id="215"/>
    </w:p>
    <w:p>
      <w:pPr>
        <w:pStyle w:val="Style17"/>
        <w:numPr>
          <w:ilvl w:val="0"/>
          <w:numId w:val="2"/>
        </w:numPr>
        <w:rPr/>
      </w:pPr>
      <w:bookmarkStart w:id="217" w:name="_Ref831"/>
      <w:bookmarkStart w:id="218" w:name="ref7"/>
      <w:bookmarkEnd w:id="218"/>
      <w:r>
        <w:rPr/>
        <w:t>ZHU X, SU W, LU L, et al. Deformable DETR: Deformable Transformers for End-to-End Object Detection[C]//International Conference on Learning Representations. 2021.</w:t>
      </w:r>
      <w:bookmarkEnd w:id="217"/>
    </w:p>
    <w:p>
      <w:pPr>
        <w:pStyle w:val="Style17"/>
        <w:numPr>
          <w:ilvl w:val="0"/>
          <w:numId w:val="2"/>
        </w:numPr>
        <w:rPr/>
      </w:pPr>
      <w:bookmarkStart w:id="219" w:name="_Ref834"/>
      <w:bookmarkStart w:id="220" w:name="ref8"/>
      <w:bookmarkEnd w:id="220"/>
      <w:r>
        <w:rPr/>
        <w:t>ZHU X, WANG W, HUANG H, et al. DINO: DETR with Improved DeNoising Anchor Boxes for End-to-End Object Detection[C]//International Conference on Learning Representations. 2023.</w:t>
      </w:r>
      <w:bookmarkEnd w:id="219"/>
    </w:p>
    <w:p>
      <w:pPr>
        <w:pStyle w:val="Style17"/>
        <w:numPr>
          <w:ilvl w:val="0"/>
          <w:numId w:val="2"/>
        </w:numPr>
        <w:rPr/>
      </w:pPr>
      <w:bookmarkStart w:id="221" w:name="_Ref1014"/>
      <w:bookmarkStart w:id="222" w:name="ref9"/>
      <w:bookmarkEnd w:id="222"/>
      <w:r>
        <w:rPr/>
        <w:t>LIU S, ZENG Z, REN T, et al. Grounding DINO: Marrying DINO with Grounded Pre-Training for Open-Set Object Detection[C]//European Conference on Computer Vision. Cham: Springer, 2024: 38-55.</w:t>
      </w:r>
      <w:bookmarkEnd w:id="221"/>
    </w:p>
    <w:p>
      <w:pPr>
        <w:pStyle w:val="Style17"/>
        <w:numPr>
          <w:ilvl w:val="0"/>
          <w:numId w:val="2"/>
        </w:numPr>
        <w:rPr/>
      </w:pPr>
      <w:bookmarkStart w:id="223" w:name="_Ref1027"/>
      <w:bookmarkStart w:id="224" w:name="ref10"/>
      <w:bookmarkEnd w:id="224"/>
      <w:r>
        <w:rPr/>
        <w:t>LI J, XU Y, WEI Y, et al. Grounded Language-Image Pre-Training[C]//Proceedings of the IEEE/CVF Conference on Computer Vision and Pattern Recognition. 2022: 10965-10975.</w:t>
      </w:r>
      <w:bookmarkEnd w:id="223"/>
    </w:p>
    <w:p>
      <w:pPr>
        <w:pStyle w:val="Style17"/>
        <w:numPr>
          <w:ilvl w:val="0"/>
          <w:numId w:val="2"/>
        </w:numPr>
        <w:rPr/>
      </w:pPr>
      <w:bookmarkStart w:id="225" w:name="_Ref1030"/>
      <w:bookmarkStart w:id="226" w:name="ref11"/>
      <w:bookmarkEnd w:id="226"/>
      <w:r>
        <w:rPr/>
        <w:t>KAMATH A, SINGH M, LEIBEL C, et al. MDETR: Modulated Detection for End-to-End Multi-Modal Understanding[C]//Proceedings of the IEEE/CVF International Conference on Computer Vision. 2021: 1700-1710.</w:t>
      </w:r>
      <w:bookmarkEnd w:id="225"/>
    </w:p>
    <w:p>
      <w:pPr>
        <w:pStyle w:val="Style17"/>
        <w:numPr>
          <w:ilvl w:val="0"/>
          <w:numId w:val="2"/>
        </w:numPr>
        <w:rPr/>
      </w:pPr>
      <w:bookmarkStart w:id="227" w:name="_Ref1033"/>
      <w:bookmarkStart w:id="228" w:name="ref12"/>
      <w:bookmarkEnd w:id="228"/>
      <w:r>
        <w:rPr/>
        <w:t>RADFORD A, KIM J W, HALLACY C, et al. Learning Transferable Visual Models From Natural Language[C]//Proceedings of the 38th International Conference on Machine Learning. 2021: 8748-8763.</w:t>
      </w:r>
      <w:bookmarkEnd w:id="227"/>
    </w:p>
    <w:p>
      <w:pPr>
        <w:pStyle w:val="Style17"/>
        <w:numPr>
          <w:ilvl w:val="0"/>
          <w:numId w:val="2"/>
        </w:numPr>
        <w:rPr/>
      </w:pPr>
      <w:bookmarkStart w:id="229" w:name="_Ref1037"/>
      <w:bookmarkStart w:id="230" w:name="ref13"/>
      <w:bookmarkEnd w:id="230"/>
      <w:r>
        <w:rPr/>
        <w:t>MINDERER M, MATHIEU M, OLIVEIRA G L, et al. Simple Open-Vocabulary Object Detection with Vision Transformers[C]//European Conference on Computer Vision. Cham: Springer, 2022.</w:t>
      </w:r>
      <w:bookmarkEnd w:id="229"/>
    </w:p>
    <w:p>
      <w:pPr>
        <w:pStyle w:val="Style17"/>
        <w:numPr>
          <w:ilvl w:val="0"/>
          <w:numId w:val="2"/>
        </w:numPr>
        <w:rPr/>
      </w:pPr>
      <w:bookmarkStart w:id="231" w:name="_Ref1040"/>
      <w:bookmarkStart w:id="232" w:name="ref14"/>
      <w:bookmarkEnd w:id="232"/>
      <w:r>
        <w:rPr/>
        <w:t>GU X, LIN T Y, KAMILOV U, et al. ViLD: Open-Vocabulary Object Detection via Vision and Language Knowledge Distillation[C]//Proceedings of the IEEE/CVF Conference on Computer Vision and Pattern Recognition. 2022: 1956-1965.</w:t>
      </w:r>
      <w:bookmarkEnd w:id="231"/>
    </w:p>
    <w:p>
      <w:pPr>
        <w:pStyle w:val="Style17"/>
        <w:numPr>
          <w:ilvl w:val="0"/>
          <w:numId w:val="2"/>
        </w:numPr>
        <w:rPr/>
      </w:pPr>
      <w:bookmarkStart w:id="233" w:name="_Ref857"/>
      <w:bookmarkStart w:id="234" w:name="ref15"/>
      <w:bookmarkEnd w:id="234"/>
      <w:r>
        <w:rPr/>
        <w:t>REDMON J, DIVVALA S, GIRSHICK R, et al. You Only Look Once: Unified, Real-Time Object Detection[C]//Proceedings of the IEEE Conference on Computer Vision and Pattern Recognition. 2016: 779-788.</w:t>
      </w:r>
      <w:bookmarkEnd w:id="233"/>
    </w:p>
    <w:p>
      <w:pPr>
        <w:pStyle w:val="Style17"/>
        <w:numPr>
          <w:ilvl w:val="0"/>
          <w:numId w:val="2"/>
        </w:numPr>
        <w:rPr/>
      </w:pPr>
      <w:bookmarkStart w:id="235" w:name="_Ref4034"/>
      <w:bookmarkStart w:id="236" w:name="ref16"/>
      <w:bookmarkEnd w:id="236"/>
      <w:r>
        <w:rPr/>
        <w:t>LIU W, ANGUELOV D, ERHAN D, et al. SSD: Single Shot MultiBox Detector[C]//European Conference on Computer Vision. Cham: Springer, 2016: 21-37.</w:t>
      </w:r>
      <w:bookmarkEnd w:id="235"/>
    </w:p>
    <w:p>
      <w:pPr>
        <w:pStyle w:val="Style17"/>
        <w:numPr>
          <w:ilvl w:val="0"/>
          <w:numId w:val="2"/>
        </w:numPr>
        <w:rPr/>
      </w:pPr>
      <w:bookmarkStart w:id="237" w:name="_Ref1167"/>
      <w:bookmarkStart w:id="238" w:name="ref17"/>
      <w:bookmarkEnd w:id="238"/>
      <w:r>
        <w:rPr/>
        <w:t>BODLA N, SINGH B, CHELLAPPA R, et al. Soft-NMS--Improving Object Detection With One Line of Code[C]//Proceedings of the IEEE International Conference on Computer Vision. 2017: 5561-5569.</w:t>
      </w:r>
      <w:bookmarkEnd w:id="237"/>
    </w:p>
    <w:p>
      <w:pPr>
        <w:pStyle w:val="Style17"/>
        <w:numPr>
          <w:ilvl w:val="0"/>
          <w:numId w:val="2"/>
        </w:numPr>
        <w:rPr/>
      </w:pPr>
      <w:bookmarkStart w:id="239" w:name="_Ref1170"/>
      <w:bookmarkStart w:id="240" w:name="ref18"/>
      <w:bookmarkEnd w:id="240"/>
      <w:r>
        <w:rPr/>
        <w:t>ZHENG Z, WANG P, LIU W, et al. Distance-IoU Loss: Faster and Better Learning for Bounding Box Regression[C]//Proceedings of the AAAI Conference on Artificial Intelligence. 2020, 34(7): 12993-13000.</w:t>
      </w:r>
      <w:bookmarkEnd w:id="239"/>
    </w:p>
    <w:p>
      <w:pPr>
        <w:pStyle w:val="Style17"/>
        <w:numPr>
          <w:ilvl w:val="0"/>
          <w:numId w:val="2"/>
        </w:numPr>
        <w:rPr/>
      </w:pPr>
      <w:bookmarkStart w:id="241" w:name="_Ref782"/>
      <w:bookmarkStart w:id="242" w:name="ref19"/>
      <w:bookmarkEnd w:id="242"/>
      <w:r>
        <w:rPr/>
        <w:t>WILLIAMS R J. Simple Statistical Gradient-Following Algorithms for Connectionist Reinforcement Learning[J]. Machine Learning, 1992, 8: 229-256.</w:t>
      </w:r>
      <w:bookmarkEnd w:id="241"/>
    </w:p>
    <w:p>
      <w:pPr>
        <w:pStyle w:val="Style17"/>
        <w:numPr>
          <w:ilvl w:val="0"/>
          <w:numId w:val="2"/>
        </w:numPr>
        <w:rPr/>
      </w:pPr>
      <w:bookmarkStart w:id="243" w:name="_Ref785"/>
      <w:bookmarkStart w:id="244" w:name="ref20"/>
      <w:bookmarkEnd w:id="244"/>
      <w:r>
        <w:rPr/>
        <w:t>MNIH V, KAVUKCUOGLU K, SILVER D, et al. Human-Level Control Through Deep Reinforcement Learning[J]. Nature, 2015, 518: 529-533.</w:t>
      </w:r>
      <w:bookmarkEnd w:id="243"/>
    </w:p>
    <w:p>
      <w:pPr>
        <w:pStyle w:val="Style17"/>
        <w:numPr>
          <w:ilvl w:val="0"/>
          <w:numId w:val="2"/>
        </w:numPr>
        <w:rPr/>
      </w:pPr>
      <w:bookmarkStart w:id="245" w:name="_Ref1229"/>
      <w:bookmarkStart w:id="246" w:name="ref21"/>
      <w:bookmarkEnd w:id="246"/>
      <w:r>
        <w:rPr/>
        <w:t>NG A Y, HARADA D, RUSSELL S. Policy Invariance Under Reward Transformations: Theory and Application to Reward Shaping[C]//Proceedings of the 16th International Conference on Machine Learning. 1999: 278-287.</w:t>
      </w:r>
      <w:bookmarkEnd w:id="245"/>
    </w:p>
    <w:p>
      <w:pPr>
        <w:pStyle w:val="Style17"/>
        <w:numPr>
          <w:ilvl w:val="0"/>
          <w:numId w:val="2"/>
        </w:numPr>
        <w:rPr/>
      </w:pPr>
      <w:bookmarkStart w:id="247" w:name="_Ref788"/>
      <w:bookmarkStart w:id="248" w:name="ref22"/>
      <w:bookmarkEnd w:id="248"/>
      <w:r>
        <w:rPr/>
        <w:t>SUTTON R S, BARTO A G. Reinforcement Learning: An Introduction[M]. 2nd ed. Cambridge: MIT Press, 2018.</w:t>
      </w:r>
      <w:bookmarkEnd w:id="247"/>
    </w:p>
    <w:p>
      <w:pPr>
        <w:pStyle w:val="Normal"/>
        <w:rPr/>
      </w:pPr>
      <w:r>
        <w:rPr/>
      </w:r>
    </w:p>
    <w:p>
      <w:pPr>
        <w:pStyle w:val="Normal"/>
        <w:rPr/>
      </w:pPr>
      <w:r>
        <w:rPr/>
      </w:r>
    </w:p>
    <w:p>
      <w:pPr>
        <w:pStyle w:val="Normal"/>
        <w:jc w:val="left"/>
        <w:rPr/>
      </w:pPr>
      <w:r>
        <w:rPr/>
      </w:r>
    </w:p>
    <w:p>
      <w:pPr>
        <w:pStyle w:val="Style19"/>
        <w:spacing w:before="412" w:after="329"/>
        <w:rPr/>
      </w:pPr>
      <w:bookmarkStart w:id="249" w:name="__RefHeading___Toc10302_2198631117"/>
      <w:bookmarkStart w:id="250" w:name="_Toc17511"/>
      <w:bookmarkStart w:id="251" w:name="_Toc2358"/>
      <w:bookmarkStart w:id="252" w:name="_Toc2467"/>
      <w:bookmarkStart w:id="253" w:name="_Toc10144"/>
      <w:bookmarkStart w:id="254" w:name="_Toc280715558"/>
      <w:bookmarkStart w:id="255" w:name="_Toc225579659"/>
      <w:bookmarkStart w:id="256" w:name="_Toc30075"/>
      <w:bookmarkStart w:id="257" w:name="_Toc280715703"/>
      <w:bookmarkStart w:id="258" w:name="_Toc280797206"/>
      <w:bookmarkStart w:id="259" w:name="_Toc250450182"/>
      <w:bookmarkStart w:id="260" w:name="_Toc280628524"/>
      <w:bookmarkEnd w:id="249"/>
      <w:r>
        <w:rPr/>
        <w:t>哈尔滨工业大学本科综合设计（论文）</w:t>
      </w:r>
      <w:r>
        <w:rPr/>
        <w:br/>
      </w:r>
      <w:r>
        <w:rPr/>
        <w:t>原创性声明和使用权限</w:t>
      </w:r>
      <w:bookmarkEnd w:id="250"/>
      <w:bookmarkEnd w:id="251"/>
      <w:bookmarkEnd w:id="252"/>
      <w:bookmarkEnd w:id="253"/>
      <w:bookmarkEnd w:id="256"/>
    </w:p>
    <w:p>
      <w:pPr>
        <w:pStyle w:val="Normal"/>
        <w:snapToGrid w:val="false"/>
        <w:spacing w:lineRule="auto" w:line="300" w:before="206" w:after="206"/>
        <w:jc w:val="center"/>
        <w:rPr>
          <w:rFonts w:ascii="黑体" w:hAnsi="黑体" w:eastAsia="黑体"/>
          <w:sz w:val="30"/>
          <w:szCs w:val="30"/>
        </w:rPr>
      </w:pPr>
      <w:r>
        <w:rPr>
          <w:rFonts w:ascii="黑体" w:hAnsi="黑体" w:eastAsia="黑体"/>
          <w:sz w:val="30"/>
          <w:szCs w:val="30"/>
        </w:rPr>
        <w:t>本科综合设计（论文）原创性声明</w:t>
      </w:r>
    </w:p>
    <w:p>
      <w:pPr>
        <w:pStyle w:val="Style12"/>
        <w:ind w:firstLine="503"/>
        <w:rPr/>
      </w:pPr>
      <w:r>
        <w:rPr/>
        <w:t>本人郑重声明：此处所提交的本科综合设计（论文）《强化学习驱动的闭环航拍图像识别方法》，是本人在导师指导下，在哈尔滨工业大学攻读学士学位期间独立进行研究工作所取得的成果，且综合设计（论文）中除已标注引用文献的部分外不包含他人完成或已发表的研究成果。对本综合设计（论文）的研究工作做出重要贡献的个人和集体，均已在文中以明确方式注明。本综合设计（论文）对使用</w:t>
      </w:r>
      <w:r>
        <w:rPr/>
        <w:t>AI</w:t>
      </w:r>
      <w:r>
        <w:rPr/>
        <w:t>工具的情况进行了明确标注。</w:t>
      </w:r>
    </w:p>
    <w:p>
      <w:pPr>
        <w:pStyle w:val="Normal"/>
        <w:snapToGrid w:val="false"/>
        <w:spacing w:lineRule="auto" w:line="300"/>
        <w:rPr/>
      </w:pPr>
      <w:r>
        <w:rPr/>
      </w:r>
    </w:p>
    <w:p>
      <w:pPr>
        <w:pStyle w:val="Normal"/>
        <w:snapToGrid w:val="false"/>
        <w:spacing w:lineRule="auto" w:line="300"/>
        <w:ind w:firstLine="2008"/>
        <w:rPr>
          <w:sz w:val="28"/>
        </w:rPr>
      </w:pPr>
      <w:r>
        <w:rPr/>
        <w:t>作者签名：</w:t>
      </w:r>
      <w:r>
        <w:rPr/>
        <w:drawing>
          <wp:inline distT="0" distB="0" distL="0" distR="0">
            <wp:extent cx="575310" cy="425450"/>
            <wp:effectExtent l="0" t="0" r="0" b="0"/>
            <wp:docPr id="12" name="图片 2" descr="电子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电子签名"/>
                    <pic:cNvPicPr>
                      <a:picLocks noChangeAspect="1" noChangeArrowheads="1"/>
                    </pic:cNvPicPr>
                  </pic:nvPicPr>
                  <pic:blipFill>
                    <a:blip r:embed="rId26"/>
                    <a:srcRect l="19569" t="0" r="6735" b="35043"/>
                    <a:stretch>
                      <a:fillRect/>
                    </a:stretch>
                  </pic:blipFill>
                  <pic:spPr bwMode="auto">
                    <a:xfrm>
                      <a:off x="0" y="0"/>
                      <a:ext cx="575310" cy="425450"/>
                    </a:xfrm>
                    <a:prstGeom prst="rect">
                      <a:avLst/>
                    </a:prstGeom>
                  </pic:spPr>
                </pic:pic>
              </a:graphicData>
            </a:graphic>
          </wp:inline>
        </w:drawing>
      </w:r>
      <w:r>
        <w:rPr/>
        <w:t xml:space="preserve">        日期：</w:t>
      </w:r>
      <w:r>
        <w:rPr/>
        <w:t>2026</w:t>
      </w:r>
      <w:r>
        <w:rPr/>
        <w:t xml:space="preserve">年 </w:t>
      </w:r>
      <w:r>
        <w:rPr/>
        <w:t>8</w:t>
      </w:r>
      <w:r>
        <w:rPr/>
        <w:t>月</w:t>
      </w:r>
      <w:r>
        <w:rPr/>
        <w:t>26</w:t>
      </w:r>
      <w:r>
        <w:rPr/>
        <w:t>日</w:t>
      </w:r>
    </w:p>
    <w:p>
      <w:pPr>
        <w:pStyle w:val="Normal"/>
        <w:snapToGrid w:val="false"/>
        <w:spacing w:lineRule="auto" w:line="300" w:before="206" w:after="206"/>
        <w:jc w:val="center"/>
        <w:rPr>
          <w:rFonts w:ascii="黑体" w:hAnsi="黑体" w:eastAsia="黑体"/>
          <w:sz w:val="30"/>
          <w:szCs w:val="30"/>
        </w:rPr>
      </w:pPr>
      <w:r>
        <w:rPr>
          <w:rFonts w:ascii="黑体" w:hAnsi="黑体" w:eastAsia="黑体"/>
          <w:sz w:val="30"/>
          <w:szCs w:val="30"/>
        </w:rPr>
        <w:t>本科综合设计（论文）使用权限</w:t>
      </w:r>
    </w:p>
    <w:p>
      <w:pPr>
        <w:pStyle w:val="Style12"/>
        <w:ind w:firstLine="503"/>
        <w:rPr/>
      </w:pPr>
      <w:r>
        <w:rPr/>
        <w:t>本科综合设计（论文）是本科生在哈尔滨工业大学攻读学士学位期间完成的成果，知识产权归属哈尔滨工业大学。本科综合设计（论文）的使用权限如下：</w:t>
      </w:r>
    </w:p>
    <w:p>
      <w:pPr>
        <w:pStyle w:val="Style12"/>
        <w:ind w:firstLine="503"/>
        <w:rPr/>
      </w:pPr>
      <w:r>
        <w:rPr/>
        <w:t>（</w:t>
      </w:r>
      <w:r>
        <w:rPr/>
        <w:t>1</w:t>
      </w:r>
      <w:r>
        <w:rPr/>
        <w:t>）学校可以采用影印、缩印或其他复制手段保存本科生上交的综合设计（论文），并向有关部门报送本科综合设计（论文）；（</w:t>
      </w:r>
      <w:r>
        <w:rPr/>
        <w:t>2</w:t>
      </w:r>
      <w:r>
        <w:rPr/>
        <w:t>）根据需要，学校可以将本科综合设计（论文）部分或全部内容编入有关数据库进行检索和提供相应阅览服务；（</w:t>
      </w:r>
      <w:r>
        <w:rPr/>
        <w:t>3</w:t>
      </w:r>
      <w:r>
        <w:rPr/>
        <w:t>）本科生毕业后发表与此综合设计（论文）研究成果相关的学术论文和其他成果时，应征得导师同意，且第一署名单位为哈尔滨工业大学。</w:t>
      </w:r>
    </w:p>
    <w:p>
      <w:pPr>
        <w:pStyle w:val="Style12"/>
        <w:ind w:firstLine="503"/>
        <w:rPr/>
      </w:pPr>
      <w:r>
        <w:rPr/>
        <w:t>保密论文在保密期内遵守有关保密规定，解密后适用于此使用权限规定。</w:t>
      </w:r>
    </w:p>
    <w:p>
      <w:pPr>
        <w:pStyle w:val="Style12"/>
        <w:ind w:firstLine="503"/>
        <w:rPr/>
      </w:pPr>
      <w:r>
        <w:rPr/>
        <w:t>本人知悉本科综合设计（论文）的使用权限，并将遵守有关规定。</w:t>
      </w:r>
    </w:p>
    <w:p>
      <w:pPr>
        <w:pStyle w:val="Normal"/>
        <w:snapToGrid w:val="false"/>
        <w:spacing w:lineRule="auto" w:line="300"/>
        <w:ind w:firstLine="1882"/>
        <w:rPr/>
      </w:pPr>
      <w:r>
        <w:rPr/>
        <w:t xml:space="preserve">作者签名： </w:t>
      </w:r>
      <w:bookmarkStart w:id="261" w:name="_GoBack"/>
      <w:r>
        <w:rPr/>
        <w:drawing>
          <wp:inline distT="0" distB="0" distL="0" distR="0">
            <wp:extent cx="569595" cy="396240"/>
            <wp:effectExtent l="0" t="0" r="0" b="0"/>
            <wp:docPr id="13" name="图片 3" descr="电子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电子签名"/>
                    <pic:cNvPicPr>
                      <a:picLocks noChangeAspect="1" noChangeArrowheads="1"/>
                    </pic:cNvPicPr>
                  </pic:nvPicPr>
                  <pic:blipFill>
                    <a:blip r:embed="rId27"/>
                    <a:srcRect l="19569" t="-4510" r="6735" b="40593"/>
                    <a:stretch>
                      <a:fillRect/>
                    </a:stretch>
                  </pic:blipFill>
                  <pic:spPr bwMode="auto">
                    <a:xfrm>
                      <a:off x="0" y="0"/>
                      <a:ext cx="569595" cy="396240"/>
                    </a:xfrm>
                    <a:prstGeom prst="rect">
                      <a:avLst/>
                    </a:prstGeom>
                  </pic:spPr>
                </pic:pic>
              </a:graphicData>
            </a:graphic>
          </wp:inline>
        </w:drawing>
      </w:r>
      <w:bookmarkEnd w:id="261"/>
      <w:r>
        <w:rPr/>
        <w:t xml:space="preserve">         日期：</w:t>
      </w:r>
      <w:r>
        <w:rPr/>
        <w:t>2026</w:t>
      </w:r>
      <w:r>
        <w:rPr/>
        <w:t>年</w:t>
      </w:r>
      <w:r>
        <w:rPr/>
        <w:t>8</w:t>
      </w:r>
      <w:r>
        <w:rPr/>
        <w:t>月</w:t>
      </w:r>
      <w:r>
        <w:rPr/>
        <w:t>26</w:t>
      </w:r>
      <w:r>
        <w:rPr/>
        <w:t>日</w:t>
      </w:r>
    </w:p>
    <w:p>
      <w:pPr>
        <w:pStyle w:val="Normal"/>
        <w:snapToGrid w:val="false"/>
        <w:spacing w:lineRule="auto" w:line="300"/>
        <w:ind w:firstLine="3137"/>
        <w:rPr/>
      </w:pPr>
      <w:r>
        <w:rPr/>
      </w:r>
    </w:p>
    <w:p>
      <w:pPr>
        <w:pStyle w:val="Normal"/>
        <w:snapToGrid w:val="false"/>
        <w:spacing w:lineRule="auto" w:line="300"/>
        <w:ind w:firstLine="1882"/>
        <w:rPr/>
      </w:pPr>
      <w:r>
        <w:rPr/>
        <w:t>导师签名：                 日期：</w:t>
      </w:r>
      <w:r>
        <w:rPr/>
        <w:t>2026</w:t>
      </w:r>
      <w:r>
        <w:rPr/>
        <w:t>年</w:t>
      </w:r>
      <w:r>
        <w:rPr/>
        <w:t>8</w:t>
      </w:r>
      <w:r>
        <w:rPr/>
        <w:t>月</w:t>
      </w:r>
      <w:r>
        <w:rPr/>
        <w:t>26</w:t>
      </w:r>
      <w:r>
        <w:rPr/>
        <w:t>日</w:t>
      </w:r>
    </w:p>
    <w:p>
      <w:pPr>
        <w:pStyle w:val="Style19"/>
        <w:spacing w:before="412" w:after="329"/>
        <w:rPr/>
      </w:pPr>
      <w:bookmarkStart w:id="262" w:name="_Toc280715558"/>
      <w:bookmarkStart w:id="263" w:name="_Toc225579659"/>
      <w:bookmarkStart w:id="264" w:name="_Toc280715703"/>
      <w:bookmarkStart w:id="265" w:name="_Toc280797206"/>
      <w:bookmarkStart w:id="266" w:name="_Toc250450182"/>
      <w:bookmarkStart w:id="267" w:name="_Toc280628524"/>
      <w:bookmarkStart w:id="268" w:name="__RefHeading___Toc10304_2198631117"/>
      <w:bookmarkStart w:id="269" w:name="_Toc26391"/>
      <w:bookmarkStart w:id="270" w:name="_Toc7540"/>
      <w:bookmarkStart w:id="271" w:name="_Toc12164"/>
      <w:bookmarkStart w:id="272" w:name="_Toc25576"/>
      <w:bookmarkStart w:id="273" w:name="_Toc21383"/>
      <w:bookmarkEnd w:id="268"/>
      <w:r>
        <w:rPr/>
        <w:t>致谢</w:t>
      </w:r>
      <w:bookmarkEnd w:id="262"/>
      <w:bookmarkEnd w:id="263"/>
      <w:bookmarkEnd w:id="264"/>
      <w:bookmarkEnd w:id="265"/>
      <w:bookmarkEnd w:id="266"/>
      <w:bookmarkEnd w:id="267"/>
      <w:bookmarkEnd w:id="269"/>
      <w:bookmarkEnd w:id="270"/>
      <w:bookmarkEnd w:id="271"/>
      <w:bookmarkEnd w:id="272"/>
      <w:bookmarkEnd w:id="273"/>
    </w:p>
    <w:p>
      <w:pPr>
        <w:pStyle w:val="Style12"/>
        <w:ind w:firstLine="503"/>
        <w:rPr/>
      </w:pPr>
      <w:r>
        <w:rPr/>
        <w:t>时光荏苒，转眼间本科阶段的学习生活即将结束。毕业设计从选题、资料查阅、方案设计，到实验实施、结果分析和论文撰写，经历了较长的过程。在此期间，我遇到了许多困难，也得到了老师、同学和家人的帮助与支持。论文的完成不仅是对本科阶段学习成果的一次总结，也让我更加深刻地认识到严谨态度、持续学习和认真思考的重要性。</w:t>
      </w:r>
    </w:p>
    <w:p>
      <w:pPr>
        <w:pStyle w:val="Style12"/>
        <w:ind w:firstLine="503"/>
        <w:rPr/>
      </w:pPr>
      <w:r>
        <w:rPr/>
        <w:t>首先，衷心感谢我的指导教师王耀威教授。感谢王老师在毕业设计选题、研究思路、实验方案和论文撰写等方面给予我的悉心指导。研究初期，我对无人机航拍图像识别、开放词表检测和强化学习等内容的理解还不够深入，王老师帮助我逐步明确研究目标，梳理技术路线，并针对实验中出现的问题提出了许多具有建设性的意见。在论文撰写过程中，王老师认真审阅论文内容，对章节安排、技术表述、实验分析和论文规范等方面进行了细致指导，使我能够不断发现问题并改进论文。王老师严谨的治学态度、认真负责的工作作风和求真务实的研究精神，将对我今后的学习和工作产生重要影响。</w:t>
      </w:r>
    </w:p>
    <w:p>
      <w:pPr>
        <w:pStyle w:val="Style12"/>
        <w:rPr/>
      </w:pPr>
      <w:r>
        <w:rPr/>
        <w:t>感谢蓝湘源老师在毕业设计过程中给予我的帮助和指导。蓝老师在实验开展、技术问题分析和研究内容完善等方面给予了我许多有价值的建议。在实验遇到困难、结果不够稳定或研究思路需要调整时，蓝老师耐心地帮助我分析问题，启发我从数据、模型和评价方法等不同角度重新审视实验过程。蓝老师细致认真的工作态度和对技术问题的深入思考，使我受益匪浅，也帮助我更加清楚地认识到科研工作不仅需要提出想法，更需要通过严谨的实验和充分的分析进行验证。</w:t>
      </w:r>
    </w:p>
    <w:p>
      <w:pPr>
        <w:pStyle w:val="Style12"/>
        <w:ind w:firstLine="503"/>
        <w:rPr/>
      </w:pPr>
      <w:r>
        <w:rPr/>
        <w:t>感谢哈尔滨工业大学计算机科学与技术学院的各位老师。感谢各位老师在本科阶段传授给我的专业知识，使我逐步建立起计算机科学与技术领域的知识体系。通过课程学习和实践训练，我接触并掌握了程序设计、数据结构、计算机系统、机器学习、计算机视觉和深度学习等方面的基础知识，为本次毕业设计的完成奠定了基础。老师们在课堂上的讲解和实践中的指导，不仅帮助我提升了专业能力，也培养了我分析问题、解决问题和独立学习的能力。</w:t>
      </w:r>
    </w:p>
    <w:p>
      <w:pPr>
        <w:pStyle w:val="Style12"/>
        <w:ind w:firstLine="503"/>
        <w:rPr/>
      </w:pPr>
      <w:r>
        <w:rPr/>
      </w:r>
    </w:p>
    <w:p>
      <w:pPr>
        <w:pStyle w:val="Style12"/>
        <w:ind w:firstLine="503"/>
        <w:rPr/>
      </w:pPr>
      <w:r>
        <w:rPr/>
        <w:t>感谢在毕业设计过程中给予我帮助和支持的同学们。感谢大家在实验讨论、代码调试、数据处理、结果分析和论文修改过程中提出的建议。面对模型效果不稳定、实验结果存在差异以及论文内容需要反复调整等问题时，同学们的交流和帮助让我能够及时发现不足、调整思路并继续推进研究。感谢大家在学习和生活中的陪伴，这段共同努力、相互帮助的经历将成为我本科阶段珍贵的回忆。</w:t>
      </w:r>
    </w:p>
    <w:p>
      <w:pPr>
        <w:pStyle w:val="Style12"/>
        <w:ind w:firstLine="503"/>
        <w:rPr/>
      </w:pPr>
      <w:r>
        <w:rPr/>
        <w:t>同时，感谢实验过程中使用到的公开数据集、开源模型和相关研究工作。前人的研究成果为本文在无人机航拍图像识别、开放词表检测、候选框筛选和反馈式校准等方面的探索提供了重要基础。通过阅读相关论文和复现实验，我进一步了解了计算机视觉领域的研究方法，也认识到一项研究工作的完成离不开充分的资料积累、合理的实验设计和客观的结果分析。</w:t>
      </w:r>
    </w:p>
    <w:p>
      <w:pPr>
        <w:pStyle w:val="Style12"/>
        <w:ind w:firstLine="503"/>
        <w:rPr/>
      </w:pPr>
      <w:r>
        <w:rPr/>
        <w:t>最后，衷心感谢我的父母和家人。感谢你们一直以来对我的理解、支持和陪伴。在我面对学习压力和研究困难时，是你们给予了我坚持下去的勇气和信心；在我取得进步时，也是你们与我一起分享喜悦。你们始终为我的学习和生活提供着坚实的支持，使我能够专心完成本科阶段的学习任务。未来无论继续深造还是走向工作岗位，我都会铭记你们的付出，保持认真踏实的态度，不断提升自身能力。</w:t>
      </w:r>
    </w:p>
    <w:p>
      <w:pPr>
        <w:pStyle w:val="Style12"/>
        <w:ind w:firstLine="503"/>
        <w:rPr/>
      </w:pPr>
      <w:r>
        <w:rPr/>
        <w:t>本科阶段即将结束，但新的学习和生活即将开始。谨向所有曾经关心、帮助和支持过我的老师、同学、朋友和家人表示最诚挚的感谢！</w:t>
      </w:r>
      <w:r>
        <w:rPr/>
        <w:tab/>
      </w:r>
    </w:p>
    <w:p>
      <w:pPr>
        <w:pStyle w:val="Style12"/>
        <w:ind w:firstLine="503"/>
        <w:rPr/>
      </w:pPr>
      <w:r>
        <w:rPr/>
      </w:r>
    </w:p>
    <w:p>
      <w:pPr>
        <w:pStyle w:val="Normal"/>
        <w:jc w:val="left"/>
        <w:rPr/>
      </w:pPr>
      <w:r>
        <w:rPr/>
      </w:r>
    </w:p>
    <w:sectPr>
      <w:headerReference w:type="default" r:id="rId28"/>
      <w:footerReference w:type="default" r:id="rId29"/>
      <w:type w:val="nextPage"/>
      <w:pgSz w:w="11906" w:h="16838"/>
      <w:pgMar w:left="1701" w:right="1701" w:gutter="0" w:header="1701" w:top="1758" w:footer="1304" w:bottom="1616"/>
      <w:pgNumType w:start="1" w:fmt="decimal"/>
      <w:formProt w:val="false"/>
      <w:textDirection w:val="lrTb"/>
      <w:docGrid w:type="linesAndChars" w:linePitch="412" w:charSpace="225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Liberation Sans">
    <w:altName w:val="Arial"/>
    <w:charset w:val="01"/>
    <w:family w:val="swiss"/>
    <w:pitch w:val="variable"/>
  </w:font>
  <w:font w:name="黑体">
    <w:charset w:val="01"/>
    <w:family w:val="roman"/>
    <w:pitch w:val="variable"/>
  </w:font>
  <w:font w:name="宋体">
    <w:charset w:val="01"/>
    <w:family w:val="roman"/>
    <w:pitch w:val="variable"/>
  </w:font>
  <w:font w:name="楷体">
    <w:charset w:val="01"/>
    <w:family w:val="roman"/>
    <w:pitch w:val="variable"/>
  </w:font>
  <w:font w:name="Wingdings 2">
    <w:charset w:val="02"/>
    <w:family w:val="roman"/>
    <w:pitch w:val="variable"/>
  </w:font>
  <w:font w:name="Cambria Math">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firstLine="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firstLine="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firstLine="3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17">
              <wp:simplePos x="0" y="0"/>
              <wp:positionH relativeFrom="margin">
                <wp:align>center</wp:align>
              </wp:positionH>
              <wp:positionV relativeFrom="paragraph">
                <wp:posOffset>635</wp:posOffset>
              </wp:positionV>
              <wp:extent cx="1828800" cy="1828800"/>
              <wp:effectExtent l="0" t="0" r="0" b="0"/>
              <wp:wrapNone/>
              <wp:docPr id="1" name="文本框 41"/>
              <a:graphic xmlns:a="http://schemas.openxmlformats.org/drawingml/2006/main">
                <a:graphicData uri="http://schemas.microsoft.com/office/word/2010/wordprocessingShape">
                  <wps:wsp>
                    <wps:cNvSpPr/>
                    <wps:spPr>
                      <a:xfrm>
                        <a:off x="0" y="0"/>
                        <a:ext cx="1828800" cy="1828800"/>
                      </a:xfrm>
                      <a:prstGeom prst="rect">
                        <a:avLst/>
                      </a:prstGeom>
                      <a:noFill/>
                      <a:ln w="0">
                        <a:noFill/>
                      </a:ln>
                    </wps:spPr>
                    <wps:style>
                      <a:lnRef idx="0"/>
                      <a:fillRef idx="0"/>
                      <a:effectRef idx="0"/>
                      <a:fontRef idx="minor"/>
                    </wps:style>
                    <wps:txbx>
                      <w:txbxContent>
                        <w:p>
                          <w:pPr>
                            <w:pStyle w:val="Footer"/>
                            <w:rPr/>
                          </w:pPr>
                          <w:r>
                            <w:rPr/>
                            <w:fldChar w:fldCharType="begin"/>
                          </w:r>
                          <w:r>
                            <w:rPr/>
                            <w:instrText xml:space="preserve"> PAGE </w:instrText>
                          </w:r>
                          <w:r>
                            <w:rPr/>
                            <w:fldChar w:fldCharType="separate"/>
                          </w:r>
                          <w:r>
                            <w:rPr/>
                            <w:t>0</w:t>
                          </w:r>
                          <w:r>
                            <w:rPr/>
                            <w:fldChar w:fldCharType="end"/>
                          </w:r>
                        </w:p>
                      </w:txbxContent>
                    </wps:txbx>
                    <wps:bodyPr lIns="0" rIns="0" tIns="0" bIns="0" anchor="t">
                      <a:spAutoFit/>
                    </wps:bodyPr>
                  </wps:wsp>
                </a:graphicData>
              </a:graphic>
            </wp:anchor>
          </w:drawing>
        </mc:Choice>
        <mc:Fallback>
          <w:pict>
            <v:rect id="shape_0" ID="文本框 41" path="m0,0l-2147483645,0l-2147483645,-2147483646l0,-2147483646xe" stroked="f" o:allowincell="f" style="position:absolute;margin-left:0pt;margin-top:0pt;width:143.95pt;height:143.95pt;mso-wrap-style:none;v-text-anchor:top;mso-position-horizontal:center;mso-position-horizontal-relative:margin">
              <v:fill o:detectmouseclick="t" on="false"/>
              <v:stroke color="#3465a4" joinstyle="round" endcap="flat"/>
              <v:textbox>
                <w:txbxContent>
                  <w:p>
                    <w:pPr>
                      <w:pStyle w:val="Footer"/>
                      <w:rPr/>
                    </w:pPr>
                    <w:r>
                      <w:rPr/>
                      <w:fldChar w:fldCharType="begin"/>
                    </w:r>
                    <w:r>
                      <w:rPr/>
                      <w:instrText xml:space="preserve"> PAGE </w:instrText>
                    </w:r>
                    <w:r>
                      <w:rPr/>
                      <w:fldChar w:fldCharType="separate"/>
                    </w:r>
                    <w:r>
                      <w:rPr/>
                      <w:t>0</w:t>
                    </w:r>
                    <w:r>
                      <w:rPr/>
                      <w:fldChar w:fldCharType="end"/>
                    </w:r>
                  </w:p>
                </w:txbxContent>
              </v:textbox>
              <w10:wrap type="none"/>
            </v:rect>
          </w:pict>
        </mc:Fallback>
      </mc:AlternateContent>
      <mc:AlternateContent>
        <mc:Choice Requires="wps">
          <w:drawing>
            <wp:anchor behindDoc="1" distT="0" distB="0" distL="0" distR="0" simplePos="0" locked="0" layoutInCell="0" allowOverlap="1" relativeHeight="18">
              <wp:simplePos x="0" y="0"/>
              <wp:positionH relativeFrom="margin">
                <wp:align>center</wp:align>
              </wp:positionH>
              <wp:positionV relativeFrom="paragraph">
                <wp:posOffset>635</wp:posOffset>
              </wp:positionV>
              <wp:extent cx="1828800" cy="1828800"/>
              <wp:effectExtent l="0" t="0" r="0" b="0"/>
              <wp:wrapNone/>
              <wp:docPr id="3" name="文本框 2"/>
              <a:graphic xmlns:a="http://schemas.openxmlformats.org/drawingml/2006/main">
                <a:graphicData uri="http://schemas.microsoft.com/office/word/2010/wordprocessingShape">
                  <wps:wsp>
                    <wps:cNvSpPr/>
                    <wps:spPr>
                      <a:xfrm>
                        <a:off x="0" y="0"/>
                        <a:ext cx="1828800" cy="1828800"/>
                      </a:xfrm>
                      <a:prstGeom prst="rect">
                        <a:avLst/>
                      </a:prstGeom>
                      <a:noFill/>
                      <a:ln w="0">
                        <a:noFill/>
                      </a:ln>
                    </wps:spPr>
                    <wps:style>
                      <a:lnRef idx="0"/>
                      <a:fillRef idx="0"/>
                      <a:effectRef idx="0"/>
                      <a:fontRef idx="minor"/>
                    </wps:style>
                    <wps:txbx>
                      <w:txbxContent>
                        <w:p>
                          <w:pPr>
                            <w:pStyle w:val="Footer"/>
                            <w:rPr/>
                          </w:pPr>
                          <w:r>
                            <w:rPr/>
                            <w:t>-</w:t>
                          </w:r>
                          <w:r>
                            <w:rPr/>
                            <w:fldChar w:fldCharType="begin"/>
                          </w:r>
                          <w:r>
                            <w:rPr/>
                            <w:instrText xml:space="preserve"> PAGE </w:instrText>
                          </w:r>
                          <w:r>
                            <w:rPr/>
                            <w:fldChar w:fldCharType="separate"/>
                          </w:r>
                          <w:r>
                            <w:rPr/>
                            <w:t>0</w:t>
                          </w:r>
                          <w:r>
                            <w:rPr/>
                            <w:fldChar w:fldCharType="end"/>
                          </w:r>
                          <w:r>
                            <w:rPr/>
                            <w:t>-</w:t>
                          </w:r>
                        </w:p>
                      </w:txbxContent>
                    </wps:txbx>
                    <wps:bodyPr lIns="0" rIns="0" tIns="0" bIns="0" anchor="t">
                      <a:spAutoFit/>
                    </wps:bodyPr>
                  </wps:wsp>
                </a:graphicData>
              </a:graphic>
            </wp:anchor>
          </w:drawing>
        </mc:Choice>
        <mc:Fallback>
          <w:pict>
            <v:rect id="shape_0" ID="文本框 2" path="m0,0l-2147483645,0l-2147483645,-2147483646l0,-2147483646xe" stroked="f" o:allowincell="f" style="position:absolute;margin-left:0pt;margin-top:0pt;width:143.95pt;height:143.95pt;mso-wrap-style:none;v-text-anchor:top;mso-position-horizontal:center;mso-position-horizontal-relative:margin">
              <v:fill o:detectmouseclick="t" on="false"/>
              <v:stroke color="#3465a4" joinstyle="round" endcap="flat"/>
              <v:textbox>
                <w:txbxContent>
                  <w:p>
                    <w:pPr>
                      <w:pStyle w:val="Footer"/>
                      <w:rPr/>
                    </w:pPr>
                    <w:r>
                      <w:rPr/>
                      <w:t>-</w:t>
                    </w:r>
                    <w:r>
                      <w:rPr/>
                      <w:fldChar w:fldCharType="begin"/>
                    </w:r>
                    <w:r>
                      <w:rPr/>
                      <w:instrText xml:space="preserve"> PAGE </w:instrText>
                    </w:r>
                    <w:r>
                      <w:rPr/>
                      <w:fldChar w:fldCharType="separate"/>
                    </w:r>
                    <w:r>
                      <w:rPr/>
                      <w:t>0</w:t>
                    </w:r>
                    <w:r>
                      <w:rPr/>
                      <w:fldChar w:fldCharType="end"/>
                    </w:r>
                    <w:r>
                      <w:rPr/>
                      <w:t>-</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firstLine="360"/>
      <w:jc w:val="both"/>
      <w:rPr/>
    </w:pPr>
    <w:r>
      <w:rPr/>
      <mc:AlternateContent>
        <mc:Choice Requires="wps">
          <w:drawing>
            <wp:anchor behindDoc="1" distT="0" distB="0" distL="0" distR="0" simplePos="0" locked="0" layoutInCell="0" allowOverlap="1" relativeHeight="15">
              <wp:simplePos x="0" y="0"/>
              <wp:positionH relativeFrom="margin">
                <wp:align>center</wp:align>
              </wp:positionH>
              <wp:positionV relativeFrom="paragraph">
                <wp:posOffset>635</wp:posOffset>
              </wp:positionV>
              <wp:extent cx="1828800" cy="130175"/>
              <wp:effectExtent l="0" t="0" r="0" b="0"/>
              <wp:wrapNone/>
              <wp:docPr id="5" name="文本框 40"/>
              <a:graphic xmlns:a="http://schemas.openxmlformats.org/drawingml/2006/main">
                <a:graphicData uri="http://schemas.microsoft.com/office/word/2010/wordprocessingShape">
                  <wps:wsp>
                    <wps:cNvSpPr/>
                    <wps:spPr>
                      <a:xfrm>
                        <a:off x="0" y="0"/>
                        <a:ext cx="1828800" cy="130320"/>
                      </a:xfrm>
                      <a:prstGeom prst="rect">
                        <a:avLst/>
                      </a:prstGeom>
                      <a:noFill/>
                      <a:ln w="0">
                        <a:noFill/>
                      </a:ln>
                    </wps:spPr>
                    <wps:style>
                      <a:lnRef idx="0"/>
                      <a:fillRef idx="0"/>
                      <a:effectRef idx="0"/>
                      <a:fontRef idx="minor"/>
                    </wps:style>
                    <wps:txbx>
                      <w:txbxContent>
                        <w:p>
                          <w:pPr>
                            <w:pStyle w:val="Footer"/>
                            <w:rPr/>
                          </w:pPr>
                          <w:r>
                            <w:rPr/>
                            <w:t>-</w:t>
                          </w:r>
                          <w:r>
                            <w:rPr/>
                            <w:fldChar w:fldCharType="begin"/>
                          </w:r>
                          <w:r>
                            <w:rPr/>
                            <w:instrText xml:space="preserve"> PAGE </w:instrText>
                          </w:r>
                          <w:r>
                            <w:rPr/>
                            <w:fldChar w:fldCharType="separate"/>
                          </w:r>
                          <w:r>
                            <w:rPr/>
                            <w:t>V</w:t>
                          </w:r>
                          <w:r>
                            <w:rPr/>
                            <w:fldChar w:fldCharType="end"/>
                          </w:r>
                          <w:r>
                            <w:rPr/>
                            <w:t>-</w:t>
                          </w:r>
                        </w:p>
                      </w:txbxContent>
                    </wps:txbx>
                    <wps:bodyPr lIns="0" rIns="0" tIns="0" bIns="0" anchor="t">
                      <a:spAutoFit/>
                    </wps:bodyPr>
                  </wps:wsp>
                </a:graphicData>
              </a:graphic>
            </wp:anchor>
          </w:drawing>
        </mc:Choice>
        <mc:Fallback>
          <w:pict>
            <v:rect id="shape_0" ID="文本框 40" path="m0,0l-2147483645,0l-2147483645,-2147483646l0,-2147483646xe" stroked="f" o:allowincell="f" style="position:absolute;margin-left:140.6pt;margin-top:0pt;width:143.95pt;height:10.2pt;mso-wrap-style:none;v-text-anchor:top;mso-position-horizontal:center;mso-position-horizontal-relative:margin">
              <v:fill o:detectmouseclick="t" on="false"/>
              <v:stroke color="#3465a4" joinstyle="round" endcap="flat"/>
              <v:textbox>
                <w:txbxContent>
                  <w:p>
                    <w:pPr>
                      <w:pStyle w:val="Footer"/>
                      <w:rPr/>
                    </w:pPr>
                    <w:r>
                      <w:rPr/>
                      <w:t>-</w:t>
                    </w:r>
                    <w:r>
                      <w:rPr/>
                      <w:fldChar w:fldCharType="begin"/>
                    </w:r>
                    <w:r>
                      <w:rPr/>
                      <w:instrText xml:space="preserve"> PAGE </w:instrText>
                    </w:r>
                    <w:r>
                      <w:rPr/>
                      <w:fldChar w:fldCharType="separate"/>
                    </w:r>
                    <w:r>
                      <w:rPr/>
                      <w:t>V</w:t>
                    </w:r>
                    <w:r>
                      <w:rPr/>
                      <w:fldChar w:fldCharType="end"/>
                    </w:r>
                    <w:r>
                      <w:rPr/>
                      <w:t>-</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firstLine="360"/>
      <w:jc w:val="both"/>
      <w:rPr/>
    </w:pPr>
    <w:r>
      <w:rPr/>
      <mc:AlternateContent>
        <mc:Choice Requires="wps">
          <w:drawing>
            <wp:anchor behindDoc="1" distT="0" distB="0" distL="0" distR="0" simplePos="0" locked="0" layoutInCell="0" allowOverlap="1" relativeHeight="15">
              <wp:simplePos x="0" y="0"/>
              <wp:positionH relativeFrom="margin">
                <wp:align>center</wp:align>
              </wp:positionH>
              <wp:positionV relativeFrom="paragraph">
                <wp:posOffset>635</wp:posOffset>
              </wp:positionV>
              <wp:extent cx="1828800" cy="130175"/>
              <wp:effectExtent l="0" t="0" r="0" b="0"/>
              <wp:wrapNone/>
              <wp:docPr id="7" name="文本框 40"/>
              <a:graphic xmlns:a="http://schemas.openxmlformats.org/drawingml/2006/main">
                <a:graphicData uri="http://schemas.microsoft.com/office/word/2010/wordprocessingShape">
                  <wps:wsp>
                    <wps:cNvSpPr/>
                    <wps:spPr>
                      <a:xfrm>
                        <a:off x="0" y="0"/>
                        <a:ext cx="1828800" cy="130320"/>
                      </a:xfrm>
                      <a:prstGeom prst="rect">
                        <a:avLst/>
                      </a:prstGeom>
                      <a:noFill/>
                      <a:ln w="0">
                        <a:noFill/>
                      </a:ln>
                    </wps:spPr>
                    <wps:style>
                      <a:lnRef idx="0"/>
                      <a:fillRef idx="0"/>
                      <a:effectRef idx="0"/>
                      <a:fontRef idx="minor"/>
                    </wps:style>
                    <wps:txbx>
                      <w:txbxContent>
                        <w:p>
                          <w:pPr>
                            <w:pStyle w:val="Footer"/>
                            <w:rPr/>
                          </w:pPr>
                          <w:r>
                            <w:rPr/>
                            <w:t>-</w:t>
                          </w:r>
                          <w:r>
                            <w:rPr/>
                            <w:fldChar w:fldCharType="begin"/>
                          </w:r>
                          <w:r>
                            <w:rPr/>
                            <w:instrText xml:space="preserve"> PAGE </w:instrText>
                          </w:r>
                          <w:r>
                            <w:rPr/>
                            <w:fldChar w:fldCharType="separate"/>
                          </w:r>
                          <w:r>
                            <w:rPr/>
                            <w:t>V</w:t>
                          </w:r>
                          <w:r>
                            <w:rPr/>
                            <w:fldChar w:fldCharType="end"/>
                          </w:r>
                          <w:r>
                            <w:rPr/>
                            <w:t>-</w:t>
                          </w:r>
                        </w:p>
                      </w:txbxContent>
                    </wps:txbx>
                    <wps:bodyPr lIns="0" rIns="0" tIns="0" bIns="0" anchor="t">
                      <a:spAutoFit/>
                    </wps:bodyPr>
                  </wps:wsp>
                </a:graphicData>
              </a:graphic>
            </wp:anchor>
          </w:drawing>
        </mc:Choice>
        <mc:Fallback>
          <w:pict>
            <v:rect id="shape_0" ID="文本框 40" path="m0,0l-2147483645,0l-2147483645,-2147483646l0,-2147483646xe" stroked="f" o:allowincell="f" style="position:absolute;margin-left:140.6pt;margin-top:0pt;width:143.95pt;height:10.2pt;mso-wrap-style:none;v-text-anchor:top;mso-position-horizontal:center;mso-position-horizontal-relative:margin">
              <v:fill o:detectmouseclick="t" on="false"/>
              <v:stroke color="#3465a4" joinstyle="round" endcap="flat"/>
              <v:textbox>
                <w:txbxContent>
                  <w:p>
                    <w:pPr>
                      <w:pStyle w:val="Footer"/>
                      <w:rPr/>
                    </w:pPr>
                    <w:r>
                      <w:rPr/>
                      <w:t>-</w:t>
                    </w:r>
                    <w:r>
                      <w:rPr/>
                      <w:fldChar w:fldCharType="begin"/>
                    </w:r>
                    <w:r>
                      <w:rPr/>
                      <w:instrText xml:space="preserve"> PAGE </w:instrText>
                    </w:r>
                    <w:r>
                      <w:rPr/>
                      <w:fldChar w:fldCharType="separate"/>
                    </w:r>
                    <w:r>
                      <w:rPr/>
                      <w:t>V</w:t>
                    </w:r>
                    <w:r>
                      <w:rPr/>
                      <w:fldChar w:fldCharType="end"/>
                    </w:r>
                    <w:r>
                      <w:rPr/>
                      <w:t>-</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firstLine="360"/>
      <w:jc w:val="both"/>
      <w:rPr/>
    </w:pPr>
    <w:r>
      <w:rPr/>
      <mc:AlternateContent>
        <mc:Choice Requires="wps">
          <w:drawing>
            <wp:anchor behindDoc="1" distT="0" distB="0" distL="0" distR="0" simplePos="0" locked="0" layoutInCell="0" allowOverlap="1" relativeHeight="91">
              <wp:simplePos x="0" y="0"/>
              <wp:positionH relativeFrom="margin">
                <wp:align>center</wp:align>
              </wp:positionH>
              <wp:positionV relativeFrom="paragraph">
                <wp:posOffset>635</wp:posOffset>
              </wp:positionV>
              <wp:extent cx="1828800" cy="130175"/>
              <wp:effectExtent l="0" t="0" r="0" b="0"/>
              <wp:wrapNone/>
              <wp:docPr id="14" name="文本框 47"/>
              <a:graphic xmlns:a="http://schemas.openxmlformats.org/drawingml/2006/main">
                <a:graphicData uri="http://schemas.microsoft.com/office/word/2010/wordprocessingShape">
                  <wps:wsp>
                    <wps:cNvSpPr/>
                    <wps:spPr>
                      <a:xfrm>
                        <a:off x="0" y="0"/>
                        <a:ext cx="1828800" cy="130320"/>
                      </a:xfrm>
                      <a:prstGeom prst="rect">
                        <a:avLst/>
                      </a:prstGeom>
                      <a:noFill/>
                      <a:ln w="0">
                        <a:noFill/>
                      </a:ln>
                    </wps:spPr>
                    <wps:style>
                      <a:lnRef idx="0"/>
                      <a:fillRef idx="0"/>
                      <a:effectRef idx="0"/>
                      <a:fontRef idx="minor"/>
                    </wps:style>
                    <wps:txbx>
                      <w:txbxContent>
                        <w:p>
                          <w:pPr>
                            <w:pStyle w:val="Footer"/>
                            <w:rPr/>
                          </w:pPr>
                          <w:r>
                            <w:rPr/>
                            <w:t>-</w:t>
                          </w:r>
                          <w:r>
                            <w:rPr/>
                            <w:fldChar w:fldCharType="begin"/>
                          </w:r>
                          <w:r>
                            <w:rPr/>
                            <w:instrText xml:space="preserve"> PAGE </w:instrText>
                          </w:r>
                          <w:r>
                            <w:rPr/>
                            <w:fldChar w:fldCharType="separate"/>
                          </w:r>
                          <w:r>
                            <w:rPr/>
                            <w:t>37</w:t>
                          </w:r>
                          <w:r>
                            <w:rPr/>
                            <w:fldChar w:fldCharType="end"/>
                          </w:r>
                          <w:r>
                            <w:rPr/>
                            <w:t>-</w:t>
                          </w:r>
                        </w:p>
                      </w:txbxContent>
                    </wps:txbx>
                    <wps:bodyPr lIns="0" rIns="0" tIns="0" bIns="0" anchor="t">
                      <a:spAutoFit/>
                    </wps:bodyPr>
                  </wps:wsp>
                </a:graphicData>
              </a:graphic>
            </wp:anchor>
          </w:drawing>
        </mc:Choice>
        <mc:Fallback>
          <w:pict>
            <v:rect id="shape_0" ID="文本框 47" path="m0,0l-2147483645,0l-2147483645,-2147483646l0,-2147483646xe" stroked="f" o:allowincell="f" style="position:absolute;margin-left:140.6pt;margin-top:0pt;width:143.95pt;height:10.2pt;mso-wrap-style:none;v-text-anchor:top;mso-position-horizontal:center;mso-position-horizontal-relative:margin">
              <v:fill o:detectmouseclick="t" on="false"/>
              <v:stroke color="#3465a4" joinstyle="round" endcap="flat"/>
              <v:textbox>
                <w:txbxContent>
                  <w:p>
                    <w:pPr>
                      <w:pStyle w:val="Footer"/>
                      <w:rPr/>
                    </w:pPr>
                    <w:r>
                      <w:rPr/>
                      <w:t>-</w:t>
                    </w:r>
                    <w:r>
                      <w:rPr/>
                      <w:fldChar w:fldCharType="begin"/>
                    </w:r>
                    <w:r>
                      <w:rPr/>
                      <w:instrText xml:space="preserve"> PAGE </w:instrText>
                    </w:r>
                    <w:r>
                      <w:rPr/>
                      <w:fldChar w:fldCharType="separate"/>
                    </w:r>
                    <w:r>
                      <w:rPr/>
                      <w:t>37</w:t>
                    </w:r>
                    <w:r>
                      <w:rPr/>
                      <w:fldChar w:fldCharType="end"/>
                    </w:r>
                    <w:r>
                      <w:rPr/>
                      <w:t>-</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thinThickSmallGap" w:sz="18" w:space="1" w:color="000000"/>
      </w:pBdr>
      <w:tabs>
        <w:tab w:val="clear" w:pos="4153"/>
        <w:tab w:val="clear" w:pos="8306"/>
        <w:tab w:val="left" w:pos="4320" w:leader="none"/>
        <w:tab w:val="right" w:pos="8880" w:leader="none"/>
      </w:tabs>
      <w:rPr/>
    </w:pPr>
    <w:r>
      <w:rPr/>
      <w:t>哈尔滨工业大学本科综合设计（论文）</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thinThickSmallGap" w:sz="18" w:space="1" w:color="000000"/>
      </w:pBdr>
      <w:tabs>
        <w:tab w:val="clear" w:pos="4153"/>
        <w:tab w:val="clear" w:pos="8306"/>
        <w:tab w:val="left" w:pos="4320" w:leader="none"/>
        <w:tab w:val="right" w:pos="8880" w:leader="none"/>
      </w:tabs>
      <w:rPr/>
    </w:pPr>
    <w:r>
      <w:rPr/>
      <w:t>哈尔滨工业大学本科综合设计（论文）</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第%1章"/>
      <w:lvlJc w:val="left"/>
      <w:pPr>
        <w:tabs>
          <w:tab w:val="num" w:pos="420"/>
        </w:tabs>
        <w:ind w:left="0" w:hanging="0"/>
      </w:pPr>
      <w:rPr>
        <w:sz w:val="36"/>
        <w:szCs w:val="36"/>
        <w:rFonts w:ascii="Times New Roman" w:hAnsi="Times New Roman" w:eastAsia="黑体" w:cs="黑体"/>
      </w:rPr>
    </w:lvl>
    <w:lvl w:ilvl="1">
      <w:start w:val="1"/>
      <w:numFmt w:val="decimal"/>
      <w:suff w:val="space"/>
      <w:lvlText w:val="%1.%2"/>
      <w:lvlJc w:val="left"/>
      <w:pPr>
        <w:tabs>
          <w:tab w:val="num" w:pos="0"/>
        </w:tabs>
        <w:ind w:left="0" w:hanging="0"/>
      </w:pPr>
      <w:rPr>
        <w:sz w:val="30"/>
        <w:szCs w:val="30"/>
        <w:rFonts w:eastAsia="黑体" w:cs="黑体"/>
      </w:rPr>
    </w:lvl>
    <w:lvl w:ilvl="2">
      <w:start w:val="1"/>
      <w:numFmt w:val="decimal"/>
      <w:suff w:val="space"/>
      <w:lvlText w:val="%1.%2.%3"/>
      <w:lvlJc w:val="left"/>
      <w:pPr>
        <w:tabs>
          <w:tab w:val="num" w:pos="0"/>
        </w:tabs>
        <w:ind w:left="0" w:hanging="0"/>
      </w:pPr>
      <w:rPr>
        <w:sz w:val="28"/>
        <w:szCs w:val="28"/>
        <w:rFonts w:eastAsia="黑体" w:cs="黑体"/>
      </w:rPr>
    </w:lvl>
    <w:lvl w:ilvl="3">
      <w:start w:val="1"/>
      <w:numFmt w:val="decimal"/>
      <w:suff w:val="space"/>
      <w:lvlText w:val="图%1-%4"/>
      <w:lvlJc w:val="left"/>
      <w:pPr>
        <w:tabs>
          <w:tab w:val="num" w:pos="0"/>
        </w:tabs>
        <w:ind w:left="0" w:hanging="0"/>
      </w:pPr>
      <w:rPr>
        <w:sz w:val="21"/>
        <w:szCs w:val="24"/>
        <w:rFonts w:ascii="Times New Roman" w:hAnsi="Times New Roman" w:eastAsia="宋体" w:cs="宋体"/>
      </w:rPr>
    </w:lvl>
    <w:lvl w:ilvl="4">
      <w:start w:val="1"/>
      <w:numFmt w:val="decimal"/>
      <w:suff w:val="space"/>
      <w:lvlText w:val="表%1-%5"/>
      <w:lvlJc w:val="left"/>
      <w:pPr>
        <w:tabs>
          <w:tab w:val="num" w:pos="0"/>
        </w:tabs>
        <w:ind w:left="0" w:hanging="0"/>
      </w:pPr>
      <w:rPr>
        <w:sz w:val="21"/>
        <w:szCs w:val="21"/>
      </w:rPr>
    </w:lvl>
    <w:lvl w:ilvl="5">
      <w:start w:val="1"/>
      <w:numFmt w:val="decimal"/>
      <w:lvlText w:val="%1.%2.%3.%4.%5.%6."/>
      <w:lvlJc w:val="left"/>
      <w:pPr>
        <w:tabs>
          <w:tab w:val="num" w:pos="0"/>
        </w:tabs>
        <w:ind w:left="1134" w:hanging="1134"/>
      </w:pPr>
      <w:rPr/>
    </w:lvl>
    <w:lvl w:ilvl="6">
      <w:start w:val="1"/>
      <w:numFmt w:val="decimal"/>
      <w:lvlText w:val="%1.%2.%3.%4.%5.%6.%7."/>
      <w:lvlJc w:val="left"/>
      <w:pPr>
        <w:tabs>
          <w:tab w:val="num" w:pos="0"/>
        </w:tabs>
        <w:ind w:left="1275" w:hanging="1275"/>
      </w:pPr>
      <w:rPr/>
    </w:lvl>
    <w:lvl w:ilvl="7">
      <w:start w:val="1"/>
      <w:numFmt w:val="decimal"/>
      <w:lvlText w:val="%1.%2.%3.%4.%5.%6.%7.%8."/>
      <w:lvlJc w:val="left"/>
      <w:pPr>
        <w:tabs>
          <w:tab w:val="num" w:pos="0"/>
        </w:tabs>
        <w:ind w:left="1418" w:hanging="1418"/>
      </w:pPr>
      <w:rPr/>
    </w:lvl>
    <w:lvl w:ilvl="8">
      <w:start w:val="1"/>
      <w:numFmt w:val="decimal"/>
      <w:lvlText w:val="%1.%2.%3.%4.%5.%6.%7.%8.%9."/>
      <w:lvlJc w:val="left"/>
      <w:pPr>
        <w:tabs>
          <w:tab w:val="num" w:pos="0"/>
        </w:tabs>
        <w:ind w:left="1558" w:hanging="1558"/>
      </w:pPr>
      <w:rPr/>
    </w:lvl>
  </w:abstractNum>
  <w:abstractNum w:abstractNumId="2">
    <w:lvl w:ilvl="0">
      <w:start w:val="1"/>
      <w:numFmt w:val="decimal"/>
      <w:lvlText w:val="[%1]"/>
      <w:lvlJc w:val="left"/>
      <w:pPr>
        <w:tabs>
          <w:tab w:val="num" w:pos="567"/>
        </w:tabs>
        <w:ind w:left="567" w:hanging="567"/>
      </w:pPr>
      <w:rPr>
        <w:sz w:val="24"/>
        <w:szCs w:val="24"/>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suff w:val="nothing"/>
      <w:lvlText w:val="%1．"/>
      <w:lvlJc w:val="left"/>
      <w:pPr>
        <w:tabs>
          <w:tab w:val="num" w:pos="0"/>
        </w:tabs>
        <w:ind w:left="0" w:firstLine="4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98"/>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0" w:semiHidden="0" w:unhideWhenUsed="0" w:qFormat="1"/>
    <w:lsdException w:name="toc 2" w:uiPriority="0" w:semiHidden="0" w:unhideWhenUsed="0" w:qFormat="1"/>
    <w:lsdException w:name="toc 3" w:uiPriority="0" w:semiHidden="0" w:unhideWhenUsed="0" w:qFormat="1"/>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99"/>
    <w:lsdException w:name="annotation text" w:uiPriority="99"/>
    <w:lsdException w:name="header" w:uiPriority="99" w:semiHidden="0" w:unhideWhenUsed="0" w:qFormat="1"/>
    <w:lsdException w:name="footer" w:uiPriority="0" w:semiHidden="0" w:unhideWhenUsed="0" w:qFormat="1"/>
    <w:lsdException w:name="index heading" w:uiPriority="99"/>
    <w:lsdException w:name="caption" w:uiPriority="0"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0" w:semiHidden="0" w:unhideWhenUsed="0"/>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0" w:semiHidden="0" w:unhideWhenUsed="0" w:qFormat="1"/>
    <w:lsdException w:name="Closing" w:uiPriority="99"/>
    <w:lsdException w:name="Signature" w:uiPriority="99"/>
    <w:lsdException w:name="Default Paragraph Font" w:uiPriority="1"/>
    <w:lsdException w:name="Body Text" w:uiPriority="0" w:semiHidden="0" w:unhideWhenUsed="0"/>
    <w:lsdException w:name="Body Text Indent" w:uiPriority="0" w:semiHidden="0" w:unhideWhenUsed="0"/>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0" w:semiHidden="0" w:unhideWhenUsed="0"/>
    <w:lsdException w:name="Body Text First Indent" w:uiPriority="0" w:semiHidden="0" w:unhideWhenUsed="0"/>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0" w:semiHidden="0" w:unhideWhenUsed="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0" w:semiHidden="0" w:unhideWhenUsed="0"/>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qFormat="1"/>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0" w:semiHidden="0" w:unhideWhenUsed="0"/>
    <w:lsdException w:name="Table Grid" w:uiPriority="59" w:semiHidden="0" w:unhideWhenUsed="0" w:qFormat="1"/>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bidi w:val="0"/>
      <w:spacing w:before="0" w:after="0"/>
      <w:jc w:val="both"/>
    </w:pPr>
    <w:rPr>
      <w:rFonts w:ascii="Times New Roman" w:hAnsi="Times New Roman" w:eastAsia="宋体" w:cs="Times New Roman"/>
      <w:color w:val="auto"/>
      <w:kern w:val="2"/>
      <w:sz w:val="24"/>
      <w:szCs w:val="24"/>
      <w:lang w:val="en-US" w:eastAsia="zh-CN" w:bidi="ar-SA"/>
    </w:rPr>
  </w:style>
  <w:style w:type="paragraph" w:styleId="Heading1">
    <w:name w:val="Heading 1"/>
    <w:basedOn w:val="Normal"/>
    <w:next w:val="Style12"/>
    <w:link w:val="1"/>
    <w:uiPriority w:val="0"/>
    <w:qFormat/>
    <w:pPr>
      <w:keepNext w:val="true"/>
      <w:keepLines/>
      <w:pageBreakBefore/>
      <w:numPr>
        <w:ilvl w:val="0"/>
        <w:numId w:val="1"/>
      </w:numPr>
      <w:snapToGrid w:val="false"/>
      <w:spacing w:lineRule="auto" w:line="300" w:before="100" w:after="80"/>
      <w:jc w:val="center"/>
      <w:outlineLvl w:val="0"/>
    </w:pPr>
    <w:rPr>
      <w:rFonts w:eastAsia="黑体"/>
      <w:spacing w:val="-4"/>
      <w:kern w:val="2"/>
      <w:sz w:val="36"/>
      <w:szCs w:val="36"/>
    </w:rPr>
  </w:style>
  <w:style w:type="paragraph" w:styleId="Heading2">
    <w:name w:val="Heading 2"/>
    <w:basedOn w:val="Normal"/>
    <w:next w:val="Normal"/>
    <w:uiPriority w:val="0"/>
    <w:qFormat/>
    <w:pPr>
      <w:keepNext w:val="true"/>
      <w:keepLines/>
      <w:snapToGrid w:val="false"/>
      <w:spacing w:lineRule="auto" w:line="300" w:before="156" w:after="156"/>
      <w:outlineLvl w:val="1"/>
    </w:pPr>
    <w:rPr>
      <w:rFonts w:eastAsia="黑体"/>
      <w:kern w:val="0"/>
      <w:sz w:val="30"/>
      <w:szCs w:val="32"/>
      <w:lang w:val="zh-CN"/>
    </w:rPr>
  </w:style>
  <w:style w:type="paragraph" w:styleId="Heading3">
    <w:name w:val="Heading 3"/>
    <w:basedOn w:val="Normal"/>
    <w:next w:val="Normal"/>
    <w:uiPriority w:val="0"/>
    <w:qFormat/>
    <w:pPr>
      <w:keepNext w:val="true"/>
      <w:keepLines/>
      <w:snapToGrid w:val="false"/>
      <w:spacing w:lineRule="auto" w:line="288" w:before="156" w:after="156"/>
      <w:outlineLvl w:val="2"/>
    </w:pPr>
    <w:rPr>
      <w:rFonts w:eastAsia="黑体"/>
      <w:kern w:val="0"/>
      <w:sz w:val="28"/>
      <w:szCs w:val="28"/>
      <w:lang w:val="zh-CN"/>
    </w:rPr>
  </w:style>
  <w:style w:type="paragraph" w:styleId="Heading4">
    <w:name w:val="Heading 4"/>
    <w:basedOn w:val="Normal"/>
    <w:next w:val="Normal"/>
    <w:uiPriority w:val="0"/>
    <w:qFormat/>
    <w:pPr>
      <w:keepNext w:val="true"/>
      <w:jc w:val="right"/>
      <w:outlineLvl w:val="3"/>
    </w:pPr>
    <w:rPr>
      <w:sz w:val="32"/>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rPr>
  </w:style>
  <w:style w:type="character" w:styleId="InternetLink">
    <w:name w:val="Hyperlink"/>
    <w:basedOn w:val="DefaultParagraphFont"/>
    <w:uiPriority w:val="0"/>
    <w:qFormat/>
    <w:rPr>
      <w:color w:val="0000FF"/>
      <w:u w:val="single"/>
    </w:rPr>
  </w:style>
  <w:style w:type="character" w:styleId="HTMLCode">
    <w:name w:val="HTML Code"/>
    <w:basedOn w:val="DefaultParagraphFont"/>
    <w:uiPriority w:val="99"/>
    <w:semiHidden/>
    <w:unhideWhenUsed/>
    <w:qFormat/>
    <w:rPr>
      <w:rFonts w:ascii="Courier New" w:hAnsi="Courier New"/>
      <w:sz w:val="20"/>
    </w:rPr>
  </w:style>
  <w:style w:type="character" w:styleId="Char" w:customStyle="1">
    <w:name w:val="条标题 Char"/>
    <w:link w:val="231"/>
    <w:uiPriority w:val="0"/>
    <w:qFormat/>
    <w:rPr>
      <w:rFonts w:ascii="Times New Roman" w:hAnsi="Times New Roman" w:eastAsia="黑体"/>
      <w:kern w:val="0"/>
      <w:sz w:val="28"/>
      <w:szCs w:val="28"/>
      <w:lang w:val="zh-CN"/>
    </w:rPr>
  </w:style>
  <w:style w:type="character" w:styleId="Char1" w:customStyle="1">
    <w:name w:val="论文正文 Char"/>
    <w:link w:val="Style12"/>
    <w:uiPriority w:val="0"/>
    <w:qFormat/>
    <w:rPr>
      <w:rFonts w:ascii="Times New Roman" w:hAnsi="Times New Roman" w:eastAsia="宋体"/>
    </w:rPr>
  </w:style>
  <w:style w:type="character" w:styleId="Char2" w:customStyle="1">
    <w:name w:val="关键词 Char"/>
    <w:link w:val="Style13"/>
    <w:uiPriority w:val="0"/>
    <w:qFormat/>
    <w:rPr>
      <w:rFonts w:ascii="Times New Roman" w:hAnsi="Times New Roman" w:eastAsia="黑体"/>
    </w:rPr>
  </w:style>
  <w:style w:type="character" w:styleId="1" w:customStyle="1">
    <w:name w:val="标题 1 字符"/>
    <w:link w:val="Heading1"/>
    <w:uiPriority w:val="0"/>
    <w:qFormat/>
    <w:rPr>
      <w:rFonts w:ascii="Times New Roman" w:hAnsi="Times New Roman" w:eastAsia="黑体"/>
      <w:spacing w:val="-4"/>
      <w:kern w:val="2"/>
      <w:sz w:val="36"/>
      <w:szCs w:val="36"/>
    </w:rPr>
  </w:style>
  <w:style w:type="character" w:styleId="Char3" w:customStyle="1">
    <w:name w:val="特殊标题 Char"/>
    <w:link w:val="Style19"/>
    <w:uiPriority w:val="0"/>
    <w:qFormat/>
    <w:rPr>
      <w:rFonts w:ascii="Times New Roman" w:hAnsi="Times New Roman" w:eastAsia="黑体"/>
      <w:spacing w:val="-4"/>
      <w:kern w:val="2"/>
      <w:sz w:val="36"/>
      <w:szCs w:val="36"/>
    </w:rPr>
  </w:style>
  <w:style w:type="character" w:styleId="Char4" w:customStyle="1">
    <w:name w:val="说明文字 Char"/>
    <w:link w:val="Style20"/>
    <w:uiPriority w:val="0"/>
    <w:qFormat/>
    <w:rPr>
      <w:rFonts w:ascii="Times New Roman" w:hAnsi="Times New Roman" w:eastAsia="宋体"/>
      <w:bCs/>
      <w:color w:val="FF0000"/>
    </w:rPr>
  </w:style>
  <w:style w:type="character" w:styleId="Char5" w:customStyle="1">
    <w:name w:val="英文正文 Char"/>
    <w:link w:val="Style21"/>
    <w:uiPriority w:val="0"/>
    <w:qFormat/>
    <w:rPr>
      <w:rFonts w:ascii="Times New Roman" w:hAnsi="Times New Roman" w:eastAsia="宋体"/>
    </w:rPr>
  </w:style>
  <w:style w:type="character" w:styleId="Char6" w:customStyle="1">
    <w:name w:val="目录标题 Char"/>
    <w:link w:val="Style18"/>
    <w:uiPriority w:val="0"/>
    <w:qFormat/>
    <w:rPr>
      <w:rFonts w:ascii="Times New Roman" w:hAnsi="Times New Roman" w:eastAsia="黑体" w:cs="黑体"/>
      <w:sz w:val="36"/>
      <w:szCs w:val="36"/>
    </w:rPr>
  </w:style>
  <w:style w:type="character" w:styleId="Char7" w:customStyle="1">
    <w:name w:val="公式题注 Char"/>
    <w:link w:val="Style14"/>
    <w:uiPriority w:val="0"/>
    <w:qFormat/>
    <w:rPr>
      <w:rFonts w:ascii="Times New Roman" w:hAnsi="Times New Roman" w:eastAsia="宋体"/>
      <w:szCs w:val="21"/>
    </w:rPr>
  </w:style>
  <w:style w:type="character" w:styleId="Style10" w:customStyle="1">
    <w:name w:val="页眉 字符"/>
    <w:link w:val="Header"/>
    <w:uiPriority w:val="99"/>
    <w:qFormat/>
    <w:rPr>
      <w:kern w:val="2"/>
      <w:sz w:val="18"/>
      <w:szCs w:val="18"/>
    </w:rPr>
  </w:style>
  <w:style w:type="character" w:styleId="Style11" w:customStyle="1">
    <w:name w:val="普通(网站) 字符"/>
    <w:link w:val="NormalWeb"/>
    <w:uiPriority w:val="99"/>
    <w:qFormat/>
    <w:rPr>
      <w:kern w:val="0"/>
      <w:sz w:val="24"/>
      <w:lang w:val="en-US" w:eastAsia="zh-CN" w:bidi="ar-SA"/>
    </w:rPr>
  </w:style>
  <w:style w:type="character" w:styleId="Char8" w:customStyle="1">
    <w:name w:val="图题 Char"/>
    <w:link w:val="Style23"/>
    <w:uiPriority w:val="0"/>
    <w:qFormat/>
    <w:rPr>
      <w:rFonts w:ascii="Times New Roman" w:hAnsi="Times New Roman"/>
      <w:sz w:val="21"/>
      <w:szCs w:val="21"/>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2" w:customStyle="1">
    <w:name w:val="论文正文-首行缩进"/>
    <w:basedOn w:val="Normal"/>
    <w:link w:val="Char1"/>
    <w:uiPriority w:val="0"/>
    <w:qFormat/>
    <w:pPr>
      <w:snapToGrid w:val="false"/>
      <w:spacing w:lineRule="auto" w:line="300"/>
      <w:ind w:firstLine="498"/>
    </w:pPr>
    <w:rPr/>
  </w:style>
  <w:style w:type="paragraph" w:styleId="Contents3">
    <w:name w:val="TOC 3"/>
    <w:basedOn w:val="Normal"/>
    <w:next w:val="Normal"/>
    <w:uiPriority w:val="0"/>
    <w:qFormat/>
    <w:pPr>
      <w:tabs>
        <w:tab w:val="clear" w:pos="498"/>
        <w:tab w:val="right" w:pos="8494" w:leader="dot"/>
      </w:tabs>
      <w:snapToGrid w:val="false"/>
      <w:spacing w:lineRule="auto" w:line="288"/>
      <w:ind w:left="480" w:hanging="0"/>
      <w:jc w:val="left"/>
    </w:pPr>
    <w:rPr>
      <w:iCs/>
      <w:color w:val="000000"/>
    </w:rPr>
  </w:style>
  <w:style w:type="paragraph" w:styleId="HeaderandFooter">
    <w:name w:val="Header and Footer"/>
    <w:basedOn w:val="Normal"/>
    <w:qFormat/>
    <w:pPr/>
    <w:rPr/>
  </w:style>
  <w:style w:type="paragraph" w:styleId="Footer">
    <w:name w:val="Footer"/>
    <w:basedOn w:val="Normal"/>
    <w:uiPriority w:val="0"/>
    <w:qFormat/>
    <w:pPr>
      <w:tabs>
        <w:tab w:val="clear" w:pos="498"/>
        <w:tab w:val="center" w:pos="4153" w:leader="none"/>
        <w:tab w:val="right" w:pos="8306" w:leader="none"/>
      </w:tabs>
      <w:snapToGrid w:val="false"/>
      <w:jc w:val="left"/>
    </w:pPr>
    <w:rPr>
      <w:sz w:val="18"/>
      <w:szCs w:val="18"/>
    </w:rPr>
  </w:style>
  <w:style w:type="paragraph" w:styleId="Header">
    <w:name w:val="Header"/>
    <w:basedOn w:val="Normal"/>
    <w:link w:val="Style10"/>
    <w:uiPriority w:val="99"/>
    <w:qFormat/>
    <w:pPr>
      <w:pBdr>
        <w:bottom w:val="single" w:sz="6" w:space="1" w:color="000000"/>
      </w:pBdr>
      <w:tabs>
        <w:tab w:val="clear" w:pos="498"/>
        <w:tab w:val="center" w:pos="4153" w:leader="none"/>
        <w:tab w:val="right" w:pos="8306" w:leader="none"/>
      </w:tabs>
      <w:snapToGrid w:val="false"/>
      <w:jc w:val="center"/>
    </w:pPr>
    <w:rPr>
      <w:sz w:val="18"/>
      <w:szCs w:val="18"/>
    </w:rPr>
  </w:style>
  <w:style w:type="paragraph" w:styleId="Contents1">
    <w:name w:val="TOC 1"/>
    <w:basedOn w:val="Normal"/>
    <w:next w:val="Normal"/>
    <w:uiPriority w:val="0"/>
    <w:qFormat/>
    <w:pPr>
      <w:tabs>
        <w:tab w:val="clear" w:pos="498"/>
        <w:tab w:val="right" w:pos="8494" w:leader="dot"/>
      </w:tabs>
      <w:snapToGrid w:val="false"/>
      <w:spacing w:lineRule="auto" w:line="300"/>
      <w:jc w:val="left"/>
    </w:pPr>
    <w:rPr>
      <w:rFonts w:eastAsia="黑体"/>
      <w:bCs/>
      <w:caps/>
    </w:rPr>
  </w:style>
  <w:style w:type="paragraph" w:styleId="Contents2">
    <w:name w:val="TOC 2"/>
    <w:basedOn w:val="Normal"/>
    <w:next w:val="Normal"/>
    <w:uiPriority w:val="0"/>
    <w:qFormat/>
    <w:pPr>
      <w:ind w:left="240" w:hanging="0"/>
      <w:jc w:val="left"/>
    </w:pPr>
    <w:rPr>
      <w:smallCaps/>
      <w:szCs w:val="20"/>
    </w:rPr>
  </w:style>
  <w:style w:type="paragraph" w:styleId="NormalWeb">
    <w:name w:val="Normal (Web)"/>
    <w:basedOn w:val="Normal"/>
    <w:link w:val="Style11"/>
    <w:uiPriority w:val="99"/>
    <w:semiHidden/>
    <w:unhideWhenUsed/>
    <w:qFormat/>
    <w:pPr>
      <w:spacing w:beforeAutospacing="1" w:afterAutospacing="1"/>
      <w:jc w:val="left"/>
    </w:pPr>
    <w:rPr>
      <w:kern w:val="0"/>
    </w:rPr>
  </w:style>
  <w:style w:type="paragraph" w:styleId="Title">
    <w:name w:val="Title"/>
    <w:uiPriority w:val="0"/>
    <w:qFormat/>
    <w:pPr>
      <w:keepLines/>
      <w:pageBreakBefore/>
      <w:widowControl w:val="false"/>
      <w:bidi w:val="0"/>
      <w:spacing w:before="240" w:after="120"/>
      <w:jc w:val="center"/>
      <w:outlineLvl w:val="0"/>
    </w:pPr>
    <w:rPr>
      <w:rFonts w:ascii="Times New Roman" w:hAnsi="Times New Roman" w:eastAsia="黑体" w:cs="Times New Roman"/>
      <w:b/>
      <w:color w:val="auto"/>
      <w:kern w:val="2"/>
      <w:sz w:val="36"/>
      <w:szCs w:val="20"/>
      <w:lang w:val="en-US" w:eastAsia="zh-CN" w:bidi="ar-SA"/>
    </w:rPr>
  </w:style>
  <w:style w:type="paragraph" w:styleId="231" w:customStyle="1">
    <w:name w:val="二级节标题2.3.1"/>
    <w:basedOn w:val="Normal"/>
    <w:next w:val="Style12"/>
    <w:link w:val="Char"/>
    <w:uiPriority w:val="0"/>
    <w:qFormat/>
    <w:pPr>
      <w:keepNext w:val="true"/>
      <w:keepLines/>
      <w:numPr>
        <w:ilvl w:val="2"/>
        <w:numId w:val="1"/>
      </w:numPr>
      <w:snapToGrid w:val="false"/>
      <w:spacing w:lineRule="auto" w:line="300" w:before="50" w:after="50"/>
      <w:outlineLvl w:val="2"/>
    </w:pPr>
    <w:rPr>
      <w:rFonts w:eastAsia="黑体"/>
      <w:kern w:val="0"/>
      <w:sz w:val="28"/>
      <w:szCs w:val="28"/>
      <w:lang w:val="zh-CN"/>
    </w:rPr>
  </w:style>
  <w:style w:type="paragraph" w:styleId="Style13" w:customStyle="1">
    <w:name w:val="关键词"/>
    <w:basedOn w:val="Normal"/>
    <w:next w:val="Style12"/>
    <w:link w:val="Char2"/>
    <w:uiPriority w:val="0"/>
    <w:qFormat/>
    <w:pPr>
      <w:snapToGrid w:val="false"/>
      <w:spacing w:lineRule="auto" w:line="300"/>
    </w:pPr>
    <w:rPr>
      <w:rFonts w:eastAsia="黑体"/>
    </w:rPr>
  </w:style>
  <w:style w:type="paragraph" w:styleId="Style14" w:customStyle="1">
    <w:name w:val="公式题注"/>
    <w:basedOn w:val="Normal"/>
    <w:link w:val="Char7"/>
    <w:uiPriority w:val="0"/>
    <w:qFormat/>
    <w:pPr>
      <w:snapToGrid w:val="false"/>
      <w:spacing w:lineRule="auto" w:line="300"/>
      <w:jc w:val="right"/>
      <w:textAlignment w:val="center"/>
    </w:pPr>
    <w:rPr>
      <w:szCs w:val="21"/>
    </w:rPr>
  </w:style>
  <w:style w:type="paragraph" w:styleId="Style15" w:customStyle="1">
    <w:name w:val="表题注"/>
    <w:basedOn w:val="Normal"/>
    <w:next w:val="Style12"/>
    <w:uiPriority w:val="0"/>
    <w:qFormat/>
    <w:pPr>
      <w:numPr>
        <w:ilvl w:val="4"/>
        <w:numId w:val="1"/>
      </w:numPr>
      <w:snapToGrid w:val="false"/>
      <w:spacing w:before="50" w:after="0"/>
      <w:jc w:val="center"/>
    </w:pPr>
    <w:rPr>
      <w:sz w:val="21"/>
      <w:szCs w:val="21"/>
    </w:rPr>
  </w:style>
  <w:style w:type="paragraph" w:styleId="Style16" w:customStyle="1">
    <w:name w:val="表正文"/>
    <w:basedOn w:val="Normal"/>
    <w:uiPriority w:val="0"/>
    <w:qFormat/>
    <w:pPr>
      <w:snapToGrid w:val="false"/>
      <w:spacing w:before="25" w:after="25"/>
      <w:jc w:val="center"/>
    </w:pPr>
    <w:rPr>
      <w:sz w:val="21"/>
      <w:szCs w:val="21"/>
    </w:rPr>
  </w:style>
  <w:style w:type="paragraph" w:styleId="Style17" w:customStyle="1">
    <w:name w:val="参考文献"/>
    <w:basedOn w:val="Normal"/>
    <w:uiPriority w:val="0"/>
    <w:qFormat/>
    <w:pPr>
      <w:numPr>
        <w:ilvl w:val="0"/>
        <w:numId w:val="2"/>
      </w:numPr>
      <w:snapToGrid w:val="false"/>
      <w:spacing w:lineRule="auto" w:line="300"/>
    </w:pPr>
    <w:rPr/>
  </w:style>
  <w:style w:type="paragraph" w:styleId="Style18" w:customStyle="1">
    <w:name w:val="目录标题"/>
    <w:basedOn w:val="Normal"/>
    <w:next w:val="Style12"/>
    <w:link w:val="Char6"/>
    <w:uiPriority w:val="0"/>
    <w:qFormat/>
    <w:pPr>
      <w:keepNext w:val="true"/>
      <w:pageBreakBefore/>
      <w:snapToGrid w:val="false"/>
      <w:spacing w:lineRule="auto" w:line="300" w:before="100" w:after="80"/>
      <w:jc w:val="center"/>
    </w:pPr>
    <w:rPr>
      <w:rFonts w:eastAsia="黑体" w:cs="黑体"/>
      <w:sz w:val="36"/>
      <w:szCs w:val="36"/>
    </w:rPr>
  </w:style>
  <w:style w:type="paragraph" w:styleId="Style19" w:customStyle="1">
    <w:name w:val="非章节标题-摘要结论参考文献"/>
    <w:basedOn w:val="Title"/>
    <w:next w:val="Style12"/>
    <w:link w:val="Char3"/>
    <w:uiPriority w:val="0"/>
    <w:qFormat/>
    <w:pPr>
      <w:keepNext w:val="true"/>
      <w:snapToGrid w:val="false"/>
      <w:spacing w:lineRule="auto" w:line="300" w:before="100" w:after="80"/>
    </w:pPr>
    <w:rPr>
      <w:b w:val="false"/>
      <w:spacing w:val="-4"/>
      <w:kern w:val="2"/>
      <w:szCs w:val="36"/>
    </w:rPr>
  </w:style>
  <w:style w:type="paragraph" w:styleId="Style20" w:customStyle="1">
    <w:name w:val="说明文字"/>
    <w:basedOn w:val="Normal"/>
    <w:link w:val="Char4"/>
    <w:uiPriority w:val="0"/>
    <w:qFormat/>
    <w:pPr>
      <w:tabs>
        <w:tab w:val="clear" w:pos="498"/>
        <w:tab w:val="left" w:pos="567" w:leader="none"/>
      </w:tabs>
      <w:snapToGrid w:val="false"/>
      <w:spacing w:lineRule="auto" w:line="300"/>
    </w:pPr>
    <w:rPr>
      <w:bCs/>
      <w:color w:val="FF0000"/>
    </w:rPr>
  </w:style>
  <w:style w:type="paragraph" w:styleId="Style21" w:customStyle="1">
    <w:name w:val="英文正文"/>
    <w:basedOn w:val="Normal"/>
    <w:link w:val="Char5"/>
    <w:uiPriority w:val="0"/>
    <w:qFormat/>
    <w:pPr>
      <w:tabs>
        <w:tab w:val="clear" w:pos="498"/>
        <w:tab w:val="left" w:pos="420" w:leader="none"/>
      </w:tabs>
      <w:snapToGrid w:val="false"/>
      <w:spacing w:lineRule="auto" w:line="300"/>
      <w:ind w:firstLine="902"/>
    </w:pPr>
    <w:rPr/>
  </w:style>
  <w:style w:type="paragraph" w:styleId="23" w:customStyle="1">
    <w:name w:val="一级节标题2.3"/>
    <w:basedOn w:val="Normal"/>
    <w:next w:val="Style12"/>
    <w:uiPriority w:val="0"/>
    <w:qFormat/>
    <w:pPr>
      <w:numPr>
        <w:ilvl w:val="1"/>
        <w:numId w:val="1"/>
      </w:numPr>
      <w:tabs>
        <w:tab w:val="clear" w:pos="498"/>
        <w:tab w:val="left" w:pos="0" w:leader="none"/>
      </w:tabs>
      <w:snapToGrid w:val="false"/>
      <w:spacing w:lineRule="auto" w:line="300" w:before="50" w:after="50"/>
    </w:pPr>
    <w:rPr>
      <w:rFonts w:eastAsia="黑体"/>
      <w:sz w:val="30"/>
    </w:rPr>
  </w:style>
  <w:style w:type="paragraph" w:styleId="Style22" w:customStyle="1">
    <w:name w:val="子图题"/>
    <w:basedOn w:val="Normal"/>
    <w:next w:val="Style23"/>
    <w:uiPriority w:val="0"/>
    <w:qFormat/>
    <w:pPr>
      <w:snapToGrid w:val="false"/>
      <w:spacing w:before="0" w:after="50"/>
      <w:jc w:val="center"/>
    </w:pPr>
    <w:rPr>
      <w:sz w:val="21"/>
      <w:szCs w:val="21"/>
    </w:rPr>
  </w:style>
  <w:style w:type="paragraph" w:styleId="Style23" w:customStyle="1">
    <w:name w:val="图题"/>
    <w:basedOn w:val="Normal"/>
    <w:next w:val="Style12"/>
    <w:link w:val="Char8"/>
    <w:uiPriority w:val="0"/>
    <w:qFormat/>
    <w:pPr>
      <w:numPr>
        <w:ilvl w:val="3"/>
        <w:numId w:val="1"/>
      </w:numPr>
      <w:snapToGrid w:val="false"/>
      <w:spacing w:before="0" w:after="50"/>
      <w:jc w:val="center"/>
    </w:pPr>
    <w:rPr>
      <w:sz w:val="21"/>
      <w:szCs w:val="21"/>
    </w:rPr>
  </w:style>
  <w:style w:type="paragraph" w:styleId="Style24" w:customStyle="1">
    <w:name w:val="续图题"/>
    <w:basedOn w:val="Normal"/>
    <w:next w:val="Style12"/>
    <w:uiPriority w:val="0"/>
    <w:qFormat/>
    <w:pPr>
      <w:tabs>
        <w:tab w:val="clear" w:pos="498"/>
        <w:tab w:val="left" w:pos="0" w:leader="none"/>
      </w:tabs>
      <w:snapToGrid w:val="false"/>
      <w:spacing w:before="0" w:after="50"/>
      <w:jc w:val="center"/>
    </w:pPr>
    <w:rPr>
      <w:sz w:val="21"/>
      <w:szCs w:val="21"/>
    </w:rPr>
  </w:style>
  <w:style w:type="paragraph" w:styleId="Style25" w:customStyle="1">
    <w:name w:val="续表题注"/>
    <w:basedOn w:val="Normal"/>
    <w:next w:val="Style16"/>
    <w:uiPriority w:val="0"/>
    <w:qFormat/>
    <w:pPr>
      <w:snapToGrid w:val="false"/>
      <w:spacing w:before="50" w:after="0"/>
      <w:ind w:left="992" w:hanging="992"/>
      <w:jc w:val="right"/>
    </w:pPr>
    <w:rPr>
      <w:sz w:val="21"/>
      <w:szCs w:val="21"/>
    </w:rPr>
  </w:style>
  <w:style w:type="paragraph" w:styleId="FrameContents">
    <w:name w:val="Frame Contents"/>
    <w:basedOn w:val="Normal"/>
    <w:qFormat/>
    <w:pPr/>
    <w:rPr/>
  </w:style>
  <w:style w:type="table" w:default="1" w:styleId="14">
    <w:name w:val="Normal Table"/>
    <w:uiPriority w:val="99"/>
    <w:semiHidden/>
    <w:unhideWhenUsed/>
    <w:tblPr>
      <w:tblCellMar>
        <w:top w:w="0" w:type="dxa"/>
        <w:left w:w="108" w:type="dxa"/>
        <w:bottom w:w="0" w:type="dxa"/>
        <w:right w:w="108" w:type="dxa"/>
      </w:tblCellMar>
    </w:tblPr>
  </w:style>
  <w:style w:type="table" w:styleId="15">
    <w:name w:val="Table Grid"/>
    <w:basedOn w:val="14"/>
    <w:uiPriority w:val="59"/>
    <w:qFormat/>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yperlink" Target="mailto:Acc@0.5" TargetMode="External"/><Relationship Id="rId7" Type="http://schemas.openxmlformats.org/officeDocument/2006/relationships/hyperlink" Target="mailto:mAP@0.5" TargetMode="External"/><Relationship Id="rId8" Type="http://schemas.openxmlformats.org/officeDocument/2006/relationships/hyperlink" Target="mailto:Acc@0.5" TargetMode="External"/><Relationship Id="rId9" Type="http://schemas.openxmlformats.org/officeDocument/2006/relationships/hyperlink" Target="mailto:Acc@0.5" TargetMode="External"/><Relationship Id="rId10" Type="http://schemas.openxmlformats.org/officeDocument/2006/relationships/hyperlink" Target="mailto:mAP@0.5" TargetMode="External"/><Relationship Id="rId11" Type="http://schemas.openxmlformats.org/officeDocument/2006/relationships/hyperlink" Target="mailto:Acc@0.5" TargetMode="External"/><Relationship Id="rId12" Type="http://schemas.openxmlformats.org/officeDocument/2006/relationships/header" Target="head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hyperlink" Target="mailto:Acc@0.5" TargetMode="External"/><Relationship Id="rId20" Type="http://schemas.openxmlformats.org/officeDocument/2006/relationships/hyperlink" Target="mailto:Acc@0.5" TargetMode="External"/><Relationship Id="rId21" Type="http://schemas.openxmlformats.org/officeDocument/2006/relationships/hyperlink" Target="mailto:TP@0.5" TargetMode="External"/><Relationship Id="rId22" Type="http://schemas.openxmlformats.org/officeDocument/2006/relationships/hyperlink" Target="mailto:mAP@0.5" TargetMode="External"/><Relationship Id="rId23" Type="http://schemas.openxmlformats.org/officeDocument/2006/relationships/hyperlink" Target="mailto:mAP@0.5" TargetMode="External"/><Relationship Id="rId24" Type="http://schemas.openxmlformats.org/officeDocument/2006/relationships/hyperlink" Target="mailto:mAP@0.5" TargetMode="External"/><Relationship Id="rId25" Type="http://schemas.openxmlformats.org/officeDocument/2006/relationships/hyperlink" Target="mailto:Acc@0.5" TargetMode="External"/><Relationship Id="rId26" Type="http://schemas.openxmlformats.org/officeDocument/2006/relationships/image" Target="media/image4.jpeg"/><Relationship Id="rId27" Type="http://schemas.openxmlformats.org/officeDocument/2006/relationships/image" Target="media/image4.jpeg"/><Relationship Id="rId28" Type="http://schemas.openxmlformats.org/officeDocument/2006/relationships/header" Target="header3.xml"/><Relationship Id="rId29" Type="http://schemas.openxmlformats.org/officeDocument/2006/relationships/footer" Target="footer7.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customXml" Target="../customXml/item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毕设论文.dotx</Template>
  <TotalTime>7</TotalTime>
  <Application>LibreOffice/7.3.7.2$Linux_X86_64 LibreOffice_project/30$Build-2</Application>
  <AppVersion>15.0000</AppVersion>
  <Pages>47</Pages>
  <Words>23702</Words>
  <Characters>32693</Characters>
  <CharactersWithSpaces>34577</CharactersWithSpaces>
  <Paragraphs>561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2026-08-26T07:54:00Z</dcterms:created>
  <dc:creator>王哲</dc:creator>
  <dc:description/>
  <dc:language>en-US</dc:language>
  <cp:lastModifiedBy/>
  <dcterms:modified xsi:type="dcterms:W3CDTF">2026-09-14T20:15:41Z</dcterms:modified>
  <cp:revision>89</cp:revision>
  <dc:subject/>
  <dc:title>第1章绪论</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A560C8B976F24E1EB361C382AD300F99_11</vt:lpwstr>
  </property>
  <property fmtid="{D5CDD505-2E9C-101B-9397-08002B2CF9AE}" pid="3" name="KSOProductBuildVer">
    <vt:lpwstr>2052-12.1.0.28505</vt:lpwstr>
  </property>
  <property fmtid="{D5CDD505-2E9C-101B-9397-08002B2CF9AE}" pid="4" name="KSOTemplateDocerSaveRecord">
    <vt:lpwstr>eyJoZGlkIjoiYTUxZDI4NzRjMjJlMTBlNmM5Y2ViMTNiODI1M2NiMTUiLCJ1c2VySWQiOiIxODA2MTQyMTIzIn0=</vt:lpwstr>
  </property>
  <property fmtid="{D5CDD505-2E9C-101B-9397-08002B2CF9AE}" pid="5" name="MTWinEqns">
    <vt:bool>1</vt:bool>
  </property>
</Properties>
</file>