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RL_loop 与 Exp38 排序器补充实验计划</w:t>
      </w:r>
    </w:p>
    <w:p>
      <w:pPr>
        <w:jc w:val="center"/>
      </w:pPr>
      <w:r>
        <w:rPr>
          <w:rFonts w:ascii="Microsoft YaHei" w:hAnsi="Microsoft YaHei"/>
          <w:color w:val="566273"/>
          <w:sz w:val="22"/>
        </w:rPr>
        <w:t>目标：用最少但最有说服力的实验，证明候选覆盖、动作选择和候选排序分别带来的收益</w:t>
      </w:r>
    </w:p>
    <w:p>
      <w:pPr>
        <w:pStyle w:val="Heading1"/>
      </w:pPr>
      <w:r>
        <w:t>一、实验总目标</w:t>
      </w:r>
    </w:p>
    <w:p>
      <w:r>
        <w:t>本部分实验不再只回答“最终指标是多少”，而要拆开验证三个问题：</w:t>
      </w:r>
    </w:p>
    <w:p>
      <w:pPr>
        <w:pStyle w:val="ListBullet"/>
        <w:spacing w:after="40"/>
      </w:pPr>
      <w:r>
        <w:rPr>
          <w:rFonts w:ascii="Microsoft YaHei" w:hAnsi="Microsoft YaHei"/>
          <w:sz w:val="21"/>
        </w:rPr>
        <w:t>Qwen 生成的 prompt 是否真的提高了候选覆盖，尤其是小目标和易混类别？</w:t>
      </w:r>
    </w:p>
    <w:p>
      <w:pPr>
        <w:pStyle w:val="ListBullet"/>
        <w:spacing w:after="40"/>
      </w:pPr>
      <w:r>
        <w:rPr>
          <w:rFonts w:ascii="Microsoft YaHei" w:hAnsi="Microsoft YaHei"/>
          <w:sz w:val="21"/>
        </w:rPr>
        <w:t>RL_loop 是否比固定扩充或随机扩充更会选择下一步动作？</w:t>
      </w:r>
    </w:p>
    <w:p>
      <w:pPr>
        <w:pStyle w:val="ListBullet"/>
        <w:spacing w:after="40"/>
      </w:pPr>
      <w:r>
        <w:rPr>
          <w:rFonts w:ascii="Microsoft YaHei" w:hAnsi="Microsoft YaHei"/>
          <w:sz w:val="21"/>
        </w:rPr>
        <w:t>Exp38 的收益是否来自排序和分数校准，而不是候选框数量变化？</w:t>
      </w:r>
    </w:p>
    <w:p>
      <w:r>
        <w:t>建议所有主实验固定 VisDroneSplit1000Guarded 的 150 张 test 图像、同一 GT、同一 class-aware evaluator，并同时报告 Acc@0.5、Acc@0.75、mAP@0.5、预测框数量和小目标召回。</w:t>
      </w:r>
    </w:p>
    <w:p>
      <w:pPr>
        <w:pStyle w:val="Heading1"/>
      </w:pPr>
      <w:r>
        <w:t>二、当前已有结果基线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1247"/>
            <w:vAlign w:val="center"/>
            <w:shd w:fill="1F2937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预测框数</w:t>
            </w:r>
          </w:p>
        </w:tc>
        <w:tc>
          <w:tcPr>
            <w:tcW w:type="dxa" w:w="1134"/>
            <w:vAlign w:val="center"/>
            <w:shd w:fill="1F2937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Acc@0.5</w:t>
            </w:r>
          </w:p>
        </w:tc>
        <w:tc>
          <w:tcPr>
            <w:tcW w:type="dxa" w:w="1134"/>
            <w:vAlign w:val="center"/>
            <w:shd w:fill="1F2937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Acc@0.75</w:t>
            </w:r>
          </w:p>
        </w:tc>
        <w:tc>
          <w:tcPr>
            <w:tcW w:type="dxa" w:w="1134"/>
            <w:vAlign w:val="center"/>
            <w:shd w:fill="1F2937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mAP@0.5</w:t>
            </w:r>
          </w:p>
        </w:tc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主要作用</w:t>
            </w:r>
          </w:p>
        </w:tc>
      </w:tr>
      <w:tr>
        <w:tc>
          <w:tcPr>
            <w:tcW w:type="dxa" w:w="170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Query base + Exp38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22,298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0.4651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0.3131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0.1343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基础候选与排序</w:t>
            </w:r>
          </w:p>
        </w:tc>
      </w:tr>
      <w:tr>
        <w:tc>
          <w:tcPr>
            <w:tcW w:type="dxa" w:w="170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固定动作三轮 RL</w:t>
            </w:r>
          </w:p>
        </w:tc>
        <w:tc>
          <w:tcPr>
            <w:tcW w:type="dxa" w:w="170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40,904</w:t>
            </w:r>
          </w:p>
        </w:tc>
        <w:tc>
          <w:tcPr>
            <w:tcW w:type="dxa" w:w="170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0.5293</w:t>
            </w:r>
          </w:p>
        </w:tc>
        <w:tc>
          <w:tcPr>
            <w:tcW w:type="dxa" w:w="170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0.3310</w:t>
            </w:r>
          </w:p>
        </w:tc>
        <w:tc>
          <w:tcPr>
            <w:tcW w:type="dxa" w:w="170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0.1397</w:t>
            </w:r>
          </w:p>
        </w:tc>
        <w:tc>
          <w:tcPr>
            <w:tcW w:type="dxa" w:w="170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固定动作候选扩充</w:t>
            </w:r>
          </w:p>
        </w:tc>
      </w:tr>
      <w:tr>
        <w:tc>
          <w:tcPr>
            <w:tcW w:type="dxa" w:w="170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Qwen 动态动作三轮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35,869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0.5004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0.3248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0.1424</w:t>
            </w:r>
          </w:p>
        </w:tc>
        <w:tc>
          <w:tcPr>
            <w:tcW w:type="dxa" w:w="170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动态 prompt 动作选择</w:t>
            </w:r>
          </w:p>
        </w:tc>
      </w:tr>
      <w:tr>
        <w:tc>
          <w:tcPr>
            <w:tcW w:type="dxa" w:w="170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Exp38 固定候选校准</w:t>
            </w:r>
          </w:p>
        </w:tc>
        <w:tc>
          <w:tcPr>
            <w:tcW w:type="dxa" w:w="170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52,872</w:t>
            </w:r>
          </w:p>
        </w:tc>
        <w:tc>
          <w:tcPr>
            <w:tcW w:type="dxa" w:w="170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0.5374</w:t>
            </w:r>
          </w:p>
        </w:tc>
        <w:tc>
          <w:tcPr>
            <w:tcW w:type="dxa" w:w="170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0.3491</w:t>
            </w:r>
          </w:p>
        </w:tc>
        <w:tc>
          <w:tcPr>
            <w:tcW w:type="dxa" w:w="170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0.1690</w:t>
            </w:r>
          </w:p>
        </w:tc>
        <w:tc>
          <w:tcPr>
            <w:tcW w:type="dxa" w:w="170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排序与分数校准</w:t>
            </w:r>
          </w:p>
        </w:tc>
      </w:tr>
    </w:tbl>
    <w:p/>
    <w:p>
      <w:r>
        <w:t>注意：以上指标来自当前仓库中的 summary.json 与 Exp42 补充实验记录。旧版 PPT 脚本中的 0.1384、0.5161 等数字已经过时，不应继续使用。</w:t>
      </w:r>
    </w:p>
    <w:p>
      <w:pPr>
        <w:pStyle w:val="Heading1"/>
      </w:pPr>
      <w:r>
        <w:t>三、实验一：Query-aware prompt 候选召回消融</w:t>
      </w:r>
    </w:p>
    <w:p>
      <w:pPr>
        <w:pStyle w:val="Heading2"/>
      </w:pPr>
      <w:r>
        <w:t>实验目的</w:t>
      </w:r>
    </w:p>
    <w:p>
      <w:r>
        <w:t>证明 prompt 扩展首先改善的是候选覆盖，而不是直接依赖后续排序器。</w:t>
      </w:r>
    </w:p>
    <w:p>
      <w:pPr>
        <w:pStyle w:val="Heading2"/>
      </w:pPr>
      <w:r>
        <w:t>对照组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变体</w:t>
            </w:r>
          </w:p>
        </w:tc>
        <w:tc>
          <w:tcPr>
            <w:tcW w:type="dxa" w:w="1361"/>
            <w:vAlign w:val="center"/>
            <w:shd w:fill="1F2937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候选数</w:t>
            </w:r>
          </w:p>
        </w:tc>
        <w:tc>
          <w:tcPr>
            <w:tcW w:type="dxa" w:w="1417"/>
            <w:vAlign w:val="center"/>
            <w:shd w:fill="1F2937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Cand R@0.5</w:t>
            </w:r>
          </w:p>
        </w:tc>
        <w:tc>
          <w:tcPr>
            <w:tcW w:type="dxa" w:w="1814"/>
            <w:vAlign w:val="center"/>
            <w:shd w:fill="1F2937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Small Cand R@0.5</w:t>
            </w:r>
          </w:p>
        </w:tc>
        <w:tc>
          <w:tcPr>
            <w:tcW w:type="dxa" w:w="1134"/>
            <w:vAlign w:val="center"/>
            <w:shd w:fill="1F2937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Acc@0.5</w:t>
            </w:r>
          </w:p>
        </w:tc>
      </w:tr>
      <w:tr>
        <w:tc>
          <w:tcPr>
            <w:tcW w:type="dxa" w:w="204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fixed10</w:t>
            </w:r>
          </w:p>
        </w:tc>
        <w:tc>
          <w:tcPr>
            <w:tcW w:type="dxa" w:w="204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7,476</w:t>
            </w:r>
          </w:p>
        </w:tc>
        <w:tc>
          <w:tcPr>
            <w:tcW w:type="dxa" w:w="204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0.3744</w:t>
            </w:r>
          </w:p>
        </w:tc>
        <w:tc>
          <w:tcPr>
            <w:tcW w:type="dxa" w:w="204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0.1579</w:t>
            </w:r>
          </w:p>
        </w:tc>
        <w:tc>
          <w:tcPr>
            <w:tcW w:type="dxa" w:w="204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0.3719</w:t>
            </w:r>
          </w:p>
        </w:tc>
      </w:tr>
      <w:tr>
        <w:tc>
          <w:tcPr>
            <w:tcW w:type="dxa" w:w="204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query_only</w:t>
            </w:r>
          </w:p>
        </w:tc>
        <w:tc>
          <w:tcPr>
            <w:tcW w:type="dxa" w:w="204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9,967</w:t>
            </w:r>
          </w:p>
        </w:tc>
        <w:tc>
          <w:tcPr>
            <w:tcW w:type="dxa" w:w="204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0.3717</w:t>
            </w:r>
          </w:p>
        </w:tc>
        <w:tc>
          <w:tcPr>
            <w:tcW w:type="dxa" w:w="204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0.1556</w:t>
            </w:r>
          </w:p>
        </w:tc>
        <w:tc>
          <w:tcPr>
            <w:tcW w:type="dxa" w:w="204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0.3691</w:t>
            </w:r>
          </w:p>
        </w:tc>
      </w:tr>
      <w:tr>
        <w:tc>
          <w:tcPr>
            <w:tcW w:type="dxa" w:w="204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query_alias</w:t>
            </w:r>
          </w:p>
        </w:tc>
        <w:tc>
          <w:tcPr>
            <w:tcW w:type="dxa" w:w="204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23,633</w:t>
            </w:r>
          </w:p>
        </w:tc>
        <w:tc>
          <w:tcPr>
            <w:tcW w:type="dxa" w:w="204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0.4202</w:t>
            </w:r>
          </w:p>
        </w:tc>
        <w:tc>
          <w:tcPr>
            <w:tcW w:type="dxa" w:w="204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0.3043</w:t>
            </w:r>
          </w:p>
        </w:tc>
        <w:tc>
          <w:tcPr>
            <w:tcW w:type="dxa" w:w="204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0.4178</w:t>
            </w:r>
          </w:p>
        </w:tc>
      </w:tr>
      <w:tr>
        <w:tc>
          <w:tcPr>
            <w:tcW w:type="dxa" w:w="204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query_alias_fallback</w:t>
            </w:r>
          </w:p>
        </w:tc>
        <w:tc>
          <w:tcPr>
            <w:tcW w:type="dxa" w:w="204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26,091</w:t>
            </w:r>
          </w:p>
        </w:tc>
        <w:tc>
          <w:tcPr>
            <w:tcW w:type="dxa" w:w="204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0.4527</w:t>
            </w:r>
          </w:p>
        </w:tc>
        <w:tc>
          <w:tcPr>
            <w:tcW w:type="dxa" w:w="204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0.3187</w:t>
            </w:r>
          </w:p>
        </w:tc>
        <w:tc>
          <w:tcPr>
            <w:tcW w:type="dxa" w:w="204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0.4504</w:t>
            </w:r>
          </w:p>
        </w:tc>
      </w:tr>
    </w:tbl>
    <w:p/>
    <w:p>
      <w:pPr>
        <w:pStyle w:val="Heading2"/>
      </w:pPr>
      <w:r>
        <w:t>PPT 展示方式</w:t>
      </w:r>
    </w:p>
    <w:p>
      <w:pPr>
        <w:pStyle w:val="ListBullet"/>
        <w:spacing w:after="40"/>
      </w:pPr>
      <w:r>
        <w:rPr>
          <w:rFonts w:ascii="Microsoft YaHei" w:hAnsi="Microsoft YaHei"/>
          <w:sz w:val="21"/>
        </w:rPr>
        <w:t>用柱状图展示 Cand Recall@0.5 与 Small Cand Recall@0.5。</w:t>
      </w:r>
    </w:p>
    <w:p>
      <w:pPr>
        <w:pStyle w:val="ListBullet"/>
        <w:spacing w:after="40"/>
      </w:pPr>
      <w:r>
        <w:rPr>
          <w:rFonts w:ascii="Microsoft YaHei" w:hAnsi="Microsoft YaHei"/>
          <w:sz w:val="21"/>
        </w:rPr>
        <w:t>用一句话解释：alias + fallback 提高召回，但候选框数量也明显增加，因此需要 RL 做候选选择。</w:t>
      </w:r>
    </w:p>
    <w:p>
      <w:pPr>
        <w:pStyle w:val="Heading2"/>
      </w:pPr>
      <w:r>
        <w:t>预期结论</w:t>
      </w:r>
    </w:p>
    <w:p>
      <w:r>
        <w:t>Qwen/Query-aware prompt 的价值是提供更丰富的候选来源，尤其改善 small-object candidate recall；它本身不能解决候选排序问题。</w:t>
      </w:r>
    </w:p>
    <w:p>
      <w:pPr>
        <w:pStyle w:val="Heading1"/>
      </w:pPr>
      <w:r>
        <w:t>四、实验二：RL 动作策略消融</w:t>
      </w:r>
    </w:p>
    <w:p>
      <w:pPr>
        <w:pStyle w:val="Heading2"/>
      </w:pPr>
      <w:r>
        <w:t>实验目的</w:t>
      </w:r>
    </w:p>
    <w:p>
      <w:r>
        <w:t>证明性能提升来自动作策略，而不是简单地多执行几次候选生成。</w:t>
      </w:r>
    </w:p>
    <w:p>
      <w:pPr>
        <w:pStyle w:val="Heading2"/>
      </w:pPr>
      <w:r>
        <w:t>建议新增对照组</w:t>
      </w:r>
    </w:p>
    <w:p>
      <w:pPr>
        <w:pStyle w:val="ListBullet"/>
        <w:spacing w:after="40"/>
      </w:pPr>
      <w:r>
        <w:rPr>
          <w:rFonts w:ascii="Microsoft YaHei" w:hAnsi="Microsoft YaHei"/>
          <w:sz w:val="21"/>
        </w:rPr>
        <w:t>No expansion：只使用第一轮 query-aware 候选。</w:t>
      </w:r>
    </w:p>
    <w:p>
      <w:pPr>
        <w:pStyle w:val="ListBullet"/>
        <w:spacing w:after="40"/>
      </w:pPr>
      <w:r>
        <w:rPr>
          <w:rFonts w:ascii="Microsoft YaHei" w:hAnsi="Microsoft YaHei"/>
          <w:sz w:val="21"/>
        </w:rPr>
        <w:t>All expansion：每张图执行所有候选动作。</w:t>
      </w:r>
    </w:p>
    <w:p>
      <w:pPr>
        <w:pStyle w:val="ListBullet"/>
        <w:spacing w:after="40"/>
      </w:pPr>
      <w:r>
        <w:rPr>
          <w:rFonts w:ascii="Microsoft YaHei" w:hAnsi="Microsoft YaHei"/>
          <w:sz w:val="21"/>
        </w:rPr>
        <w:t>Random action：随机选择与 RL 相同数量的动作。</w:t>
      </w:r>
    </w:p>
    <w:p>
      <w:pPr>
        <w:pStyle w:val="ListBullet"/>
        <w:spacing w:after="40"/>
      </w:pPr>
      <w:r>
        <w:rPr>
          <w:rFonts w:ascii="Microsoft YaHei" w:hAnsi="Microsoft YaHei"/>
          <w:sz w:val="21"/>
        </w:rPr>
        <w:t>Prompt-rank：按 Qwen 输出排名选择动作。</w:t>
      </w:r>
    </w:p>
    <w:p>
      <w:pPr>
        <w:pStyle w:val="ListBullet"/>
        <w:spacing w:after="40"/>
      </w:pPr>
      <w:r>
        <w:rPr>
          <w:rFonts w:ascii="Microsoft YaHei" w:hAnsi="Microsoft YaHei"/>
          <w:sz w:val="21"/>
        </w:rPr>
        <w:t>Fixed-action RL：固定 12 动作空间。</w:t>
      </w:r>
    </w:p>
    <w:p>
      <w:pPr>
        <w:pStyle w:val="ListBullet"/>
        <w:spacing w:after="40"/>
      </w:pPr>
      <w:r>
        <w:rPr>
          <w:rFonts w:ascii="Microsoft YaHei" w:hAnsi="Microsoft YaHei"/>
          <w:sz w:val="21"/>
        </w:rPr>
        <w:t>Qwen dynamic RL：每张图动态生成 action pool，再进行 state-action scoring。</w:t>
      </w:r>
    </w:p>
    <w:p>
      <w:pPr>
        <w:pStyle w:val="Heading2"/>
      </w:pPr>
      <w:r>
        <w:t>主要指标</w:t>
      </w:r>
    </w:p>
    <w:p>
      <w:pPr>
        <w:pStyle w:val="ListBullet"/>
        <w:spacing w:after="40"/>
      </w:pPr>
      <w:r>
        <w:rPr>
          <w:rFonts w:ascii="Microsoft YaHei" w:hAnsi="Microsoft YaHei"/>
          <w:sz w:val="21"/>
        </w:rPr>
        <w:t>Acc@0.5、Acc@0.75、mAP@0.5。</w:t>
      </w:r>
    </w:p>
    <w:p>
      <w:pPr>
        <w:pStyle w:val="ListBullet"/>
        <w:spacing w:after="40"/>
      </w:pPr>
      <w:r>
        <w:rPr>
          <w:rFonts w:ascii="Microsoft YaHei" w:hAnsi="Microsoft YaHei"/>
          <w:sz w:val="21"/>
        </w:rPr>
        <w:t>预测框数量、每图平均动作数、STOP 比例。</w:t>
      </w:r>
    </w:p>
    <w:p>
      <w:pPr>
        <w:pStyle w:val="ListBullet"/>
        <w:spacing w:after="40"/>
      </w:pPr>
      <w:r>
        <w:rPr>
          <w:rFonts w:ascii="Microsoft YaHei" w:hAnsi="Microsoft YaHei"/>
          <w:sz w:val="21"/>
        </w:rPr>
        <w:t>Small Candidate Recall@0.5 和 small-object final recall。</w:t>
      </w:r>
    </w:p>
    <w:p>
      <w:pPr>
        <w:pStyle w:val="Heading2"/>
      </w:pPr>
      <w:r>
        <w:t>推荐图表</w:t>
      </w:r>
    </w:p>
    <w:p>
      <w:pPr>
        <w:pStyle w:val="ListBullet"/>
        <w:spacing w:after="40"/>
      </w:pPr>
      <w:r>
        <w:rPr>
          <w:rFonts w:ascii="Microsoft YaHei" w:hAnsi="Microsoft YaHei"/>
          <w:sz w:val="21"/>
        </w:rPr>
        <w:t>左轴：Acc@0.5 / mAP@0.5；右轴或单独图：候选框数量。</w:t>
      </w:r>
    </w:p>
    <w:p>
      <w:pPr>
        <w:pStyle w:val="ListBullet"/>
        <w:spacing w:after="40"/>
      </w:pPr>
      <w:r>
        <w:rPr>
          <w:rFonts w:ascii="Microsoft YaHei" w:hAnsi="Microsoft YaHei"/>
          <w:sz w:val="21"/>
        </w:rPr>
        <w:t>每轮动作数量和候选数量的折线图。</w:t>
      </w:r>
    </w:p>
    <w:p>
      <w:pPr>
        <w:pStyle w:val="ListBullet"/>
        <w:spacing w:after="40"/>
      </w:pPr>
      <w:r>
        <w:rPr>
          <w:rFonts w:ascii="Microsoft YaHei" w:hAnsi="Microsoft YaHei"/>
          <w:sz w:val="21"/>
        </w:rPr>
        <w:t>动作类别分布图，展示 RL 是否倾向 person、people、bicycle、motor 等弱类。</w:t>
      </w:r>
    </w:p>
    <w:p>
      <w:pPr>
        <w:pStyle w:val="Heading1"/>
      </w:pPr>
      <w:r>
        <w:t>五、实验三：RL 轮数消融</w:t>
      </w:r>
    </w:p>
    <w:p>
      <w:r>
        <w:t>用于回答“三轮是否必要”，避免答辩时被问到轮数设定依据。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191"/>
            <w:vAlign w:val="center"/>
            <w:shd w:fill="1F2937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设置</w:t>
            </w:r>
          </w:p>
        </w:tc>
        <w:tc>
          <w:tcPr>
            <w:tcW w:type="dxa" w:w="4082"/>
            <w:vAlign w:val="center"/>
            <w:shd w:fill="1F2937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执行流程</w:t>
            </w:r>
          </w:p>
        </w:tc>
        <w:tc>
          <w:tcPr>
            <w:tcW w:type="dxa" w:w="2835"/>
            <w:vAlign w:val="center"/>
            <w:shd w:fill="1F2937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需要报告</w:t>
            </w:r>
          </w:p>
        </w:tc>
      </w:tr>
      <w:tr>
        <w:tc>
          <w:tcPr>
            <w:tcW w:type="dxa" w:w="340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0轮</w:t>
            </w:r>
          </w:p>
        </w:tc>
        <w:tc>
          <w:tcPr>
            <w:tcW w:type="dxa" w:w="340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query-aware C0 + Exp38</w:t>
            </w:r>
          </w:p>
        </w:tc>
        <w:tc>
          <w:tcPr>
            <w:tcW w:type="dxa" w:w="340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基础性能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1轮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C0 -&gt; 选择一次动作 -&gt; Exp38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一次扩充收益</w:t>
            </w:r>
          </w:p>
        </w:tc>
      </w:tr>
      <w:tr>
        <w:tc>
          <w:tcPr>
            <w:tcW w:type="dxa" w:w="340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2轮</w:t>
            </w:r>
          </w:p>
        </w:tc>
        <w:tc>
          <w:tcPr>
            <w:tcW w:type="dxa" w:w="340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C0 -&gt; action1 -&gt; action2 -&gt; Exp38</w:t>
            </w:r>
          </w:p>
        </w:tc>
        <w:tc>
          <w:tcPr>
            <w:tcW w:type="dxa" w:w="340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当前主线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3轮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继续追加一轮动作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是否过扩充、成本是否上升</w:t>
            </w:r>
          </w:p>
        </w:tc>
      </w:tr>
    </w:tbl>
    <w:p/>
    <w:p>
      <w:r>
        <w:t>预期关注点：轮数增加后，召回可能继续提升，但候选数量和误检也会增加；最佳轮数应该由 mAP 与候选成本共同决定。</w:t>
      </w:r>
    </w:p>
    <w:p>
      <w:pPr>
        <w:pStyle w:val="Heading1"/>
      </w:pPr>
      <w:r>
        <w:t>六、实验四：Reward 消融</w:t>
      </w:r>
    </w:p>
    <w:p>
      <w:r>
        <w:t>用于证明 reward 的设计确实针对无人机小目标场景，而不是任意加权。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57"/>
            <w:vAlign w:val="center"/>
            <w:shd w:fill="1F2937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变体</w:t>
            </w:r>
          </w:p>
        </w:tc>
        <w:tc>
          <w:tcPr>
            <w:tcW w:type="dxa" w:w="2835"/>
            <w:vAlign w:val="center"/>
            <w:shd w:fill="1F2937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保留项</w:t>
            </w:r>
          </w:p>
        </w:tc>
        <w:tc>
          <w:tcPr>
            <w:tcW w:type="dxa" w:w="1701"/>
            <w:vAlign w:val="center"/>
            <w:shd w:fill="1F2937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去掉项</w:t>
            </w:r>
          </w:p>
        </w:tc>
        <w:tc>
          <w:tcPr>
            <w:tcW w:type="dxa" w:w="2835"/>
            <w:vAlign w:val="center"/>
            <w:shd w:fill="1F2937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验证问题</w:t>
            </w:r>
          </w:p>
        </w:tc>
      </w:tr>
      <w:tr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完整 reward</w:t>
            </w:r>
          </w:p>
        </w:tc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Recall、Recall@0.75、Small Recall、Precision、成本</w:t>
            </w:r>
          </w:p>
        </w:tc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无</w:t>
            </w:r>
          </w:p>
        </w:tc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主方法</w:t>
            </w:r>
          </w:p>
        </w:tc>
      </w:tr>
      <w:tr>
        <w:tc>
          <w:tcPr>
            <w:tcW w:type="dxa" w:w="255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无 small recall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普通召回、精度、成本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Small Recall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小目标项是否有效</w:t>
            </w:r>
          </w:p>
        </w:tc>
      </w:tr>
      <w:tr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无高 IoU</w:t>
            </w:r>
          </w:p>
        </w:tc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普通召回、small recall、精度、成本</w:t>
            </w:r>
          </w:p>
        </w:tc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Recall@0.75</w:t>
            </w:r>
          </w:p>
        </w:tc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定位精度项是否有效</w:t>
            </w:r>
          </w:p>
        </w:tc>
      </w:tr>
      <w:tr>
        <w:tc>
          <w:tcPr>
            <w:tcW w:type="dxa" w:w="255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无候选成本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所有检测收益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box/action cost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是否导致候选爆炸</w:t>
            </w:r>
          </w:p>
        </w:tc>
      </w:tr>
      <w:tr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只优化 recall</w:t>
            </w:r>
          </w:p>
        </w:tc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Recall</w:t>
            </w:r>
          </w:p>
        </w:tc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精度、small recall、成本</w:t>
            </w:r>
          </w:p>
        </w:tc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是否出现高召回低排序质量</w:t>
            </w:r>
          </w:p>
        </w:tc>
      </w:tr>
    </w:tbl>
    <w:p/>
    <w:p>
      <w:r>
        <w:t>重点不只看最终 Acc，还要观察预测框数量、mAP 和小目标召回之间的变化。</w:t>
      </w:r>
    </w:p>
    <w:p>
      <w:pPr>
        <w:pStyle w:val="Heading1"/>
      </w:pPr>
      <w:r>
        <w:t>七、实验五：Exp38 特征消融</w:t>
      </w:r>
    </w:p>
    <w:p>
      <w:pPr>
        <w:pStyle w:val="Heading2"/>
      </w:pPr>
      <w:r>
        <w:t>实验目的</w:t>
      </w:r>
    </w:p>
    <w:p>
      <w:r>
        <w:t>明确 Exp38 的收益来自哪些 rich metadata，证明排序器不是一个黑盒 MLP。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vAlign w:val="center"/>
            <w:shd w:fill="1F2937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配置</w:t>
            </w:r>
          </w:p>
        </w:tc>
        <w:tc>
          <w:tcPr>
            <w:tcW w:type="dxa" w:w="3969"/>
            <w:vAlign w:val="center"/>
            <w:shd w:fill="1F2937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输入特征</w:t>
            </w:r>
          </w:p>
        </w:tc>
        <w:tc>
          <w:tcPr>
            <w:tcW w:type="dxa" w:w="1871"/>
            <w:vAlign w:val="center"/>
            <w:shd w:fill="1F2937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保持不变</w:t>
            </w:r>
          </w:p>
        </w:tc>
        <w:tc>
          <w:tcPr>
            <w:tcW w:type="dxa" w:w="2268"/>
            <w:vAlign w:val="center"/>
            <w:shd w:fill="1F2937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主要观察</w:t>
            </w:r>
          </w:p>
        </w:tc>
      </w:tr>
      <w:tr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Raw score</w:t>
            </w:r>
          </w:p>
        </w:tc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final_score</w:t>
            </w:r>
          </w:p>
        </w:tc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候选集合</w:t>
            </w:r>
          </w:p>
        </w:tc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原始排序基线</w:t>
            </w:r>
          </w:p>
        </w:tc>
      </w:tr>
      <w:tr>
        <w:tc>
          <w:tcPr>
            <w:tcW w:type="dxa" w:w="255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+ geometry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分数 + 面积、宽高比、中心、rank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候选集合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几何信息收益</w:t>
            </w:r>
          </w:p>
        </w:tc>
      </w:tr>
      <w:tr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+ query</w:t>
            </w:r>
          </w:p>
        </w:tc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再加入 query_match_score</w:t>
            </w:r>
          </w:p>
        </w:tc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候选集合</w:t>
            </w:r>
          </w:p>
        </w:tc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语言匹配收益</w:t>
            </w:r>
          </w:p>
        </w:tc>
      </w:tr>
      <w:tr>
        <w:tc>
          <w:tcPr>
            <w:tcW w:type="dxa" w:w="255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+ source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再加入 source_prompt/source_type/source_class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候选集合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来源信息收益</w:t>
            </w:r>
          </w:p>
        </w:tc>
      </w:tr>
      <w:tr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+ small prior</w:t>
            </w:r>
          </w:p>
        </w:tc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再加入 small_area_bonus 与类别先验</w:t>
            </w:r>
          </w:p>
        </w:tc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候选集合</w:t>
            </w:r>
          </w:p>
        </w:tc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小目标收益</w:t>
            </w:r>
          </w:p>
        </w:tc>
      </w:tr>
      <w:tr>
        <w:tc>
          <w:tcPr>
            <w:tcW w:type="dxa" w:w="255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Full Exp38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完整 rich metadata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候选集合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最终排序效果</w:t>
            </w:r>
          </w:p>
        </w:tc>
      </w:tr>
    </w:tbl>
    <w:p/>
    <w:p>
      <w:pPr>
        <w:pStyle w:val="Heading2"/>
      </w:pPr>
      <w:r>
        <w:t>控制变量要求</w:t>
      </w:r>
    </w:p>
    <w:p>
      <w:pPr>
        <w:pStyle w:val="ListBullet"/>
        <w:spacing w:after="40"/>
      </w:pPr>
      <w:r>
        <w:rPr>
          <w:rFonts w:ascii="Microsoft YaHei" w:hAnsi="Microsoft YaHei"/>
          <w:sz w:val="21"/>
        </w:rPr>
        <w:t>所有配置读取同一份 Exp38 metadata，候选框数量和坐标完全一致。</w:t>
      </w:r>
    </w:p>
    <w:p>
      <w:pPr>
        <w:pStyle w:val="ListBullet"/>
        <w:spacing w:after="40"/>
      </w:pPr>
      <w:r>
        <w:rPr>
          <w:rFonts w:ascii="Microsoft YaHei" w:hAnsi="Microsoft YaHei"/>
          <w:sz w:val="21"/>
        </w:rPr>
        <w:t>只更换 scorer 的输入特征，不重新生成候选。</w:t>
      </w:r>
    </w:p>
    <w:p>
      <w:pPr>
        <w:pStyle w:val="ListBullet"/>
        <w:spacing w:after="40"/>
      </w:pPr>
      <w:r>
        <w:rPr>
          <w:rFonts w:ascii="Microsoft YaHei" w:hAnsi="Microsoft YaHei"/>
          <w:sz w:val="21"/>
        </w:rPr>
        <w:t>统一使用同一份 GT 和 evaluator。</w:t>
      </w:r>
    </w:p>
    <w:p>
      <w:pPr>
        <w:pStyle w:val="ListBullet"/>
        <w:spacing w:after="40"/>
      </w:pPr>
      <w:r>
        <w:rPr>
          <w:rFonts w:ascii="Microsoft YaHei" w:hAnsi="Microsoft YaHei"/>
          <w:sz w:val="21"/>
        </w:rPr>
        <w:t>必须报告 Acc@0.5、Acc@0.75、mAP@0.5；其中 mAP 是最关键指标。</w:t>
      </w:r>
    </w:p>
    <w:p>
      <w:pPr>
        <w:pStyle w:val="Heading1"/>
      </w:pPr>
      <w:r>
        <w:t>八、实验六：典型样例与失败案例</w:t>
      </w:r>
    </w:p>
    <w:p>
      <w:r>
        <w:t>建议选三类样例，分别展示候选扩充、排序提升和仍然存在的类别混淆。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84"/>
            <w:vAlign w:val="center"/>
            <w:shd w:fill="1F2937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样例类型</w:t>
            </w:r>
          </w:p>
        </w:tc>
        <w:tc>
          <w:tcPr>
            <w:tcW w:type="dxa" w:w="4252"/>
            <w:vAlign w:val="center"/>
            <w:shd w:fill="1F2937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展示内容</w:t>
            </w:r>
          </w:p>
        </w:tc>
        <w:tc>
          <w:tcPr>
            <w:tcW w:type="dxa" w:w="2835"/>
            <w:vAlign w:val="center"/>
            <w:shd w:fill="1F2937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希望证明的现象</w:t>
            </w:r>
          </w:p>
        </w:tc>
      </w:tr>
      <w:tr>
        <w:tc>
          <w:tcPr>
            <w:tcW w:type="dxa" w:w="340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候选召回</w:t>
            </w:r>
          </w:p>
        </w:tc>
        <w:tc>
          <w:tcPr>
            <w:tcW w:type="dxa" w:w="340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基础候选漏检，扩充动作后出现正确小目标</w:t>
            </w:r>
          </w:p>
        </w:tc>
        <w:tc>
          <w:tcPr>
            <w:tcW w:type="dxa" w:w="340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RL 动作确实补回了缺失目标</w:t>
            </w:r>
          </w:p>
        </w:tc>
      </w:tr>
      <w:tr>
        <w:tc>
          <w:tcPr>
            <w:tcW w:type="dxa" w:w="340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排序提升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正确框原始分数较低，经 Exp38 后排名前移</w:t>
            </w:r>
          </w:p>
        </w:tc>
        <w:tc>
          <w:tcPr>
            <w:tcW w:type="dxa" w:w="340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Exp38 改善排序而非改变坐标</w:t>
            </w:r>
          </w:p>
        </w:tc>
      </w:tr>
      <w:tr>
        <w:tc>
          <w:tcPr>
            <w:tcW w:type="dxa" w:w="340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失败案例</w:t>
            </w:r>
          </w:p>
        </w:tc>
        <w:tc>
          <w:tcPr>
            <w:tcW w:type="dxa" w:w="340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相近类别框高分但类别错误</w:t>
            </w:r>
          </w:p>
        </w:tc>
        <w:tc>
          <w:tcPr>
            <w:tcW w:type="dxa" w:w="340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方法边界与后续改进方向</w:t>
            </w:r>
          </w:p>
        </w:tc>
      </w:tr>
    </w:tbl>
    <w:p/>
    <w:p>
      <w:pPr>
        <w:pStyle w:val="ListBullet"/>
        <w:spacing w:after="40"/>
      </w:pPr>
      <w:r>
        <w:rPr>
          <w:rFonts w:ascii="Microsoft YaHei" w:hAnsi="Microsoft YaHei"/>
          <w:sz w:val="21"/>
        </w:rPr>
        <w:t>流程图建议写成：query -&gt; Qwen prompt pool -&gt; source mapping -&gt; RL action -&gt; candidate union -&gt; Exp38 rescoring。</w:t>
      </w:r>
    </w:p>
    <w:p>
      <w:pPr>
        <w:pStyle w:val="ListBullet"/>
        <w:spacing w:after="40"/>
      </w:pPr>
      <w:r>
        <w:rPr>
          <w:rFonts w:ascii="Microsoft YaHei" w:hAnsi="Microsoft YaHei"/>
          <w:sz w:val="21"/>
        </w:rPr>
        <w:t>图像中放大目标区域，并同时展示 C0、追加候选和最终排序结果。</w:t>
      </w:r>
    </w:p>
    <w:p>
      <w:pPr>
        <w:pStyle w:val="Heading1"/>
      </w:pPr>
      <w:r>
        <w:t>九、实验优先级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vAlign w:val="center"/>
            <w:shd w:fill="1F2937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835"/>
            <w:vAlign w:val="center"/>
            <w:shd w:fill="1F2937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实验</w:t>
            </w:r>
          </w:p>
        </w:tc>
        <w:tc>
          <w:tcPr>
            <w:tcW w:type="dxa" w:w="3685"/>
            <w:vAlign w:val="center"/>
            <w:shd w:fill="1F2937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2835"/>
            <w:vAlign w:val="center"/>
            <w:shd w:fill="1F2937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19"/>
              </w:rPr>
              <w:t>建议输出</w:t>
            </w:r>
          </w:p>
        </w:tc>
      </w:tr>
      <w:tr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P0</w:t>
            </w:r>
          </w:p>
        </w:tc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固定候选集 Exp38 控制变量</w:t>
            </w:r>
          </w:p>
        </w:tc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最直接证明排序器创新</w:t>
            </w:r>
          </w:p>
        </w:tc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三组表格 + mAP 柱状图</w:t>
            </w:r>
          </w:p>
        </w:tc>
      </w:tr>
      <w:tr>
        <w:tc>
          <w:tcPr>
            <w:tcW w:type="dxa" w:w="255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P0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RL 策略消融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证明收益来自动作选择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No/Random/Fixed/Qwen 动态</w:t>
            </w:r>
          </w:p>
        </w:tc>
      </w:tr>
      <w:tr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P1</w:t>
            </w:r>
          </w:p>
        </w:tc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轮数消融</w:t>
            </w:r>
          </w:p>
        </w:tc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解释三轮设定</w:t>
            </w:r>
          </w:p>
        </w:tc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0/1/2/3 轮曲线</w:t>
            </w:r>
          </w:p>
        </w:tc>
      </w:tr>
      <w:tr>
        <w:tc>
          <w:tcPr>
            <w:tcW w:type="dxa" w:w="255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P1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Exp38 特征消融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解释 rich metadata 的贡献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逐步加特征表</w:t>
            </w:r>
          </w:p>
        </w:tc>
      </w:tr>
      <w:tr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P2</w:t>
            </w:r>
          </w:p>
        </w:tc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Reward 消融</w:t>
            </w:r>
          </w:p>
        </w:tc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证明小目标 reward 合理</w:t>
            </w:r>
          </w:p>
        </w:tc>
        <w:tc>
          <w:tcPr>
            <w:tcW w:type="dxa" w:w="2550"/>
            <w:vAlign w:val="center"/>
            <w:shd w:fill="F7F9FC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small recall 与成本曲线</w:t>
            </w:r>
          </w:p>
        </w:tc>
      </w:tr>
      <w:tr>
        <w:tc>
          <w:tcPr>
            <w:tcW w:type="dxa" w:w="255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P2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典型样例与失败案例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帮助答辩理解方法边界</w:t>
            </w:r>
          </w:p>
        </w:tc>
        <w:tc>
          <w:tcPr>
            <w:tcW w:type="dxa" w:w="2550"/>
            <w:vAlign w:val="center"/>
            <w:shd w:fill="FFFFFF"/>
          </w:tcPr>
          <w:p>
            <w:pPr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三类案例拼图</w:t>
            </w:r>
          </w:p>
        </w:tc>
      </w:tr>
    </w:tbl>
    <w:p/>
    <w:p>
      <w:pPr>
        <w:pStyle w:val="Heading1"/>
      </w:pPr>
      <w:r>
        <w:t>十、答辩时的术语边界</w:t>
      </w:r>
    </w:p>
    <w:p>
      <w:r>
        <w:t>建议表述为：RL_loop 是基于验证集奖励表的离线策略学习/上下文相关候选动作选择；Exp38 是基于反馈特征的候选排序与分数校准器。两者共同构成反馈式推理流程，但 Exp38 本身不是策略梯度模块。</w:t>
      </w:r>
    </w:p>
    <w:p>
      <w:r>
        <w:t>另外，当前 llm_dynamic.py 中 Qwen 接收的是 query/caption 文本，用于生成动态 prompt pool；除非后续代码明确传入图像，否则 PPT 中不要表述为“Qwen 视觉理解图像后生成 prompt”。</w:t>
      </w:r>
    </w:p>
    <w:p>
      <w:pPr>
        <w:pStyle w:val="Heading1"/>
      </w:pPr>
      <w:r>
        <w:t>十一、推荐收束语</w:t>
      </w:r>
    </w:p>
    <w:p>
      <w:pPr>
        <w:jc w:val="center"/>
      </w:pPr>
      <w:r>
        <w:rPr>
          <w:rFonts w:ascii="Microsoft YaHei" w:hAnsi="Microsoft YaHei"/>
          <w:b/>
          <w:color w:val="2A6448"/>
          <w:sz w:val="26"/>
        </w:rPr>
        <w:t>Qwen 提供与当前查询相关的动态候选动作，RL_loop 决定是否以及如何扩充候选，Exp38 利用候选来源、查询匹配和小目标先验对候选重新排序，最终实现从“候选覆盖”到“候选质量”的联合优化。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2A644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b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