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个人事务助理项目说明书</w:t>
      </w:r>
    </w:p>
    <w:p>
      <w:r>
        <w:t>更新日期：2026-10-12。面向已有全栈基础的开发者，供接手维护、学习和面试展示使用；最新验收状态见交付记录（agent-delivery.md）。</w:t>
      </w:r>
    </w:p>
    <w:p>
      <w:pPr>
        <w:pStyle w:val="Heading1"/>
      </w:pPr>
      <w:r>
        <w:t>1 产品与能力</w:t>
      </w:r>
    </w:p>
    <w:p>
      <w:r>
        <w:t>这是把任务管理、知识笔记和 AI 对话放在同一工作台的个人生产力应用。用户可管理短期、长期及每日任务，拆分子任务、计时和查看统计；维护 Markdown 笔记，用分类、领域、标签和 [[链接]] 组织知识，查询链接图谱和断链。</w:t>
      </w:r>
    </w:p>
    <w:p>
      <w:r>
        <w:t>普通聊天支持 OpenAI-compatible 模型及 SSE 流式回复，可注入笔记和文件内容。文件浏览读取的是服务端 FILE_ALLOWED_ROOTS 白名单目录；另有文档上传解析接口。聊天当前拼接最近 20 篇笔记的各 300 字符及最多 5000 字符的文件片段，没有语义检索或向量数据库；knowledge/query、compile 仍是待配置占位能力。</w:t>
      </w:r>
    </w:p>
    <w:p>
      <w:r>
        <w:t>Agent 工作台在此基础上增加受控执行：读取任务/笔记、检查知识链接，或提出创建任务、修改任务、创建笔记请求，由用户审批后执行。仓库中的 SeekFlow、.agents 等描述开发辅助流程，不属于应用业务功能。</w:t>
      </w:r>
    </w:p>
    <w:p>
      <w:pPr>
        <w:pStyle w:val="Heading1"/>
      </w:pPr>
      <w:r>
        <w:t>2 技术与目录导航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6"/>
        <w:gridCol w:w="5400"/>
      </w:tblGrid>
      <w:tr>
        <w:trPr>
          <w:tblHeader/>
        </w:trPr>
        <w:tc>
          <w:tcPr>
            <w:tcW w:type="dxa" w:w="4536"/>
            <w:vAlign w:val="center"/>
            <w:shd w:fill="DBEAFE"/>
          </w:tcPr>
          <w:p>
            <w:pPr>
              <w:spacing w:before="80" w:after="80"/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type="dxa" w:w="5400"/>
            <w:vAlign w:val="center"/>
            <w:shd w:fill="DBEAFE"/>
          </w:tcPr>
          <w:p>
            <w:pPr>
              <w:spacing w:before="80" w:after="80"/>
            </w:pPr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4536"/>
            <w:vAlign w:val="center"/>
            <w:shd w:fill="F5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frontend/src/App.tsx、pages/</w:t>
            </w:r>
          </w:p>
        </w:tc>
        <w:tc>
          <w:tcPr>
            <w:tcW w:type="dxa" w:w="5400"/>
            <w:vAlign w:val="center"/>
            <w:shd w:fill="F5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React 19、TypeScript、Vite 页面路由及认证边界；AgentPage 展示执行时间线与审批</w:t>
            </w:r>
          </w:p>
        </w:tc>
      </w:tr>
      <w:tr>
        <w:tc>
          <w:tcPr>
            <w:tcW w:type="dxa" w:w="4536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frontend/src/api/、store/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REST/SSE 客户端；TanStack Query 缓存服务端数据，Zustand 管理会话和界面状态</w:t>
            </w:r>
          </w:p>
        </w:tc>
      </w:tr>
      <w:tr>
        <w:tc>
          <w:tcPr>
            <w:tcW w:type="dxa" w:w="4536"/>
            <w:vAlign w:val="center"/>
            <w:shd w:fill="F5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backend/app/main.py、routers/</w:t>
            </w:r>
          </w:p>
        </w:tc>
        <w:tc>
          <w:tcPr>
            <w:tcW w:type="dxa" w:w="5400"/>
            <w:vAlign w:val="center"/>
            <w:shd w:fill="F5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FastAPI 装配及 HTTP 编排，JWT 认证、用户归属检查</w:t>
            </w:r>
          </w:p>
        </w:tc>
      </w:tr>
      <w:tr>
        <w:tc>
          <w:tcPr>
            <w:tcW w:type="dxa" w:w="4536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backend/app/models.py、agent_models.py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SQLAlchemy 业务表及 Run、Event、Approval、Execution 模型</w:t>
            </w:r>
          </w:p>
        </w:tc>
      </w:tr>
      <w:tr>
        <w:tc>
          <w:tcPr>
            <w:tcW w:type="dxa" w:w="4536"/>
            <w:vAlign w:val="center"/>
            <w:shd w:fill="F5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backend/app/services/</w:t>
            </w:r>
          </w:p>
        </w:tc>
        <w:tc>
          <w:tcPr>
            <w:tcW w:type="dxa" w:w="5400"/>
            <w:vAlign w:val="center"/>
            <w:shd w:fill="F5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文档隔离解析、聊天上下文与模型地址白名单</w:t>
            </w:r>
          </w:p>
        </w:tc>
      </w:tr>
      <w:tr>
        <w:tc>
          <w:tcPr>
            <w:tcW w:type="dxa" w:w="4536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backend/app/agent/graph.py、runtime.py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LangGraph 决策流程；后台任务生命周期、取消和恢复</w:t>
            </w:r>
          </w:p>
        </w:tc>
      </w:tr>
      <w:tr>
        <w:tc>
          <w:tcPr>
            <w:tcW w:type="dxa" w:w="4536"/>
            <w:vAlign w:val="center"/>
            <w:shd w:fill="F5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backend/app/agent/tools/、model_gateway.py</w:t>
            </w:r>
          </w:p>
        </w:tc>
        <w:tc>
          <w:tcPr>
            <w:tcW w:type="dxa" w:w="5400"/>
            <w:vAlign w:val="center"/>
            <w:shd w:fill="F5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工具白名单、参数校验、业务执行；OpenAI SDK 模型协议适配</w:t>
            </w:r>
          </w:p>
        </w:tc>
      </w:tr>
      <w:tr>
        <w:tc>
          <w:tcPr>
            <w:tcW w:type="dxa" w:w="4536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backend/alembic/、tests/、evals/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MySQL 迁移、回归及真实双库集成测试、固定场景评测</w:t>
            </w:r>
          </w:p>
        </w:tc>
      </w:tr>
      <w:tr>
        <w:tc>
          <w:tcPr>
            <w:tcW w:type="dxa" w:w="4536"/>
            <w:vAlign w:val="center"/>
            <w:shd w:fill="F5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docker-compose.yml、frontend/nginx.conf</w:t>
            </w:r>
          </w:p>
        </w:tc>
        <w:tc>
          <w:tcPr>
            <w:tcW w:type="dxa" w:w="5400"/>
            <w:vAlign w:val="center"/>
            <w:shd w:fill="F5F7FA"/>
          </w:tcPr>
          <w:p>
            <w:pPr>
              <w:spacing w:before="80" w:after="80"/>
            </w:pPr>
            <w:r>
              <w:rPr>
                <w:b w:val="0"/>
                <w:sz w:val="19"/>
              </w:rPr>
              <w:t>容器部署与同源 API/SSE 代理配置</w:t>
            </w:r>
          </w:p>
        </w:tc>
      </w:tr>
    </w:tbl>
    <w:p>
      <w:r>
        <w:t>界面采用 Ant Design、Lobe UI、Tailwind，图表采用 Recharts。后端业务数据存 MySQL 8，LangGraph Checkpoint 存 PostgreSQL 16。</w:t>
      </w:r>
    </w:p>
    <w:p>
      <w:pPr>
        <w:pStyle w:val="Heading1"/>
      </w:pPr>
      <w:r>
        <w:t>3 请求 执行与一致性</w:t>
      </w:r>
    </w:p>
    <w:p>
      <w:r>
        <w:t>业务 REST 路由统一在 /api/v1。POST /agent/runs 创建 Run，详情、事件、审批决定、取消和恢复均有独立接口。普通聊天 SSE 传回复片段；Agent SSE 传持久化事件，按 Run 内 sequence 回放。前端携带 Bearer Token、记录游标并去重，断开订阅不取消后台运行。完整契约见 Agent API（agent-api.md）。</w:t>
      </w:r>
    </w:p>
    <w:p>
      <w:r>
        <w:t>一次写操作经过“模型提出工具 → 保存审批 → Graph 中断 → 用户批准/编辑/拒绝 → 原线程恢复”。用户身份由服务端提供，工具逐项限制可访问资源；审批 revision 用 CAS 防止并发或过期决定，批准参数快照及 hash 限定实际执行内容。</w:t>
      </w:r>
    </w:p>
    <w:p>
      <w:r>
        <w:t>MySQL 是业务结果、审批、执行记录和可见事件的权威来源。业务写入、Execution 与完成事件在同一事务提交，(run_id, tool_call_id) 幂等记录让 Checkpoint 重放返回既有结果。PostgreSQL 负责 Graph 状态和中断位置；两库没有跨库事务，恢复必须结合 MySQL 状态核对副作用。</w:t>
      </w:r>
    </w:p>
    <w:p>
      <w:r>
        <w:t>取消先持久化意图，节点检查后协作退出；重复取消幂等，已提交写入保留。单后端启动时将遗留活跃运行标为 interrupted，用户显式恢复原 Run；待审批不会自动执行。该流程由单个后台运行时管理，没有 Celery 或多 Agent 协作。</w:t>
      </w:r>
    </w:p>
    <w:p>
      <w:pPr>
        <w:pStyle w:val="Heading1"/>
      </w:pPr>
      <w:r>
        <w:t>4 运行与配置</w:t>
      </w:r>
    </w:p>
    <w:p>
      <w:r>
        <w:t>使用 Python 3.11+、README 指定的 Node.js LTS 和隔离 MySQL/PostgreSQL。复制环境模板后设置 DATABASE_URL、CHECKPOINT_DATABASE_URL、JWT_SECRET_KEY；Agent 另需 AGENT_MODEL_API_KEY，可配置模型地址、名称、最大步数及超时。普通聊天模型来自界面设置，访问地址受 LLM_ALLOWED_BASE_URLS 限制。凭据只填环境文件，勿提交。</w:t>
      </w:r>
    </w:p>
    <w:p>
      <w:r>
        <w:t>数据库准备完成后，在各自目录执行：</w:t>
      </w:r>
    </w:p>
    <w:p>
      <w:pPr>
        <w:spacing w:after="0" w:line="252" w:lineRule="auto"/>
      </w:pPr>
      <w:r>
        <w:rPr>
          <w:rFonts w:ascii="Consolas" w:hAnsi="Consolas"/>
          <w:sz w:val="18"/>
        </w:rPr>
        <w:t># backend</w:t>
      </w:r>
    </w:p>
    <w:p>
      <w:pPr>
        <w:spacing w:after="0" w:line="252" w:lineRule="auto"/>
      </w:pPr>
      <w:r>
        <w:rPr>
          <w:rFonts w:ascii="Consolas" w:hAnsi="Consolas"/>
          <w:sz w:val="18"/>
        </w:rPr>
        <w:t>pip install -r requirements.txt</w:t>
      </w:r>
    </w:p>
    <w:p>
      <w:pPr>
        <w:spacing w:after="0" w:line="252" w:lineRule="auto"/>
      </w:pPr>
      <w:r>
        <w:rPr>
          <w:rFonts w:ascii="Consolas" w:hAnsi="Consolas"/>
          <w:sz w:val="18"/>
        </w:rPr>
        <w:t>alembic upgrade head</w:t>
      </w:r>
    </w:p>
    <w:p>
      <w:pPr>
        <w:spacing w:after="0" w:line="252" w:lineRule="auto"/>
      </w:pPr>
      <w:r>
        <w:rPr>
          <w:rFonts w:ascii="Consolas" w:hAnsi="Consolas"/>
          <w:sz w:val="18"/>
        </w:rPr>
        <w:t>python -m app.agent.checkpoint</w:t>
      </w:r>
    </w:p>
    <w:p>
      <w:pPr>
        <w:spacing w:after="0" w:line="252" w:lineRule="auto"/>
      </w:pPr>
      <w:r>
        <w:rPr>
          <w:rFonts w:ascii="Consolas" w:hAnsi="Consolas"/>
          <w:sz w:val="18"/>
        </w:rPr>
        <w:t>python -m app.server --reload --port 8000</w:t>
      </w:r>
    </w:p>
    <w:p>
      <w:pPr>
        <w:spacing w:after="0" w:line="252" w:lineRule="auto"/>
      </w:pPr>
    </w:p>
    <w:p>
      <w:pPr>
        <w:spacing w:after="0" w:line="252" w:lineRule="auto"/>
      </w:pPr>
      <w:r>
        <w:rPr>
          <w:rFonts w:ascii="Consolas" w:hAnsi="Consolas"/>
          <w:sz w:val="18"/>
        </w:rPr>
        <w:t># frontend</w:t>
      </w:r>
    </w:p>
    <w:p>
      <w:pPr>
        <w:spacing w:after="0" w:line="252" w:lineRule="auto"/>
      </w:pPr>
      <w:r>
        <w:rPr>
          <w:rFonts w:ascii="Consolas" w:hAnsi="Consolas"/>
          <w:sz w:val="18"/>
        </w:rPr>
        <w:t>npm ci</w:t>
      </w:r>
    </w:p>
    <w:p>
      <w:pPr>
        <w:spacing w:after="0" w:line="252" w:lineRule="auto"/>
      </w:pPr>
      <w:r>
        <w:rPr>
          <w:rFonts w:ascii="Consolas" w:hAnsi="Consolas"/>
          <w:sz w:val="18"/>
        </w:rPr>
        <w:t>npm run dev</w:t>
      </w:r>
    </w:p>
    <w:p>
      <w:r>
        <w:t>迁移管理 MySQL；Checkpoint 内部表由官方 setup() 初始化。没有 Agent 密钥时可使用普通业务和查看历史，Run 执行相关操作返回 503。生产模式要求强 JWT 密钥；Compose 中 Checkpoint 主机使用服务名。详见 README（../README.md）。</w:t>
      </w:r>
    </w:p>
    <w:p>
      <w:pPr>
        <w:pStyle w:val="Heading1"/>
      </w:pPr>
      <w:r>
        <w:t>5 验证与现状</w:t>
      </w:r>
    </w:p>
    <w:p>
      <w:r>
        <w:t>2026-10-12 发布前验收：后端完整回归 271 项通过，含 6 项真实双库集成和 2 项发布配置静态契约测试；前端 18 项测试、Lint 和生产构建通过；固定评测 30/30、在线 HTTP 12 项通过。HTTP 验收使用模型供应商替身，保留真实 Graph、Runtime、工具和数据库链路，证明工程行为，不证明真实模型理解能力、抗注入或成本表现。</w:t>
      </w:r>
    </w:p>
    <w:p>
      <w:pPr>
        <w:spacing w:after="0" w:line="252" w:lineRule="auto"/>
      </w:pPr>
      <w:r>
        <w:rPr>
          <w:rFonts w:ascii="Consolas" w:hAnsi="Consolas"/>
          <w:sz w:val="18"/>
        </w:rPr>
        <w:t># backend：先安装 requirements-dev.txt</w:t>
      </w:r>
    </w:p>
    <w:p>
      <w:pPr>
        <w:spacing w:after="0" w:line="252" w:lineRule="auto"/>
      </w:pPr>
      <w:r>
        <w:rPr>
          <w:rFonts w:ascii="Consolas" w:hAnsi="Consolas"/>
          <w:sz w:val="18"/>
        </w:rPr>
        <w:t>ruff check app tests alembic evals</w:t>
      </w:r>
    </w:p>
    <w:p>
      <w:pPr>
        <w:spacing w:after="0" w:line="252" w:lineRule="auto"/>
      </w:pPr>
      <w:r>
        <w:rPr>
          <w:rFonts w:ascii="Consolas" w:hAnsi="Consolas"/>
          <w:sz w:val="18"/>
        </w:rPr>
        <w:t>pytest -m "not integration"</w:t>
      </w:r>
    </w:p>
    <w:p>
      <w:pPr>
        <w:spacing w:after="0" w:line="252" w:lineRule="auto"/>
      </w:pPr>
      <w:r>
        <w:rPr>
          <w:rFonts w:ascii="Consolas" w:hAnsi="Consolas"/>
          <w:sz w:val="18"/>
        </w:rPr>
        <w:t>python -m evals --seed 0 --output ../.run/agent-evaluation.json</w:t>
      </w:r>
    </w:p>
    <w:p>
      <w:pPr>
        <w:spacing w:after="0" w:line="252" w:lineRule="auto"/>
      </w:pPr>
    </w:p>
    <w:p>
      <w:pPr>
        <w:spacing w:after="0" w:line="252" w:lineRule="auto"/>
      </w:pPr>
      <w:r>
        <w:rPr>
          <w:rFonts w:ascii="Consolas" w:hAnsi="Consolas"/>
          <w:sz w:val="18"/>
        </w:rPr>
        <w:t># frontend</w:t>
      </w:r>
    </w:p>
    <w:p>
      <w:pPr>
        <w:spacing w:after="0" w:line="252" w:lineRule="auto"/>
      </w:pPr>
      <w:r>
        <w:rPr>
          <w:rFonts w:ascii="Consolas" w:hAnsi="Consolas"/>
          <w:sz w:val="18"/>
        </w:rPr>
        <w:t>npm exec vitest run</w:t>
      </w:r>
    </w:p>
    <w:p>
      <w:pPr>
        <w:spacing w:after="0" w:line="252" w:lineRule="auto"/>
      </w:pPr>
      <w:r>
        <w:rPr>
          <w:rFonts w:ascii="Consolas" w:hAnsi="Consolas"/>
          <w:sz w:val="18"/>
        </w:rPr>
        <w:t>npm run check</w:t>
      </w:r>
    </w:p>
    <w:p>
      <w:r>
        <w:t>集成测试另需专用 MYSQL_TEST_DATABASE_URL 和 CHECKPOINT_DATABASE_URL，按 README 的 m10_acceptance 限制准备隔离库后执行 pytest -m integration；不要使用业务库。CI 自动覆盖双库、迁移、评测与前端门禁。</w:t>
      </w:r>
    </w:p>
    <w:p>
      <w:pPr>
        <w:pStyle w:val="Heading1"/>
      </w:pPr>
      <w:r>
        <w:t>6 边界与后续工作</w:t>
      </w:r>
    </w:p>
    <w:p>
      <w:r>
        <w:t>当前仅支持单 backend 进程；多实例需要租约/心跳与恢复归属机制。/health/ready 仅检查 MySQL。此前 Docker Hub 超时导致完整容器构建、空环境部署及 Nginx/SSE 验收未关闭；真实模型演示和远程 CI 状态以最新交付记录为准。前端仍有大 chunk 警告；完整离线迁移 SQL 受历史迁移反射限制，应连接数据库执行迁移。</w:t>
      </w:r>
    </w:p>
    <w:p>
      <w:r>
        <w:t>建议优先关闭部署门禁，再做真实模型评测与成本测量；随后视需求增加语义检索、上下文策略、分布式运行及前端拆包。这些是后续方向，当前未实现。</w:t>
      </w:r>
    </w:p>
    <w:p>
      <w:pPr>
        <w:pStyle w:val="Heading1"/>
      </w:pPr>
      <w:r>
        <w:t>7 阅读与展示顺序</w:t>
      </w:r>
    </w:p>
    <w:p>
      <w:r>
        <w:t>先读 README 并运行任务/笔记页面；沿 App.tsx → api → routers → models 理解普通业务。再读架构（agent-architecture.md），沿 AgentPage → agents.py → runtime.py → graph.py → tools 跟踪一次写审批；最后结合演示（agent-demo.md）、评测（agent-evaluation.md）及测试理解故障路径。</w:t>
      </w:r>
    </w:p>
    <w:p>
      <w:r>
        <w:t>面试可用“创建任务前暂停审批，编辑后只写入一次，刷新回放，进程中断后恢复”的实例解释设计；核心是权限、审计、事务与可恢复执行，而不是仅展示模型返回文本。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Arial" w:hAnsi="Arial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个人事务助理项目说明书</dc:title>
  <dc:subject>项目功能、架构、Agent 流程、运行验证与开发边界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