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F1D" w:rsidRDefault="00550466">
      <w:r>
        <w:rPr>
          <w:rFonts w:hint="eastAsia"/>
        </w:rPr>
        <w:t>高等教育制度文獻回顧</w:t>
      </w:r>
    </w:p>
    <w:p w:rsidR="00550466" w:rsidRDefault="00550466"/>
    <w:p w:rsidR="00550466" w:rsidRDefault="00550466">
      <w:pPr>
        <w:rPr>
          <w:rFonts w:ascii="Arial" w:hAnsi="Arial" w:cs="Arial"/>
          <w:color w:val="222222"/>
          <w:sz w:val="20"/>
          <w:szCs w:val="20"/>
          <w:shd w:val="clear" w:color="auto" w:fill="FFFFFF"/>
        </w:rPr>
      </w:pPr>
      <w:r>
        <w:rPr>
          <w:rFonts w:ascii="Arial" w:hAnsi="Arial" w:cs="Arial"/>
          <w:color w:val="222222"/>
          <w:sz w:val="20"/>
          <w:szCs w:val="20"/>
          <w:shd w:val="clear" w:color="auto" w:fill="FFFFFF"/>
        </w:rPr>
        <w:t>駱明慶</w:t>
      </w:r>
      <w:r>
        <w:rPr>
          <w:rFonts w:ascii="Arial" w:hAnsi="Arial" w:cs="Arial"/>
          <w:color w:val="222222"/>
          <w:sz w:val="20"/>
          <w:szCs w:val="20"/>
          <w:shd w:val="clear" w:color="auto" w:fill="FFFFFF"/>
        </w:rPr>
        <w:t xml:space="preserve">. (2004). </w:t>
      </w:r>
      <w:r>
        <w:rPr>
          <w:rFonts w:ascii="Arial" w:hAnsi="Arial" w:cs="Arial"/>
          <w:color w:val="222222"/>
          <w:sz w:val="20"/>
          <w:szCs w:val="20"/>
          <w:shd w:val="clear" w:color="auto" w:fill="FFFFFF"/>
        </w:rPr>
        <w:t>升學機會與家庭背景</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經濟論文叢刊</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(4), 417-445.</w:t>
      </w:r>
    </w:p>
    <w:p w:rsidR="00550466" w:rsidRDefault="00550466">
      <w:r>
        <w:rPr>
          <w:rFonts w:hint="eastAsia"/>
        </w:rPr>
        <w:t>A</w:t>
      </w:r>
      <w:r>
        <w:t>bstract</w:t>
      </w:r>
    </w:p>
    <w:p w:rsidR="00550466" w:rsidRDefault="00550466" w:rsidP="00550466">
      <w:pPr>
        <w:pStyle w:val="a3"/>
        <w:numPr>
          <w:ilvl w:val="0"/>
          <w:numId w:val="1"/>
        </w:numPr>
        <w:ind w:leftChars="0"/>
      </w:pPr>
      <w:r>
        <w:rPr>
          <w:rFonts w:hint="eastAsia"/>
        </w:rPr>
        <w:t>當就學比例偏低，就學機會增加使家庭背景對個人就學機率的影響增加</w:t>
      </w:r>
      <w:r w:rsidR="00B83261">
        <w:rPr>
          <w:rFonts w:hint="eastAsia"/>
        </w:rPr>
        <w:t>；</w:t>
      </w:r>
      <w:proofErr w:type="gramStart"/>
      <w:r w:rsidR="00B83261">
        <w:rPr>
          <w:rFonts w:hint="eastAsia"/>
        </w:rPr>
        <w:t>反之，</w:t>
      </w:r>
      <w:proofErr w:type="gramEnd"/>
      <w:r w:rsidR="00B83261">
        <w:rPr>
          <w:rFonts w:hint="eastAsia"/>
        </w:rPr>
        <w:t>當就學機會足夠多，則就學機會繼續增加，反而會使家庭背景的影響力減弱。</w:t>
      </w:r>
    </w:p>
    <w:p w:rsidR="00550466" w:rsidRDefault="00847E8F" w:rsidP="00550466">
      <w:pPr>
        <w:pStyle w:val="a3"/>
        <w:numPr>
          <w:ilvl w:val="0"/>
          <w:numId w:val="1"/>
        </w:numPr>
        <w:ind w:leftChars="0"/>
      </w:pPr>
      <w:r>
        <w:rPr>
          <w:rFonts w:hint="eastAsia"/>
        </w:rPr>
        <w:t>家庭背景的影響力增加趨勢，與台灣在</w:t>
      </w:r>
      <w:r>
        <w:rPr>
          <w:rFonts w:hint="eastAsia"/>
        </w:rPr>
        <w:t>1987</w:t>
      </w:r>
      <w:r>
        <w:rPr>
          <w:rFonts w:hint="eastAsia"/>
        </w:rPr>
        <w:t>年後大學升學機會增加趨勢一致。</w:t>
      </w:r>
    </w:p>
    <w:p w:rsidR="00DF36AF" w:rsidRDefault="00DF36AF" w:rsidP="00550466">
      <w:pPr>
        <w:pStyle w:val="a3"/>
        <w:numPr>
          <w:ilvl w:val="0"/>
          <w:numId w:val="1"/>
        </w:numPr>
        <w:ind w:leftChars="0"/>
        <w:rPr>
          <w:rFonts w:hint="eastAsia"/>
        </w:rPr>
      </w:pPr>
      <w:r>
        <w:rPr>
          <w:rFonts w:hint="eastAsia"/>
        </w:rPr>
        <w:t>家庭背景對升學機率的影響，已被過去文獻證明，本文旨在分析政策改變導致整體就學機會的增加，如何反過來改家庭背景對個人就學機率的影響。</w:t>
      </w:r>
    </w:p>
    <w:p w:rsidR="00550466" w:rsidRPr="00550466" w:rsidRDefault="00847E8F">
      <w:pPr>
        <w:rPr>
          <w:rFonts w:hint="eastAsia"/>
        </w:rPr>
      </w:pPr>
      <w:r>
        <w:rPr>
          <w:rFonts w:hint="eastAsia"/>
        </w:rPr>
        <w:t>制度面整理</w:t>
      </w:r>
    </w:p>
    <w:p w:rsidR="00550466" w:rsidRDefault="00847E8F" w:rsidP="00847E8F">
      <w:pPr>
        <w:pStyle w:val="a3"/>
        <w:numPr>
          <w:ilvl w:val="0"/>
          <w:numId w:val="2"/>
        </w:numPr>
        <w:ind w:leftChars="0"/>
      </w:pPr>
      <w:r>
        <w:rPr>
          <w:rFonts w:hint="eastAsia"/>
        </w:rPr>
        <w:t>1</w:t>
      </w:r>
      <w:r>
        <w:t>987</w:t>
      </w:r>
      <w:r>
        <w:rPr>
          <w:rFonts w:hint="eastAsia"/>
        </w:rPr>
        <w:t>年開始對大學設立鬆綁，使大學數目與學生人數都增加</w:t>
      </w:r>
    </w:p>
    <w:p w:rsidR="00847E8F" w:rsidRDefault="00847E8F" w:rsidP="00847E8F">
      <w:pPr>
        <w:pStyle w:val="a3"/>
        <w:numPr>
          <w:ilvl w:val="0"/>
          <w:numId w:val="2"/>
        </w:numPr>
        <w:ind w:leftChars="0"/>
      </w:pPr>
      <w:r>
        <w:rPr>
          <w:rFonts w:hint="eastAsia"/>
        </w:rPr>
        <w:t>1</w:t>
      </w:r>
      <w:r>
        <w:t>986</w:t>
      </w:r>
      <w:r>
        <w:rPr>
          <w:rFonts w:hint="eastAsia"/>
        </w:rPr>
        <w:t>年大學只有</w:t>
      </w:r>
      <w:r>
        <w:rPr>
          <w:rFonts w:hint="eastAsia"/>
        </w:rPr>
        <w:t>28</w:t>
      </w:r>
      <w:r>
        <w:rPr>
          <w:rFonts w:hint="eastAsia"/>
        </w:rPr>
        <w:t>所，在</w:t>
      </w:r>
      <w:r>
        <w:rPr>
          <w:rFonts w:hint="eastAsia"/>
        </w:rPr>
        <w:t>1990</w:t>
      </w:r>
      <w:r>
        <w:rPr>
          <w:rFonts w:hint="eastAsia"/>
        </w:rPr>
        <w:t>年增加為</w:t>
      </w:r>
      <w:r>
        <w:rPr>
          <w:rFonts w:hint="eastAsia"/>
        </w:rPr>
        <w:t>46</w:t>
      </w:r>
      <w:r>
        <w:rPr>
          <w:rFonts w:hint="eastAsia"/>
        </w:rPr>
        <w:t>所，</w:t>
      </w:r>
      <w:r>
        <w:rPr>
          <w:rFonts w:hint="eastAsia"/>
        </w:rPr>
        <w:t>1</w:t>
      </w:r>
      <w:r>
        <w:t>995</w:t>
      </w:r>
      <w:r>
        <w:rPr>
          <w:rFonts w:hint="eastAsia"/>
        </w:rPr>
        <w:t>年增加至</w:t>
      </w:r>
      <w:r>
        <w:rPr>
          <w:rFonts w:hint="eastAsia"/>
        </w:rPr>
        <w:t>6</w:t>
      </w:r>
      <w:r>
        <w:t>0</w:t>
      </w:r>
      <w:r>
        <w:rPr>
          <w:rFonts w:hint="eastAsia"/>
        </w:rPr>
        <w:t>所，</w:t>
      </w:r>
      <w:r>
        <w:rPr>
          <w:rFonts w:hint="eastAsia"/>
        </w:rPr>
        <w:t>2001</w:t>
      </w:r>
      <w:r>
        <w:rPr>
          <w:rFonts w:hint="eastAsia"/>
        </w:rPr>
        <w:t>年大學總數達到</w:t>
      </w:r>
      <w:r>
        <w:rPr>
          <w:rFonts w:hint="eastAsia"/>
        </w:rPr>
        <w:t>1</w:t>
      </w:r>
      <w:r>
        <w:t>35</w:t>
      </w:r>
      <w:r>
        <w:rPr>
          <w:rFonts w:hint="eastAsia"/>
        </w:rPr>
        <w:t>所。</w:t>
      </w:r>
      <w:r>
        <w:t>*</w:t>
      </w:r>
      <w:r>
        <w:rPr>
          <w:rFonts w:hint="eastAsia"/>
        </w:rPr>
        <w:t>快速增加的大學有很大部分是由專科學校改制而來，</w:t>
      </w:r>
      <w:r>
        <w:rPr>
          <w:rFonts w:hint="eastAsia"/>
        </w:rPr>
        <w:t>1986</w:t>
      </w:r>
      <w:r>
        <w:rPr>
          <w:rFonts w:hint="eastAsia"/>
        </w:rPr>
        <w:t>年專科學校有</w:t>
      </w:r>
      <w:r>
        <w:rPr>
          <w:rFonts w:hint="eastAsia"/>
        </w:rPr>
        <w:t>77</w:t>
      </w:r>
      <w:r>
        <w:rPr>
          <w:rFonts w:hint="eastAsia"/>
        </w:rPr>
        <w:t>所，</w:t>
      </w:r>
      <w:r>
        <w:rPr>
          <w:rFonts w:hint="eastAsia"/>
        </w:rPr>
        <w:t>2001</w:t>
      </w:r>
      <w:r>
        <w:rPr>
          <w:rFonts w:hint="eastAsia"/>
        </w:rPr>
        <w:t>年只剩下</w:t>
      </w:r>
      <w:r>
        <w:rPr>
          <w:rFonts w:hint="eastAsia"/>
        </w:rPr>
        <w:t>19</w:t>
      </w:r>
      <w:r>
        <w:rPr>
          <w:rFonts w:hint="eastAsia"/>
        </w:rPr>
        <w:t>所。</w:t>
      </w:r>
    </w:p>
    <w:p w:rsidR="00847E8F" w:rsidRDefault="00D77A2D" w:rsidP="00847E8F">
      <w:pPr>
        <w:pStyle w:val="a3"/>
        <w:numPr>
          <w:ilvl w:val="0"/>
          <w:numId w:val="2"/>
        </w:numPr>
        <w:ind w:leftChars="0"/>
      </w:pPr>
      <w:r>
        <w:rPr>
          <w:rFonts w:hint="eastAsia"/>
        </w:rPr>
        <w:t>政府除了開放大學設立，同時也有「低學費」政策</w:t>
      </w:r>
      <w:r w:rsidR="008B7572">
        <w:rPr>
          <w:rFonts w:hint="eastAsia"/>
        </w:rPr>
        <w:t>，教育成本由納稅人負擔。</w:t>
      </w:r>
    </w:p>
    <w:p w:rsidR="008B7572" w:rsidRDefault="001F34BE" w:rsidP="00DF36AF">
      <w:r>
        <w:rPr>
          <w:rFonts w:hint="eastAsia"/>
        </w:rPr>
        <w:t>區分</w:t>
      </w:r>
      <w:r w:rsidR="00B83261">
        <w:rPr>
          <w:rFonts w:hint="eastAsia"/>
        </w:rPr>
        <w:t>六種家庭背景：</w:t>
      </w:r>
    </w:p>
    <w:p w:rsidR="00B83261" w:rsidRDefault="00B83261" w:rsidP="00B83261">
      <w:pPr>
        <w:pStyle w:val="a3"/>
        <w:numPr>
          <w:ilvl w:val="0"/>
          <w:numId w:val="4"/>
        </w:numPr>
        <w:ind w:leftChars="0"/>
      </w:pPr>
      <w:proofErr w:type="gramStart"/>
      <w:r>
        <w:rPr>
          <w:rFonts w:hint="eastAsia"/>
        </w:rPr>
        <w:t>東部，</w:t>
      </w:r>
      <w:proofErr w:type="gramEnd"/>
      <w:r>
        <w:rPr>
          <w:rFonts w:hint="eastAsia"/>
        </w:rPr>
        <w:t>父母國中畢業，非公務員，非老師</w:t>
      </w:r>
    </w:p>
    <w:p w:rsidR="00B83261" w:rsidRDefault="00B83261" w:rsidP="00B83261">
      <w:pPr>
        <w:pStyle w:val="a3"/>
        <w:numPr>
          <w:ilvl w:val="0"/>
          <w:numId w:val="4"/>
        </w:numPr>
        <w:ind w:leftChars="0"/>
        <w:rPr>
          <w:rFonts w:hint="eastAsia"/>
        </w:rPr>
      </w:pPr>
      <w:proofErr w:type="gramStart"/>
      <w:r>
        <w:rPr>
          <w:rFonts w:hint="eastAsia"/>
        </w:rPr>
        <w:t>東部，</w:t>
      </w:r>
      <w:proofErr w:type="gramEnd"/>
      <w:r>
        <w:rPr>
          <w:rFonts w:hint="eastAsia"/>
        </w:rPr>
        <w:t>父母</w:t>
      </w:r>
      <w:r>
        <w:rPr>
          <w:rFonts w:hint="eastAsia"/>
        </w:rPr>
        <w:t>高</w:t>
      </w:r>
      <w:r>
        <w:rPr>
          <w:rFonts w:hint="eastAsia"/>
        </w:rPr>
        <w:t>中畢業，非公務員，非老師</w:t>
      </w:r>
    </w:p>
    <w:p w:rsidR="00B83261" w:rsidRDefault="00B83261" w:rsidP="00B83261">
      <w:pPr>
        <w:pStyle w:val="a3"/>
        <w:numPr>
          <w:ilvl w:val="0"/>
          <w:numId w:val="4"/>
        </w:numPr>
        <w:ind w:leftChars="0"/>
        <w:rPr>
          <w:rFonts w:hint="eastAsia"/>
        </w:rPr>
      </w:pPr>
      <w:r>
        <w:rPr>
          <w:rFonts w:hint="eastAsia"/>
        </w:rPr>
        <w:t>北市</w:t>
      </w:r>
      <w:r>
        <w:rPr>
          <w:rFonts w:hint="eastAsia"/>
        </w:rPr>
        <w:t>，父母</w:t>
      </w:r>
      <w:r>
        <w:rPr>
          <w:rFonts w:hint="eastAsia"/>
        </w:rPr>
        <w:t>高</w:t>
      </w:r>
      <w:r>
        <w:rPr>
          <w:rFonts w:hint="eastAsia"/>
        </w:rPr>
        <w:t>中畢業，非公務員，非老師</w:t>
      </w:r>
    </w:p>
    <w:p w:rsidR="00B83261" w:rsidRDefault="00B83261" w:rsidP="00B83261">
      <w:pPr>
        <w:pStyle w:val="a3"/>
        <w:numPr>
          <w:ilvl w:val="0"/>
          <w:numId w:val="4"/>
        </w:numPr>
        <w:ind w:leftChars="0"/>
        <w:rPr>
          <w:rFonts w:hint="eastAsia"/>
        </w:rPr>
      </w:pPr>
      <w:r>
        <w:rPr>
          <w:rFonts w:hint="eastAsia"/>
        </w:rPr>
        <w:t>北市，父母</w:t>
      </w:r>
      <w:r>
        <w:rPr>
          <w:rFonts w:hint="eastAsia"/>
        </w:rPr>
        <w:t>大學</w:t>
      </w:r>
      <w:r>
        <w:rPr>
          <w:rFonts w:hint="eastAsia"/>
        </w:rPr>
        <w:t>畢業，非公務員，非老師</w:t>
      </w:r>
    </w:p>
    <w:p w:rsidR="00B83261" w:rsidRDefault="00B83261" w:rsidP="00B83261">
      <w:pPr>
        <w:pStyle w:val="a3"/>
        <w:numPr>
          <w:ilvl w:val="0"/>
          <w:numId w:val="4"/>
        </w:numPr>
        <w:ind w:leftChars="0"/>
        <w:rPr>
          <w:rFonts w:hint="eastAsia"/>
        </w:rPr>
      </w:pPr>
      <w:r>
        <w:rPr>
          <w:rFonts w:hint="eastAsia"/>
        </w:rPr>
        <w:t>北市，父母大學畢業，公務員，非老師</w:t>
      </w:r>
    </w:p>
    <w:p w:rsidR="00B83261" w:rsidRDefault="00B83261" w:rsidP="00B83261">
      <w:pPr>
        <w:pStyle w:val="a3"/>
        <w:numPr>
          <w:ilvl w:val="0"/>
          <w:numId w:val="4"/>
        </w:numPr>
        <w:ind w:leftChars="0"/>
        <w:rPr>
          <w:rFonts w:hint="eastAsia"/>
        </w:rPr>
      </w:pPr>
      <w:r>
        <w:rPr>
          <w:rFonts w:hint="eastAsia"/>
        </w:rPr>
        <w:t>北市，父母大學畢業，公務員，老師</w:t>
      </w:r>
    </w:p>
    <w:p w:rsidR="00847E8F" w:rsidRPr="00B83261" w:rsidRDefault="00B83261">
      <w:r>
        <w:rPr>
          <w:rFonts w:hint="eastAsia"/>
        </w:rPr>
        <w:t>預期機率</w:t>
      </w:r>
    </w:p>
    <w:p w:rsidR="00847E8F" w:rsidRDefault="00B83261" w:rsidP="00B83261">
      <w:pPr>
        <w:jc w:val="center"/>
      </w:pPr>
      <w:r w:rsidRPr="00B83261">
        <w:drawing>
          <wp:inline distT="0" distB="0" distL="0" distR="0" wp14:anchorId="444036A9" wp14:editId="1C6CB3BD">
            <wp:extent cx="3386138" cy="2483141"/>
            <wp:effectExtent l="0" t="0" r="508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9050" cy="2499943"/>
                    </a:xfrm>
                    <a:prstGeom prst="rect">
                      <a:avLst/>
                    </a:prstGeom>
                  </pic:spPr>
                </pic:pic>
              </a:graphicData>
            </a:graphic>
          </wp:inline>
        </w:drawing>
      </w:r>
    </w:p>
    <w:p w:rsidR="00B83261" w:rsidRDefault="00B83261">
      <w:pPr>
        <w:rPr>
          <w:rFonts w:hint="eastAsia"/>
        </w:rPr>
      </w:pPr>
    </w:p>
    <w:p w:rsidR="00550466" w:rsidRDefault="00D77A2D">
      <w:r w:rsidRPr="00D77A2D">
        <w:drawing>
          <wp:inline distT="0" distB="0" distL="0" distR="0" wp14:anchorId="5174037C" wp14:editId="50CC4554">
            <wp:extent cx="3870419" cy="471011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7162" cy="4718319"/>
                    </a:xfrm>
                    <a:prstGeom prst="rect">
                      <a:avLst/>
                    </a:prstGeom>
                  </pic:spPr>
                </pic:pic>
              </a:graphicData>
            </a:graphic>
          </wp:inline>
        </w:drawing>
      </w:r>
    </w:p>
    <w:p w:rsidR="003730FA" w:rsidRDefault="003730FA"/>
    <w:p w:rsidR="003730FA" w:rsidRDefault="003730FA"/>
    <w:p w:rsidR="003730FA" w:rsidRDefault="00BC6ED5">
      <w:r>
        <w:rPr>
          <w:rFonts w:ascii="Arial" w:hAnsi="Arial" w:cs="Arial"/>
          <w:color w:val="222222"/>
          <w:sz w:val="20"/>
          <w:szCs w:val="20"/>
          <w:shd w:val="clear" w:color="auto" w:fill="FFFFFF"/>
        </w:rPr>
        <w:t>張宜君</w:t>
      </w:r>
      <w:r>
        <w:rPr>
          <w:rFonts w:ascii="Arial" w:hAnsi="Arial" w:cs="Arial"/>
          <w:color w:val="222222"/>
          <w:sz w:val="20"/>
          <w:szCs w:val="20"/>
          <w:shd w:val="clear" w:color="auto" w:fill="FFFFFF"/>
        </w:rPr>
        <w:t xml:space="preserve">, &amp; </w:t>
      </w:r>
      <w:r>
        <w:rPr>
          <w:rFonts w:ascii="Arial" w:hAnsi="Arial" w:cs="Arial"/>
          <w:color w:val="222222"/>
          <w:sz w:val="20"/>
          <w:szCs w:val="20"/>
          <w:shd w:val="clear" w:color="auto" w:fill="FFFFFF"/>
        </w:rPr>
        <w:t>林宗弘</w:t>
      </w:r>
      <w:r>
        <w:rPr>
          <w:rFonts w:ascii="Arial" w:hAnsi="Arial" w:cs="Arial"/>
          <w:color w:val="222222"/>
          <w:sz w:val="20"/>
          <w:szCs w:val="20"/>
          <w:shd w:val="clear" w:color="auto" w:fill="FFFFFF"/>
        </w:rPr>
        <w:t xml:space="preserve">. (2015). </w:t>
      </w:r>
      <w:r>
        <w:rPr>
          <w:rFonts w:ascii="Arial" w:hAnsi="Arial" w:cs="Arial"/>
          <w:color w:val="222222"/>
          <w:sz w:val="20"/>
          <w:szCs w:val="20"/>
          <w:shd w:val="clear" w:color="auto" w:fill="FFFFFF"/>
        </w:rPr>
        <w:t>臺灣的高等教育擴張與階級複製</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混合效應維續的不平等</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臺灣教育社會學研究</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(2), 85-129.</w:t>
      </w:r>
    </w:p>
    <w:p w:rsidR="003730FA" w:rsidRDefault="00BC6ED5">
      <w:r>
        <w:rPr>
          <w:rFonts w:hint="eastAsia"/>
        </w:rPr>
        <w:t>A</w:t>
      </w:r>
      <w:r>
        <w:t>bstract</w:t>
      </w:r>
    </w:p>
    <w:p w:rsidR="00BC6ED5" w:rsidRDefault="00BC6ED5" w:rsidP="00BC6ED5">
      <w:pPr>
        <w:pStyle w:val="a3"/>
        <w:numPr>
          <w:ilvl w:val="0"/>
          <w:numId w:val="5"/>
        </w:numPr>
        <w:ind w:leftChars="0"/>
      </w:pPr>
      <w:r>
        <w:t>本研究運用臺灣社會變遷基本調查與</w:t>
      </w:r>
      <w:proofErr w:type="gramStart"/>
      <w:r>
        <w:t>新韋伯派</w:t>
      </w:r>
      <w:proofErr w:type="gramEnd"/>
      <w:r>
        <w:t>的階級分類法，檢視高等教育擴張對學生教育機會分配的影響。</w:t>
      </w:r>
    </w:p>
    <w:p w:rsidR="00BC6ED5" w:rsidRDefault="00BC6ED5" w:rsidP="00BC6ED5">
      <w:pPr>
        <w:pStyle w:val="a3"/>
        <w:numPr>
          <w:ilvl w:val="0"/>
          <w:numId w:val="5"/>
        </w:numPr>
        <w:ind w:leftChars="0"/>
        <w:rPr>
          <w:rFonts w:hint="eastAsia"/>
        </w:rPr>
      </w:pPr>
      <w:r>
        <w:t>高教擴張導致大學水平分化，優勢階級子女就讀篩選性高且教學資源充裕的公立一般大學、進而增加繼續就讀研究所的機會，而中、下階級家庭子女易進入學費較高與教學資源相對缺乏的私立或技職大學，在背負學貸或打工還債影響學業成績的壓力下，繼續就讀研究所的機率較低</w:t>
      </w:r>
      <w:r>
        <w:rPr>
          <w:rFonts w:hint="eastAsia"/>
        </w:rPr>
        <w:t>。</w:t>
      </w:r>
      <w:bookmarkStart w:id="0" w:name="_GoBack"/>
      <w:bookmarkEnd w:id="0"/>
    </w:p>
    <w:p w:rsidR="003730FA" w:rsidRDefault="003730FA"/>
    <w:p w:rsidR="003730FA" w:rsidRDefault="003730FA"/>
    <w:p w:rsidR="003730FA" w:rsidRDefault="003730FA"/>
    <w:p w:rsidR="003730FA" w:rsidRDefault="003730FA"/>
    <w:p w:rsidR="003730FA" w:rsidRDefault="003730FA"/>
    <w:p w:rsidR="003730FA" w:rsidRDefault="003730FA"/>
    <w:p w:rsidR="003730FA" w:rsidRDefault="003730FA"/>
    <w:p w:rsidR="003730FA" w:rsidRDefault="003730FA"/>
    <w:p w:rsidR="003730FA" w:rsidRDefault="003730FA"/>
    <w:p w:rsidR="003730FA" w:rsidRDefault="003730FA"/>
    <w:p w:rsidR="003730FA" w:rsidRDefault="003730FA"/>
    <w:p w:rsidR="003730FA" w:rsidRDefault="003730FA"/>
    <w:p w:rsidR="003730FA" w:rsidRDefault="003730FA">
      <w:pPr>
        <w:rPr>
          <w:rFonts w:hint="eastAsia"/>
        </w:rPr>
      </w:pPr>
    </w:p>
    <w:sectPr w:rsidR="003730F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96E12"/>
    <w:multiLevelType w:val="hybridMultilevel"/>
    <w:tmpl w:val="DFBA5C38"/>
    <w:lvl w:ilvl="0" w:tplc="D3F6442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9C3EBA"/>
    <w:multiLevelType w:val="hybridMultilevel"/>
    <w:tmpl w:val="6C546D1A"/>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3B83DA2"/>
    <w:multiLevelType w:val="hybridMultilevel"/>
    <w:tmpl w:val="828CB86C"/>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10B0600"/>
    <w:multiLevelType w:val="hybridMultilevel"/>
    <w:tmpl w:val="F1D28DD2"/>
    <w:lvl w:ilvl="0" w:tplc="BCA0C6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66F5697"/>
    <w:multiLevelType w:val="hybridMultilevel"/>
    <w:tmpl w:val="68E6A4EC"/>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66"/>
    <w:rsid w:val="001F34BE"/>
    <w:rsid w:val="003730FA"/>
    <w:rsid w:val="00550466"/>
    <w:rsid w:val="00847E8F"/>
    <w:rsid w:val="008B7572"/>
    <w:rsid w:val="00B80F1D"/>
    <w:rsid w:val="00B83261"/>
    <w:rsid w:val="00BC6ED5"/>
    <w:rsid w:val="00D77A2D"/>
    <w:rsid w:val="00DF36AF"/>
    <w:rsid w:val="00F85D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6121"/>
  <w15:chartTrackingRefBased/>
  <w15:docId w15:val="{A31DB3B0-5175-4C83-90E8-D70B242A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046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亦婕 伍</dc:creator>
  <cp:keywords/>
  <dc:description/>
  <cp:lastModifiedBy>亦婕 伍</cp:lastModifiedBy>
  <cp:revision>6</cp:revision>
  <dcterms:created xsi:type="dcterms:W3CDTF">2023-06-23T05:25:00Z</dcterms:created>
  <dcterms:modified xsi:type="dcterms:W3CDTF">2023-06-23T06:33:00Z</dcterms:modified>
</cp:coreProperties>
</file>