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Sales Data Analysis</w:t>
      </w:r>
    </w:p>
    <w:p>
      <w:pPr>
        <w:spacing w:after="400" w:before="120"/>
        <w:jc w:val="center"/>
      </w:pPr>
      <w:r>
        <w:rPr>
          <w:color w:val="2E74B5"/>
          <w:sz w:val="30"/>
          <w:szCs w:val="30"/>
        </w:rPr>
        <w:t xml:space="preserve">A PostgreSQL SQL Portfolio Project</w:t>
      </w:r>
    </w:p>
    <w:p>
      <w:pPr>
        <w:spacing w:after="40"/>
        <w:jc w:val="center"/>
      </w:pPr>
      <w:r>
        <w:rPr>
          <w:color w:val="595959"/>
          <w:sz w:val="22"/>
          <w:szCs w:val="22"/>
        </w:rPr>
        <w:t xml:space="preserve">Dataset: Kaggle “Sample Sales Data” (Kyanyoga)</w:t>
      </w:r>
    </w:p>
    <w:p>
      <w:pPr>
        <w:spacing w:after="40"/>
        <w:jc w:val="center"/>
      </w:pPr>
      <w:r>
        <w:rPr>
          <w:color w:val="595959"/>
          <w:sz w:val="22"/>
          <w:szCs w:val="22"/>
        </w:rPr>
        <w:t xml:space="preserve">Database Engine: PostgreSQL 16</w:t>
      </w:r>
    </w:p>
    <w:p>
      <w:pPr>
        <w:spacing w:after="40"/>
        <w:jc w:val="center"/>
      </w:pPr>
      <w:r>
        <w:rPr>
          <w:color w:val="595959"/>
          <w:sz w:val="22"/>
          <w:szCs w:val="22"/>
        </w:rPr>
        <w:t xml:space="preserve">Deliverables: sales_analysis.sql  |  This report</w:t>
      </w:r>
    </w:p>
    <w:p>
      <w:r>
        <w:br w:type="page"/>
      </w:r>
    </w:p>
    <w:p>
      <w:pPr>
        <w:pStyle w:val="Heading1"/>
        <w:spacing w:after="160" w:before="320"/>
      </w:pPr>
      <w:r>
        <w:t xml:space="preserve">1. Executive Summary</w:t>
      </w:r>
    </w:p>
    <w:p>
      <w:pPr>
        <w:spacing w:after="160" w:line="276"/>
      </w:pPr>
      <w:r>
        <w:rPr>
          <w:sz w:val="22"/>
          <w:szCs w:val="22"/>
        </w:rPr>
        <w:t xml:space="preserve">This project takes a raw, denormalized sales export (2,823 order lines covering 307 orders, 92 customers, and 109 products across 7 product lines, January 2003 – May 2005) and turns it into a proper relational database in PostgreSQL, then mines it for business insight using SQL ranging from basic filtering to window functions.</w:t>
      </w:r>
    </w:p>
    <w:p>
      <w:pPr>
        <w:spacing w:after="160" w:line="276"/>
      </w:pPr>
      <w:r>
        <w:rPr>
          <w:sz w:val="22"/>
          <w:szCs w:val="22"/>
        </w:rPr>
        <w:t xml:space="preserve">Headline numbers:</w:t>
      </w:r>
    </w:p>
    <w:p>
      <w:pPr>
        <w:pStyle w:val="ListParagraph"/>
        <w:numPr>
          <w:ilvl w:val="0"/>
          <w:numId w:val="1"/>
        </w:numPr>
        <w:spacing w:after="80" w:line="276"/>
      </w:pPr>
      <w:r>
        <w:rPr>
          <w:sz w:val="22"/>
          <w:szCs w:val="22"/>
        </w:rPr>
        <w:t xml:space="preserve">Total revenue analyzed: $10,032,628.85 across 2,823 order lines</w:t>
      </w:r>
    </w:p>
    <w:p>
      <w:pPr>
        <w:pStyle w:val="ListParagraph"/>
        <w:numPr>
          <w:ilvl w:val="0"/>
          <w:numId w:val="1"/>
        </w:numPr>
        <w:spacing w:after="80" w:line="276"/>
      </w:pPr>
      <w:r>
        <w:rPr>
          <w:sz w:val="22"/>
          <w:szCs w:val="22"/>
        </w:rPr>
        <w:t xml:space="preserve">Average order-line sale: $3,553.89</w:t>
      </w:r>
    </w:p>
    <w:p>
      <w:pPr>
        <w:pStyle w:val="ListParagraph"/>
        <w:numPr>
          <w:ilvl w:val="0"/>
          <w:numId w:val="1"/>
        </w:numPr>
        <w:spacing w:after="80" w:line="276"/>
      </w:pPr>
      <w:r>
        <w:rPr>
          <w:sz w:val="22"/>
          <w:szCs w:val="22"/>
        </w:rPr>
        <w:t xml:space="preserve">92.6% of revenue came from Shipped orders; 4.6% sits in Cancelled, On Hold, Resolved, or Disputed orders</w:t>
      </w:r>
    </w:p>
    <w:p>
      <w:pPr>
        <w:pStyle w:val="ListParagraph"/>
        <w:numPr>
          <w:ilvl w:val="0"/>
          <w:numId w:val="1"/>
        </w:numPr>
        <w:spacing w:after="80" w:line="276"/>
      </w:pPr>
      <w:r>
        <w:rPr>
          <w:sz w:val="22"/>
          <w:szCs w:val="22"/>
        </w:rPr>
        <w:t xml:space="preserve">Classic Cars is the dominant product line every single year in the dataset (2003–2005)</w:t>
      </w:r>
    </w:p>
    <w:p>
      <w:pPr>
        <w:pStyle w:val="ListParagraph"/>
        <w:numPr>
          <w:ilvl w:val="0"/>
          <w:numId w:val="1"/>
        </w:numPr>
        <w:spacing w:after="80" w:line="276"/>
      </w:pPr>
      <w:r>
        <w:rPr>
          <w:sz w:val="22"/>
          <w:szCs w:val="22"/>
        </w:rPr>
        <w:t xml:space="preserve">Euro Shopping Channel (Spain) is the #1 customer by a wide margin — $912K, nearly 40% more than #2</w:t>
      </w:r>
    </w:p>
    <w:p>
      <w:pPr>
        <w:pStyle w:val="ListParagraph"/>
        <w:numPr>
          <w:ilvl w:val="0"/>
          <w:numId w:val="1"/>
        </w:numPr>
        <w:spacing w:after="80" w:line="276"/>
      </w:pPr>
      <w:r>
        <w:rPr>
          <w:sz w:val="22"/>
          <w:szCs w:val="22"/>
        </w:rPr>
        <w:t xml:space="preserve">91 of 92 customers are repeat buyers, and repeat customers spend over 3x more on average than the single one-time buyer</w:t>
      </w:r>
    </w:p>
    <w:p>
      <w:pPr>
        <w:pBdr>
          <w:bottom w:val="single" w:color="AAAAAA" w:sz="6" w:space="1"/>
        </w:pBdr>
        <w:spacing w:after="200"/>
      </w:pPr>
    </w:p>
    <w:p>
      <w:pPr>
        <w:pStyle w:val="Heading1"/>
        <w:spacing w:after="160" w:before="320"/>
      </w:pPr>
      <w:r>
        <w:t xml:space="preserve">2. Database Setup &amp; Schema Design</w:t>
      </w:r>
    </w:p>
    <w:p>
      <w:pPr>
        <w:spacing w:after="160" w:line="276"/>
      </w:pPr>
      <w:r>
        <w:rPr>
          <w:sz w:val="22"/>
          <w:szCs w:val="22"/>
        </w:rPr>
        <w:t xml:space="preserve">The source CSV is a single flat table — every row mixes order info, product info, and customer info together. That's fine for a spreadsheet, but it's not a real database: customer details are repeated on every order line, there's no referential integrity, and it invites data-entry inconsistencies. Step one was normalizing it into four related tables.</w:t>
      </w:r>
    </w:p>
    <w:p>
      <w:pPr>
        <w:pStyle w:val="Heading2"/>
        <w:spacing w:after="120" w:before="240"/>
      </w:pPr>
      <w:r>
        <w:t xml:space="preserve">2.1 Entity-Relationship Overview</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gridCol w:w="32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Table</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Grain (1 row =)</w:t>
            </w:r>
          </w:p>
        </w:tc>
        <w:tc>
          <w:tcPr>
            <w:tcW w:type="dxa" w:w="2800"/>
            <w:shd w:fill="1F3864" w:val="clear"/>
            <w:tcMar>
              <w:top w:type="dxa" w:w="80"/>
              <w:left w:type="dxa" w:w="100"/>
              <w:bottom w:type="dxa" w:w="80"/>
              <w:right w:type="dxa" w:w="100"/>
            </w:tcMar>
          </w:tcPr>
          <w:p>
            <w:pPr>
              <w:jc w:val="left"/>
            </w:pPr>
            <w:r>
              <w:rPr>
                <w:b/>
                <w:bCs/>
                <w:color w:val="FFFFFF"/>
                <w:sz w:val="20"/>
                <w:szCs w:val="20"/>
              </w:rPr>
              <w:t xml:space="preserve">Primary Key</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Foreign Keys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customers</w:t>
            </w:r>
          </w:p>
        </w:tc>
        <w:tc>
          <w:tcPr>
            <w:tcW w:type="dxa" w:w="3200"/>
            <w:tcMar>
              <w:top w:type="dxa" w:w="80"/>
              <w:left w:type="dxa" w:w="100"/>
              <w:bottom w:type="dxa" w:w="80"/>
              <w:right w:type="dxa" w:w="100"/>
            </w:tcMar>
          </w:tcPr>
          <w:p>
            <w:pPr>
              <w:jc w:val="right"/>
            </w:pPr>
            <w:r>
              <w:rPr>
                <w:b w:val="false"/>
                <w:bCs w:val="false"/>
                <w:color w:val="000000"/>
                <w:sz w:val="20"/>
                <w:szCs w:val="20"/>
              </w:rPr>
              <w:t xml:space="preserve">one unique customer</w:t>
            </w:r>
          </w:p>
        </w:tc>
        <w:tc>
          <w:tcPr>
            <w:tcW w:type="dxa" w:w="2800"/>
            <w:tcMar>
              <w:top w:type="dxa" w:w="80"/>
              <w:left w:type="dxa" w:w="100"/>
              <w:bottom w:type="dxa" w:w="80"/>
              <w:right w:type="dxa" w:w="100"/>
            </w:tcMar>
          </w:tcPr>
          <w:p>
            <w:pPr>
              <w:jc w:val="right"/>
            </w:pPr>
            <w:r>
              <w:rPr>
                <w:b w:val="false"/>
                <w:bCs w:val="false"/>
                <w:color w:val="000000"/>
                <w:sz w:val="20"/>
                <w:szCs w:val="20"/>
              </w:rPr>
              <w:t xml:space="preserve">customer_id</w:t>
            </w:r>
          </w:p>
        </w:tc>
        <w:tc>
          <w:tcPr>
            <w:tcW w:type="dxa" w:w="3200"/>
            <w:tcMar>
              <w:top w:type="dxa" w:w="80"/>
              <w:left w:type="dxa" w:w="100"/>
              <w:bottom w:type="dxa" w:w="80"/>
              <w:right w:type="dxa" w:w="100"/>
            </w:tcMar>
          </w:tcPr>
          <w:p>
            <w:pPr>
              <w:jc w:val="right"/>
            </w:pPr>
            <w:r>
              <w:rPr>
                <w:b w:val="false"/>
                <w:bCs w:val="false"/>
                <w:color w:val="000000"/>
                <w:sz w:val="20"/>
                <w:szCs w:val="20"/>
              </w:rPr>
              <w:t xml:space="preserv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products</w:t>
            </w:r>
          </w:p>
        </w:tc>
        <w:tc>
          <w:tcPr>
            <w:tcW w:type="dxa" w:w="3200"/>
            <w:tcMar>
              <w:top w:type="dxa" w:w="80"/>
              <w:left w:type="dxa" w:w="100"/>
              <w:bottom w:type="dxa" w:w="80"/>
              <w:right w:type="dxa" w:w="100"/>
            </w:tcMar>
          </w:tcPr>
          <w:p>
            <w:pPr>
              <w:jc w:val="right"/>
            </w:pPr>
            <w:r>
              <w:rPr>
                <w:b w:val="false"/>
                <w:bCs w:val="false"/>
                <w:color w:val="000000"/>
                <w:sz w:val="20"/>
                <w:szCs w:val="20"/>
              </w:rPr>
              <w:t xml:space="preserve">one unique product</w:t>
            </w:r>
          </w:p>
        </w:tc>
        <w:tc>
          <w:tcPr>
            <w:tcW w:type="dxa" w:w="2800"/>
            <w:tcMar>
              <w:top w:type="dxa" w:w="80"/>
              <w:left w:type="dxa" w:w="100"/>
              <w:bottom w:type="dxa" w:w="80"/>
              <w:right w:type="dxa" w:w="100"/>
            </w:tcMar>
          </w:tcPr>
          <w:p>
            <w:pPr>
              <w:jc w:val="right"/>
            </w:pPr>
            <w:r>
              <w:rPr>
                <w:b w:val="false"/>
                <w:bCs w:val="false"/>
                <w:color w:val="000000"/>
                <w:sz w:val="20"/>
                <w:szCs w:val="20"/>
              </w:rPr>
              <w:t xml:space="preserve">product_code</w:t>
            </w:r>
          </w:p>
        </w:tc>
        <w:tc>
          <w:tcPr>
            <w:tcW w:type="dxa" w:w="3200"/>
            <w:tcMar>
              <w:top w:type="dxa" w:w="80"/>
              <w:left w:type="dxa" w:w="100"/>
              <w:bottom w:type="dxa" w:w="80"/>
              <w:right w:type="dxa" w:w="100"/>
            </w:tcMar>
          </w:tcPr>
          <w:p>
            <w:pPr>
              <w:jc w:val="right"/>
            </w:pPr>
            <w:r>
              <w:rPr>
                <w:b w:val="false"/>
                <w:bCs w:val="false"/>
                <w:color w:val="000000"/>
                <w:sz w:val="20"/>
                <w:szCs w:val="20"/>
              </w:rPr>
              <w:t xml:space="preserv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orders</w:t>
            </w:r>
          </w:p>
        </w:tc>
        <w:tc>
          <w:tcPr>
            <w:tcW w:type="dxa" w:w="3200"/>
            <w:tcMar>
              <w:top w:type="dxa" w:w="80"/>
              <w:left w:type="dxa" w:w="100"/>
              <w:bottom w:type="dxa" w:w="80"/>
              <w:right w:type="dxa" w:w="100"/>
            </w:tcMar>
          </w:tcPr>
          <w:p>
            <w:pPr>
              <w:jc w:val="right"/>
            </w:pPr>
            <w:r>
              <w:rPr>
                <w:b w:val="false"/>
                <w:bCs w:val="false"/>
                <w:color w:val="000000"/>
                <w:sz w:val="20"/>
                <w:szCs w:val="20"/>
              </w:rPr>
              <w:t xml:space="preserve">one order header</w:t>
            </w:r>
          </w:p>
        </w:tc>
        <w:tc>
          <w:tcPr>
            <w:tcW w:type="dxa" w:w="2800"/>
            <w:tcMar>
              <w:top w:type="dxa" w:w="80"/>
              <w:left w:type="dxa" w:w="100"/>
              <w:bottom w:type="dxa" w:w="80"/>
              <w:right w:type="dxa" w:w="100"/>
            </w:tcMar>
          </w:tcPr>
          <w:p>
            <w:pPr>
              <w:jc w:val="right"/>
            </w:pPr>
            <w:r>
              <w:rPr>
                <w:b w:val="false"/>
                <w:bCs w:val="false"/>
                <w:color w:val="000000"/>
                <w:sz w:val="20"/>
                <w:szCs w:val="20"/>
              </w:rPr>
              <w:t xml:space="preserve">order_number</w:t>
            </w:r>
          </w:p>
        </w:tc>
        <w:tc>
          <w:tcPr>
            <w:tcW w:type="dxa" w:w="3200"/>
            <w:tcMar>
              <w:top w:type="dxa" w:w="80"/>
              <w:left w:type="dxa" w:w="100"/>
              <w:bottom w:type="dxa" w:w="80"/>
              <w:right w:type="dxa" w:w="100"/>
            </w:tcMar>
          </w:tcPr>
          <w:p>
            <w:pPr>
              <w:jc w:val="right"/>
            </w:pPr>
            <w:r>
              <w:rPr>
                <w:b w:val="false"/>
                <w:bCs w:val="false"/>
                <w:color w:val="000000"/>
                <w:sz w:val="20"/>
                <w:szCs w:val="20"/>
              </w:rPr>
              <w:t xml:space="preserve">customer_id → customers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order_items</w:t>
            </w:r>
          </w:p>
        </w:tc>
        <w:tc>
          <w:tcPr>
            <w:tcW w:type="dxa" w:w="3200"/>
            <w:tcMar>
              <w:top w:type="dxa" w:w="80"/>
              <w:left w:type="dxa" w:w="100"/>
              <w:bottom w:type="dxa" w:w="80"/>
              <w:right w:type="dxa" w:w="100"/>
            </w:tcMar>
          </w:tcPr>
          <w:p>
            <w:pPr>
              <w:jc w:val="right"/>
            </w:pPr>
            <w:r>
              <w:rPr>
                <w:b w:val="false"/>
                <w:bCs w:val="false"/>
                <w:color w:val="000000"/>
                <w:sz w:val="20"/>
                <w:szCs w:val="20"/>
              </w:rPr>
              <w:t xml:space="preserve">one order line item</w:t>
            </w:r>
          </w:p>
        </w:tc>
        <w:tc>
          <w:tcPr>
            <w:tcW w:type="dxa" w:w="2800"/>
            <w:tcMar>
              <w:top w:type="dxa" w:w="80"/>
              <w:left w:type="dxa" w:w="100"/>
              <w:bottom w:type="dxa" w:w="80"/>
              <w:right w:type="dxa" w:w="100"/>
            </w:tcMar>
          </w:tcPr>
          <w:p>
            <w:pPr>
              <w:jc w:val="right"/>
            </w:pPr>
            <w:r>
              <w:rPr>
                <w:b w:val="false"/>
                <w:bCs w:val="false"/>
                <w:color w:val="000000"/>
                <w:sz w:val="20"/>
                <w:szCs w:val="20"/>
              </w:rPr>
              <w:t xml:space="preserve">(order_number, order_line_number)</w:t>
            </w:r>
          </w:p>
        </w:tc>
        <w:tc>
          <w:tcPr>
            <w:tcW w:type="dxa" w:w="3200"/>
            <w:tcMar>
              <w:top w:type="dxa" w:w="80"/>
              <w:left w:type="dxa" w:w="100"/>
              <w:bottom w:type="dxa" w:w="80"/>
              <w:right w:type="dxa" w:w="100"/>
            </w:tcMar>
          </w:tcPr>
          <w:p>
            <w:pPr>
              <w:jc w:val="right"/>
            </w:pPr>
            <w:r>
              <w:rPr>
                <w:b w:val="false"/>
                <w:bCs w:val="false"/>
                <w:color w:val="000000"/>
                <w:sz w:val="20"/>
                <w:szCs w:val="20"/>
              </w:rPr>
              <w:t xml:space="preserve">order_number → orders; product_code → products</w:t>
            </w:r>
          </w:p>
        </w:tc>
      </w:tr>
    </w:tbl>
    <w:p>
      <w:pPr>
        <w:spacing w:before="160"/>
      </w:pPr>
    </w:p>
    <w:p>
      <w:pPr>
        <w:spacing w:after="160" w:line="276"/>
      </w:pPr>
      <w:r>
        <w:rPr>
          <w:sz w:val="22"/>
          <w:szCs w:val="22"/>
        </w:rPr>
        <w:t xml:space="preserve">Relationships: one customer can place many orders (1–to–many); one order can contain many line items, and each line item references exactly one product (each order and product can appear on many line items — a classic many-to-many between orders and products, resolved through the order_items junction table).</w:t>
      </w:r>
    </w:p>
    <w:p>
      <w:pPr>
        <w:pStyle w:val="Heading2"/>
        <w:spacing w:after="120" w:before="240"/>
      </w:pPr>
      <w:r>
        <w:t xml:space="preserve">2.2 Constraints Enforced</w:t>
      </w:r>
    </w:p>
    <w:p>
      <w:pPr>
        <w:pStyle w:val="ListParagraph"/>
        <w:numPr>
          <w:ilvl w:val="0"/>
          <w:numId w:val="1"/>
        </w:numPr>
        <w:spacing w:after="80" w:line="276"/>
      </w:pPr>
      <w:r>
        <w:rPr>
          <w:sz w:val="22"/>
          <w:szCs w:val="22"/>
        </w:rPr>
        <w:t xml:space="preserve">NOT NULL on every business-critical column (names, dates, amounts)</w:t>
      </w:r>
    </w:p>
    <w:p>
      <w:pPr>
        <w:pStyle w:val="ListParagraph"/>
        <w:numPr>
          <w:ilvl w:val="0"/>
          <w:numId w:val="1"/>
        </w:numPr>
        <w:spacing w:after="80" w:line="276"/>
      </w:pPr>
      <w:r>
        <w:rPr>
          <w:sz w:val="22"/>
          <w:szCs w:val="22"/>
        </w:rPr>
        <w:t xml:space="preserve">UNIQUE on customers.customer_name to prevent duplicate customer records</w:t>
      </w:r>
    </w:p>
    <w:p>
      <w:pPr>
        <w:pStyle w:val="ListParagraph"/>
        <w:numPr>
          <w:ilvl w:val="0"/>
          <w:numId w:val="1"/>
        </w:numPr>
        <w:spacing w:after="80" w:line="276"/>
      </w:pPr>
      <w:r>
        <w:rPr>
          <w:sz w:val="22"/>
          <w:szCs w:val="22"/>
        </w:rPr>
        <w:t xml:space="preserve">CHECK constraints: quantity_ordered &gt; 0, price_each/sales/msrp ≥ 0, qtr_id between 1–4, month_id between 1–12</w:t>
      </w:r>
    </w:p>
    <w:p>
      <w:pPr>
        <w:pStyle w:val="ListParagraph"/>
        <w:numPr>
          <w:ilvl w:val="0"/>
          <w:numId w:val="1"/>
        </w:numPr>
        <w:spacing w:after="80" w:line="276"/>
      </w:pPr>
      <w:r>
        <w:rPr>
          <w:sz w:val="22"/>
          <w:szCs w:val="22"/>
        </w:rPr>
        <w:t xml:space="preserve">Foreign keys tying order_items → orders → customers and order_items → products, so an order line can never point to a customer or product that doesn't exist</w:t>
      </w:r>
    </w:p>
    <w:p>
      <w:pPr>
        <w:pStyle w:val="Heading2"/>
        <w:spacing w:after="120" w:before="240"/>
      </w:pPr>
      <w:r>
        <w:t xml:space="preserve">2.3 Load Process</w:t>
      </w:r>
    </w:p>
    <w:p>
      <w:pPr>
        <w:spacing w:after="160" w:line="276"/>
      </w:pPr>
      <w:r>
        <w:rPr>
          <w:sz w:val="22"/>
          <w:szCs w:val="22"/>
        </w:rPr>
        <w:t xml:space="preserve">The raw CSV is loaded into a staging table first (staging_sales, matching the original flat structure), then split out into the four normalized tables with de-duplicated INSERT ... SELECT DISTINCT ON statements. Row counts were verified after load: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shd w:fill="1F3864" w:val="clear"/>
            <w:tcMar>
              <w:top w:type="dxa" w:w="80"/>
              <w:left w:type="dxa" w:w="100"/>
              <w:bottom w:type="dxa" w:w="80"/>
              <w:right w:type="dxa" w:w="100"/>
            </w:tcMar>
          </w:tcPr>
          <w:p>
            <w:pPr>
              <w:jc w:val="left"/>
            </w:pPr>
            <w:r>
              <w:rPr>
                <w:b/>
                <w:bCs/>
                <w:color w:val="FFFFFF"/>
                <w:sz w:val="20"/>
                <w:szCs w:val="20"/>
              </w:rPr>
              <w:t xml:space="preserve">Table</w:t>
            </w:r>
          </w:p>
        </w:tc>
        <w:tc>
          <w:tcPr>
            <w:tcW w:type="dxa" w:w="2000"/>
            <w:shd w:fill="1F3864" w:val="clear"/>
            <w:tcMar>
              <w:top w:type="dxa" w:w="80"/>
              <w:left w:type="dxa" w:w="100"/>
              <w:bottom w:type="dxa" w:w="80"/>
              <w:right w:type="dxa" w:w="100"/>
            </w:tcMar>
          </w:tcPr>
          <w:p>
            <w:pPr>
              <w:jc w:val="left"/>
            </w:pPr>
            <w:r>
              <w:rPr>
                <w:b/>
                <w:bCs/>
                <w:color w:val="FFFFFF"/>
                <w:sz w:val="20"/>
                <w:szCs w:val="20"/>
              </w:rPr>
              <w:t xml:space="preserve">Row Count</w:t>
            </w:r>
          </w:p>
        </w:tc>
      </w:tr>
      <w:tr>
        <w:tc>
          <w:tcPr>
            <w:tcW w:type="dxa" w:w="4000"/>
            <w:tcMar>
              <w:top w:type="dxa" w:w="80"/>
              <w:left w:type="dxa" w:w="100"/>
              <w:bottom w:type="dxa" w:w="80"/>
              <w:right w:type="dxa" w:w="100"/>
            </w:tcMar>
          </w:tcPr>
          <w:p>
            <w:pPr>
              <w:jc w:val="left"/>
            </w:pPr>
            <w:r>
              <w:rPr>
                <w:b w:val="false"/>
                <w:bCs w:val="false"/>
                <w:color w:val="000000"/>
                <w:sz w:val="20"/>
                <w:szCs w:val="20"/>
              </w:rPr>
              <w:t xml:space="preserve">staging_sales</w:t>
            </w:r>
          </w:p>
        </w:tc>
        <w:tc>
          <w:tcPr>
            <w:tcW w:type="dxa" w:w="2000"/>
            <w:tcMar>
              <w:top w:type="dxa" w:w="80"/>
              <w:left w:type="dxa" w:w="100"/>
              <w:bottom w:type="dxa" w:w="80"/>
              <w:right w:type="dxa" w:w="100"/>
            </w:tcMar>
          </w:tcPr>
          <w:p>
            <w:pPr>
              <w:jc w:val="right"/>
            </w:pPr>
            <w:r>
              <w:rPr>
                <w:b w:val="false"/>
                <w:bCs w:val="false"/>
                <w:color w:val="000000"/>
                <w:sz w:val="20"/>
                <w:szCs w:val="20"/>
              </w:rPr>
              <w:t xml:space="preserve">2,823</w:t>
            </w:r>
          </w:p>
        </w:tc>
      </w:tr>
      <w:tr>
        <w:tc>
          <w:tcPr>
            <w:tcW w:type="dxa" w:w="4000"/>
            <w:tcMar>
              <w:top w:type="dxa" w:w="80"/>
              <w:left w:type="dxa" w:w="100"/>
              <w:bottom w:type="dxa" w:w="80"/>
              <w:right w:type="dxa" w:w="100"/>
            </w:tcMar>
          </w:tcPr>
          <w:p>
            <w:pPr>
              <w:jc w:val="left"/>
            </w:pPr>
            <w:r>
              <w:rPr>
                <w:b w:val="false"/>
                <w:bCs w:val="false"/>
                <w:color w:val="000000"/>
                <w:sz w:val="20"/>
                <w:szCs w:val="20"/>
              </w:rPr>
              <w:t xml:space="preserve">customers</w:t>
            </w:r>
          </w:p>
        </w:tc>
        <w:tc>
          <w:tcPr>
            <w:tcW w:type="dxa" w:w="2000"/>
            <w:tcMar>
              <w:top w:type="dxa" w:w="80"/>
              <w:left w:type="dxa" w:w="100"/>
              <w:bottom w:type="dxa" w:w="80"/>
              <w:right w:type="dxa" w:w="100"/>
            </w:tcMar>
          </w:tcPr>
          <w:p>
            <w:pPr>
              <w:jc w:val="right"/>
            </w:pPr>
            <w:r>
              <w:rPr>
                <w:b w:val="false"/>
                <w:bCs w:val="false"/>
                <w:color w:val="000000"/>
                <w:sz w:val="20"/>
                <w:szCs w:val="20"/>
              </w:rPr>
              <w:t xml:space="preserve">92</w:t>
            </w:r>
          </w:p>
        </w:tc>
      </w:tr>
      <w:tr>
        <w:tc>
          <w:tcPr>
            <w:tcW w:type="dxa" w:w="4000"/>
            <w:tcMar>
              <w:top w:type="dxa" w:w="80"/>
              <w:left w:type="dxa" w:w="100"/>
              <w:bottom w:type="dxa" w:w="80"/>
              <w:right w:type="dxa" w:w="100"/>
            </w:tcMar>
          </w:tcPr>
          <w:p>
            <w:pPr>
              <w:jc w:val="left"/>
            </w:pPr>
            <w:r>
              <w:rPr>
                <w:b w:val="false"/>
                <w:bCs w:val="false"/>
                <w:color w:val="000000"/>
                <w:sz w:val="20"/>
                <w:szCs w:val="20"/>
              </w:rPr>
              <w:t xml:space="preserve">products</w:t>
            </w:r>
          </w:p>
        </w:tc>
        <w:tc>
          <w:tcPr>
            <w:tcW w:type="dxa" w:w="2000"/>
            <w:tcMar>
              <w:top w:type="dxa" w:w="80"/>
              <w:left w:type="dxa" w:w="100"/>
              <w:bottom w:type="dxa" w:w="80"/>
              <w:right w:type="dxa" w:w="100"/>
            </w:tcMar>
          </w:tcPr>
          <w:p>
            <w:pPr>
              <w:jc w:val="right"/>
            </w:pPr>
            <w:r>
              <w:rPr>
                <w:b w:val="false"/>
                <w:bCs w:val="false"/>
                <w:color w:val="000000"/>
                <w:sz w:val="20"/>
                <w:szCs w:val="20"/>
              </w:rPr>
              <w:t xml:space="preserve">109</w:t>
            </w:r>
          </w:p>
        </w:tc>
      </w:tr>
      <w:tr>
        <w:tc>
          <w:tcPr>
            <w:tcW w:type="dxa" w:w="4000"/>
            <w:tcMar>
              <w:top w:type="dxa" w:w="80"/>
              <w:left w:type="dxa" w:w="100"/>
              <w:bottom w:type="dxa" w:w="80"/>
              <w:right w:type="dxa" w:w="100"/>
            </w:tcMar>
          </w:tcPr>
          <w:p>
            <w:pPr>
              <w:jc w:val="left"/>
            </w:pPr>
            <w:r>
              <w:rPr>
                <w:b w:val="false"/>
                <w:bCs w:val="false"/>
                <w:color w:val="000000"/>
                <w:sz w:val="20"/>
                <w:szCs w:val="20"/>
              </w:rPr>
              <w:t xml:space="preserve">orders</w:t>
            </w:r>
          </w:p>
        </w:tc>
        <w:tc>
          <w:tcPr>
            <w:tcW w:type="dxa" w:w="2000"/>
            <w:tcMar>
              <w:top w:type="dxa" w:w="80"/>
              <w:left w:type="dxa" w:w="100"/>
              <w:bottom w:type="dxa" w:w="80"/>
              <w:right w:type="dxa" w:w="100"/>
            </w:tcMar>
          </w:tcPr>
          <w:p>
            <w:pPr>
              <w:jc w:val="right"/>
            </w:pPr>
            <w:r>
              <w:rPr>
                <w:b w:val="false"/>
                <w:bCs w:val="false"/>
                <w:color w:val="000000"/>
                <w:sz w:val="20"/>
                <w:szCs w:val="20"/>
              </w:rPr>
              <w:t xml:space="preserve">307</w:t>
            </w:r>
          </w:p>
        </w:tc>
      </w:tr>
      <w:tr>
        <w:tc>
          <w:tcPr>
            <w:tcW w:type="dxa" w:w="4000"/>
            <w:tcMar>
              <w:top w:type="dxa" w:w="80"/>
              <w:left w:type="dxa" w:w="100"/>
              <w:bottom w:type="dxa" w:w="80"/>
              <w:right w:type="dxa" w:w="100"/>
            </w:tcMar>
          </w:tcPr>
          <w:p>
            <w:pPr>
              <w:jc w:val="left"/>
            </w:pPr>
            <w:r>
              <w:rPr>
                <w:b w:val="false"/>
                <w:bCs w:val="false"/>
                <w:color w:val="000000"/>
                <w:sz w:val="20"/>
                <w:szCs w:val="20"/>
              </w:rPr>
              <w:t xml:space="preserve">order_items</w:t>
            </w:r>
          </w:p>
        </w:tc>
        <w:tc>
          <w:tcPr>
            <w:tcW w:type="dxa" w:w="2000"/>
            <w:tcMar>
              <w:top w:type="dxa" w:w="80"/>
              <w:left w:type="dxa" w:w="100"/>
              <w:bottom w:type="dxa" w:w="80"/>
              <w:right w:type="dxa" w:w="100"/>
            </w:tcMar>
          </w:tcPr>
          <w:p>
            <w:pPr>
              <w:jc w:val="right"/>
            </w:pPr>
            <w:r>
              <w:rPr>
                <w:b w:val="false"/>
                <w:bCs w:val="false"/>
                <w:color w:val="000000"/>
                <w:sz w:val="20"/>
                <w:szCs w:val="20"/>
              </w:rPr>
              <w:t xml:space="preserve">2,823</w:t>
            </w:r>
          </w:p>
        </w:tc>
      </w:tr>
    </w:tbl>
    <w:p>
      <w:pPr>
        <w:spacing w:before="160"/>
      </w:pPr>
    </w:p>
    <w:p>
      <w:pPr>
        <w:spacing w:after="160" w:line="276"/>
      </w:pPr>
      <w:r>
        <w:rPr>
          <w:sz w:val="22"/>
          <w:szCs w:val="22"/>
        </w:rPr>
        <w:t xml:space="preserve">Full DDL and load logic: Section 1 of sales_analysis.sql.</w:t>
      </w:r>
    </w:p>
    <w:p>
      <w:pPr>
        <w:pBdr>
          <w:bottom w:val="single" w:color="AAAAAA" w:sz="6" w:space="1"/>
        </w:pBdr>
        <w:spacing w:after="200"/>
      </w:pPr>
    </w:p>
    <w:p>
      <w:pPr>
        <w:pStyle w:val="Heading1"/>
        <w:spacing w:after="160" w:before="320"/>
      </w:pPr>
      <w:r>
        <w:t xml:space="preserve">3. Core SQL Queries</w:t>
      </w:r>
    </w:p>
    <w:p>
      <w:pPr>
        <w:spacing w:after="160" w:line="276"/>
      </w:pPr>
      <w:r>
        <w:rPr>
          <w:sz w:val="22"/>
          <w:szCs w:val="22"/>
        </w:rPr>
        <w:t xml:space="preserve">Section 2 of the script covers foundational SQL: filtering, sorting, grouping, and aggregation.</w:t>
      </w:r>
    </w:p>
    <w:p>
      <w:pPr>
        <w:pStyle w:val="ListParagraph"/>
        <w:numPr>
          <w:ilvl w:val="0"/>
          <w:numId w:val="1"/>
        </w:numPr>
        <w:spacing w:after="80" w:line="276"/>
      </w:pPr>
      <w:r>
        <w:rPr>
          <w:sz w:val="22"/>
          <w:szCs w:val="22"/>
        </w:rPr>
        <w:t xml:space="preserve">SELECT / WHERE / ORDER BY — e.g., listing all orders still “In Process”, most recent first</w:t>
      </w:r>
    </w:p>
    <w:p>
      <w:pPr>
        <w:pStyle w:val="ListParagraph"/>
        <w:numPr>
          <w:ilvl w:val="0"/>
          <w:numId w:val="1"/>
        </w:numPr>
        <w:spacing w:after="80" w:line="276"/>
      </w:pPr>
      <w:r>
        <w:rPr>
          <w:sz w:val="22"/>
          <w:szCs w:val="22"/>
        </w:rPr>
        <w:t xml:space="preserve">GROUP BY / HAVING — e.g., product lines with over $500K in total revenue</w:t>
      </w:r>
    </w:p>
    <w:p>
      <w:pPr>
        <w:pStyle w:val="ListParagraph"/>
        <w:numPr>
          <w:ilvl w:val="0"/>
          <w:numId w:val="1"/>
        </w:numPr>
        <w:spacing w:after="80" w:line="276"/>
      </w:pPr>
      <w:r>
        <w:rPr>
          <w:sz w:val="22"/>
          <w:szCs w:val="22"/>
        </w:rPr>
        <w:t xml:space="preserve">Aggregates — SUM, AVG, COUNT, MIN, MAX used to summarize revenue, order values, and customer counts by country</w:t>
      </w:r>
    </w:p>
    <w:p>
      <w:pPr>
        <w:spacing w:after="160" w:line="276"/>
      </w:pPr>
      <w:r>
        <w:rPr>
          <w:sz w:val="22"/>
          <w:szCs w:val="22"/>
        </w:rPr>
        <w:t xml:space="preserve">Insight: only 4 of the 7 product lines clear the $500K revenue bar (Classic Cars, Vintage Cars, Motorcycles, Trucks and Buses) — the other three (Planes, Ships, Trains) are meaningfully smaller categories.</w:t>
      </w:r>
    </w:p>
    <w:p>
      <w:pPr>
        <w:pBdr>
          <w:bottom w:val="single" w:color="AAAAAA" w:sz="6" w:space="1"/>
        </w:pBdr>
        <w:spacing w:after="200"/>
      </w:pPr>
    </w:p>
    <w:p>
      <w:pPr>
        <w:pStyle w:val="Heading1"/>
        <w:spacing w:after="160" w:before="320"/>
      </w:pPr>
      <w:r>
        <w:t xml:space="preserve">4. Advanced SQL Concepts</w:t>
      </w:r>
    </w:p>
    <w:p>
      <w:pPr>
        <w:pStyle w:val="Heading2"/>
        <w:spacing w:after="120" w:before="240"/>
      </w:pPr>
      <w:r>
        <w:t xml:space="preserve">4.1 Joins</w:t>
      </w:r>
    </w:p>
    <w:p>
      <w:pPr>
        <w:spacing w:after="160" w:line="276"/>
      </w:pPr>
      <w:r>
        <w:rPr>
          <w:sz w:val="22"/>
          <w:szCs w:val="22"/>
        </w:rPr>
        <w:t xml:space="preserve">INNER JOIN links order lines to their order header and customer; LEFT JOIN confirms every product has sold at least once (no zero-revenue products in this dataset); RIGHT JOIN is demonstrated for completeness; a 4-table join combines customers, orders, order_items, and products to break revenue down by territory and product line simultaneously.</w:t>
      </w:r>
    </w:p>
    <w:p>
      <w:pPr>
        <w:pStyle w:val="Heading2"/>
        <w:spacing w:after="120" w:before="240"/>
      </w:pPr>
      <w:r>
        <w:t xml:space="preserve">4.2 Subqueries</w:t>
      </w:r>
    </w:p>
    <w:p>
      <w:pPr>
        <w:spacing w:after="160" w:line="276"/>
      </w:pPr>
      <w:r>
        <w:rPr>
          <w:sz w:val="22"/>
          <w:szCs w:val="22"/>
        </w:rPr>
        <w:t xml:space="preserve">A subquery in WHERE isolates “above-average” customers (those spending more than the average customer total — 33 of 92 customers clear that bar). A correlated subquery compares each product's revenue to the average revenue of other products in its own product line. A subquery in FROM builds the top-5-customers-by-revenue view.</w:t>
      </w:r>
    </w:p>
    <w:p>
      <w:pPr>
        <w:pStyle w:val="Heading2"/>
        <w:spacing w:after="120" w:before="240"/>
      </w:pPr>
      <w:r>
        <w:t xml:space="preserve">4.3 Window Functions</w:t>
      </w:r>
    </w:p>
    <w:p>
      <w:pPr>
        <w:pStyle w:val="ListParagraph"/>
        <w:numPr>
          <w:ilvl w:val="0"/>
          <w:numId w:val="1"/>
        </w:numPr>
        <w:spacing w:after="80" w:line="276"/>
      </w:pPr>
      <w:r>
        <w:rPr>
          <w:sz w:val="22"/>
          <w:szCs w:val="22"/>
        </w:rPr>
        <w:t xml:space="preserve">ROW_NUMBER() — ranks each line item within its order by sale amount</w:t>
      </w:r>
    </w:p>
    <w:p>
      <w:pPr>
        <w:pStyle w:val="ListParagraph"/>
        <w:numPr>
          <w:ilvl w:val="0"/>
          <w:numId w:val="1"/>
        </w:numPr>
        <w:spacing w:after="80" w:line="276"/>
      </w:pPr>
      <w:r>
        <w:rPr>
          <w:sz w:val="22"/>
          <w:szCs w:val="22"/>
        </w:rPr>
        <w:t xml:space="preserve">RANK() — ranks all 92 customers by total revenue, with ties handled correctly</w:t>
      </w:r>
    </w:p>
    <w:p>
      <w:pPr>
        <w:pStyle w:val="ListParagraph"/>
        <w:numPr>
          <w:ilvl w:val="0"/>
          <w:numId w:val="1"/>
        </w:numPr>
        <w:spacing w:after="80" w:line="276"/>
      </w:pPr>
      <w:r>
        <w:rPr>
          <w:sz w:val="22"/>
          <w:szCs w:val="22"/>
        </w:rPr>
        <w:t xml:space="preserve">SUM() OVER (PARTITION BY ... ORDER BY ...) — builds a running year-to-date revenue total by month</w:t>
      </w:r>
    </w:p>
    <w:p>
      <w:pPr>
        <w:pStyle w:val="ListParagraph"/>
        <w:numPr>
          <w:ilvl w:val="0"/>
          <w:numId w:val="1"/>
        </w:numPr>
        <w:spacing w:after="80" w:line="276"/>
      </w:pPr>
      <w:r>
        <w:rPr>
          <w:sz w:val="22"/>
          <w:szCs w:val="22"/>
        </w:rPr>
        <w:t xml:space="preserve">AVG() OVER (PARTITION BY ...) — compares each order's value to that customer's own average order value</w:t>
      </w:r>
    </w:p>
    <w:p>
      <w:pPr>
        <w:pBdr>
          <w:bottom w:val="single" w:color="AAAAAA" w:sz="6" w:space="1"/>
        </w:pBdr>
        <w:spacing w:after="200"/>
      </w:pPr>
    </w:p>
    <w:p>
      <w:pPr>
        <w:pStyle w:val="Heading1"/>
        <w:spacing w:after="160" w:before="320"/>
      </w:pPr>
      <w:r>
        <w:t xml:space="preserve">5. Business Problem Solving — Key Findings</w:t>
      </w:r>
    </w:p>
    <w:p>
      <w:pPr>
        <w:pStyle w:val="Heading2"/>
        <w:spacing w:after="120" w:before="240"/>
      </w:pPr>
      <w:r>
        <w:t xml:space="preserve">5.1 Top 10 Products by Revenue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400"/>
      </w:tblGrid>
      <w:tr>
        <w:trPr>
          <w:tblHeader/>
        </w:trPr>
        <w:tc>
          <w:tcPr>
            <w:tcW w:type="dxa" w:w="2200"/>
            <w:shd w:fill="1F3864" w:val="clear"/>
            <w:tcMar>
              <w:top w:type="dxa" w:w="80"/>
              <w:left w:type="dxa" w:w="100"/>
              <w:bottom w:type="dxa" w:w="80"/>
              <w:right w:type="dxa" w:w="100"/>
            </w:tcMar>
          </w:tcPr>
          <w:p>
            <w:pPr>
              <w:jc w:val="left"/>
            </w:pPr>
            <w:r>
              <w:rPr>
                <w:b/>
                <w:bCs/>
                <w:color w:val="FFFFFF"/>
                <w:sz w:val="20"/>
                <w:szCs w:val="20"/>
              </w:rPr>
              <w:t xml:space="preserve">Product Code</w:t>
            </w:r>
          </w:p>
        </w:tc>
        <w:tc>
          <w:tcPr>
            <w:tcW w:type="dxa" w:w="2600"/>
            <w:shd w:fill="1F3864" w:val="clear"/>
            <w:tcMar>
              <w:top w:type="dxa" w:w="80"/>
              <w:left w:type="dxa" w:w="100"/>
              <w:bottom w:type="dxa" w:w="80"/>
              <w:right w:type="dxa" w:w="100"/>
            </w:tcMar>
          </w:tcPr>
          <w:p>
            <w:pPr>
              <w:jc w:val="left"/>
            </w:pPr>
            <w:r>
              <w:rPr>
                <w:b/>
                <w:bCs/>
                <w:color w:val="FFFFFF"/>
                <w:sz w:val="20"/>
                <w:szCs w:val="20"/>
              </w:rPr>
              <w:t xml:space="preserve">Product Line</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Revenue</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Units Sold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S18_3232</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$288,245.42</w:t>
            </w:r>
          </w:p>
        </w:tc>
        <w:tc>
          <w:tcPr>
            <w:tcW w:type="dxa" w:w="2400"/>
            <w:tcMar>
              <w:top w:type="dxa" w:w="80"/>
              <w:left w:type="dxa" w:w="100"/>
              <w:bottom w:type="dxa" w:w="80"/>
              <w:right w:type="dxa" w:w="100"/>
            </w:tcMar>
          </w:tcPr>
          <w:p>
            <w:pPr>
              <w:jc w:val="right"/>
            </w:pPr>
            <w:r>
              <w:rPr>
                <w:b w:val="false"/>
                <w:bCs w:val="false"/>
                <w:color w:val="000000"/>
                <w:sz w:val="20"/>
                <w:szCs w:val="20"/>
              </w:rPr>
              <w:t xml:space="preserve">1,774</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S10_1949</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$191,073.03</w:t>
            </w:r>
          </w:p>
        </w:tc>
        <w:tc>
          <w:tcPr>
            <w:tcW w:type="dxa" w:w="2400"/>
            <w:tcMar>
              <w:top w:type="dxa" w:w="80"/>
              <w:left w:type="dxa" w:w="100"/>
              <w:bottom w:type="dxa" w:w="80"/>
              <w:right w:type="dxa" w:w="100"/>
            </w:tcMar>
          </w:tcPr>
          <w:p>
            <w:pPr>
              <w:jc w:val="right"/>
            </w:pPr>
            <w:r>
              <w:rPr>
                <w:b w:val="false"/>
                <w:bCs w:val="false"/>
                <w:color w:val="000000"/>
                <w:sz w:val="20"/>
                <w:szCs w:val="20"/>
              </w:rPr>
              <w:t xml:space="preserve">961</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S10_4698</w:t>
            </w:r>
          </w:p>
        </w:tc>
        <w:tc>
          <w:tcPr>
            <w:tcW w:type="dxa" w:w="2600"/>
            <w:tcMar>
              <w:top w:type="dxa" w:w="80"/>
              <w:left w:type="dxa" w:w="100"/>
              <w:bottom w:type="dxa" w:w="80"/>
              <w:right w:type="dxa" w:w="100"/>
            </w:tcMar>
          </w:tcPr>
          <w:p>
            <w:pPr>
              <w:jc w:val="right"/>
            </w:pPr>
            <w:r>
              <w:rPr>
                <w:b w:val="false"/>
                <w:bCs w:val="false"/>
                <w:color w:val="000000"/>
                <w:sz w:val="20"/>
                <w:szCs w:val="20"/>
              </w:rPr>
              <w:t xml:space="preserve">Motorcycles</w:t>
            </w:r>
          </w:p>
        </w:tc>
        <w:tc>
          <w:tcPr>
            <w:tcW w:type="dxa" w:w="2400"/>
            <w:tcMar>
              <w:top w:type="dxa" w:w="80"/>
              <w:left w:type="dxa" w:w="100"/>
              <w:bottom w:type="dxa" w:w="80"/>
              <w:right w:type="dxa" w:w="100"/>
            </w:tcMar>
          </w:tcPr>
          <w:p>
            <w:pPr>
              <w:jc w:val="right"/>
            </w:pPr>
            <w:r>
              <w:rPr>
                <w:b w:val="false"/>
                <w:bCs w:val="false"/>
                <w:color w:val="000000"/>
                <w:sz w:val="20"/>
                <w:szCs w:val="20"/>
              </w:rPr>
              <w:t xml:space="preserve">$170,401.07</w:t>
            </w:r>
          </w:p>
        </w:tc>
        <w:tc>
          <w:tcPr>
            <w:tcW w:type="dxa" w:w="2400"/>
            <w:tcMar>
              <w:top w:type="dxa" w:w="80"/>
              <w:left w:type="dxa" w:w="100"/>
              <w:bottom w:type="dxa" w:w="80"/>
              <w:right w:type="dxa" w:w="100"/>
            </w:tcMar>
          </w:tcPr>
          <w:p>
            <w:pPr>
              <w:jc w:val="right"/>
            </w:pPr>
            <w:r>
              <w:rPr>
                <w:b w:val="false"/>
                <w:bCs w:val="false"/>
                <w:color w:val="000000"/>
                <w:sz w:val="20"/>
                <w:szCs w:val="20"/>
              </w:rPr>
              <w:t xml:space="preserve">921</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S12_1108</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$168,585.32</w:t>
            </w:r>
          </w:p>
        </w:tc>
        <w:tc>
          <w:tcPr>
            <w:tcW w:type="dxa" w:w="2400"/>
            <w:tcMar>
              <w:top w:type="dxa" w:w="80"/>
              <w:left w:type="dxa" w:w="100"/>
              <w:bottom w:type="dxa" w:w="80"/>
              <w:right w:type="dxa" w:w="100"/>
            </w:tcMar>
          </w:tcPr>
          <w:p>
            <w:pPr>
              <w:jc w:val="right"/>
            </w:pPr>
            <w:r>
              <w:rPr>
                <w:b w:val="false"/>
                <w:bCs w:val="false"/>
                <w:color w:val="000000"/>
                <w:sz w:val="20"/>
                <w:szCs w:val="20"/>
              </w:rPr>
              <w:t xml:space="preserve">973</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S18_2238</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$154,623.95</w:t>
            </w:r>
          </w:p>
        </w:tc>
        <w:tc>
          <w:tcPr>
            <w:tcW w:type="dxa" w:w="2400"/>
            <w:tcMar>
              <w:top w:type="dxa" w:w="80"/>
              <w:left w:type="dxa" w:w="100"/>
              <w:bottom w:type="dxa" w:w="80"/>
              <w:right w:type="dxa" w:w="100"/>
            </w:tcMar>
          </w:tcPr>
          <w:p>
            <w:pPr>
              <w:jc w:val="right"/>
            </w:pPr>
            <w:r>
              <w:rPr>
                <w:b w:val="false"/>
                <w:bCs w:val="false"/>
                <w:color w:val="000000"/>
                <w:sz w:val="20"/>
                <w:szCs w:val="20"/>
              </w:rPr>
              <w:t xml:space="preserve">966</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S12_3891</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$145,332.04</w:t>
            </w:r>
          </w:p>
        </w:tc>
        <w:tc>
          <w:tcPr>
            <w:tcW w:type="dxa" w:w="2400"/>
            <w:tcMar>
              <w:top w:type="dxa" w:w="80"/>
              <w:left w:type="dxa" w:w="100"/>
              <w:bottom w:type="dxa" w:w="80"/>
              <w:right w:type="dxa" w:w="100"/>
            </w:tcMar>
          </w:tcPr>
          <w:p>
            <w:pPr>
              <w:jc w:val="right"/>
            </w:pPr>
            <w:r>
              <w:rPr>
                <w:b w:val="false"/>
                <w:bCs w:val="false"/>
                <w:color w:val="000000"/>
                <w:sz w:val="20"/>
                <w:szCs w:val="20"/>
              </w:rPr>
              <w:t xml:space="preserve">921</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S24_3856</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$140,626.90</w:t>
            </w:r>
          </w:p>
        </w:tc>
        <w:tc>
          <w:tcPr>
            <w:tcW w:type="dxa" w:w="2400"/>
            <w:tcMar>
              <w:top w:type="dxa" w:w="80"/>
              <w:left w:type="dxa" w:w="100"/>
              <w:bottom w:type="dxa" w:w="80"/>
              <w:right w:type="dxa" w:w="100"/>
            </w:tcMar>
          </w:tcPr>
          <w:p>
            <w:pPr>
              <w:jc w:val="right"/>
            </w:pPr>
            <w:r>
              <w:rPr>
                <w:b w:val="false"/>
                <w:bCs w:val="false"/>
                <w:color w:val="000000"/>
                <w:sz w:val="20"/>
                <w:szCs w:val="20"/>
              </w:rPr>
              <w:t xml:space="preserve">1,052</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S12_2823</w:t>
            </w:r>
          </w:p>
        </w:tc>
        <w:tc>
          <w:tcPr>
            <w:tcW w:type="dxa" w:w="2600"/>
            <w:tcMar>
              <w:top w:type="dxa" w:w="80"/>
              <w:left w:type="dxa" w:w="100"/>
              <w:bottom w:type="dxa" w:w="80"/>
              <w:right w:type="dxa" w:w="100"/>
            </w:tcMar>
          </w:tcPr>
          <w:p>
            <w:pPr>
              <w:jc w:val="right"/>
            </w:pPr>
            <w:r>
              <w:rPr>
                <w:b w:val="false"/>
                <w:bCs w:val="false"/>
                <w:color w:val="000000"/>
                <w:sz w:val="20"/>
                <w:szCs w:val="20"/>
              </w:rPr>
              <w:t xml:space="preserve">Motorcycles</w:t>
            </w:r>
          </w:p>
        </w:tc>
        <w:tc>
          <w:tcPr>
            <w:tcW w:type="dxa" w:w="2400"/>
            <w:tcMar>
              <w:top w:type="dxa" w:w="80"/>
              <w:left w:type="dxa" w:w="100"/>
              <w:bottom w:type="dxa" w:w="80"/>
              <w:right w:type="dxa" w:w="100"/>
            </w:tcMar>
          </w:tcPr>
          <w:p>
            <w:pPr>
              <w:jc w:val="right"/>
            </w:pPr>
            <w:r>
              <w:rPr>
                <w:b w:val="false"/>
                <w:bCs w:val="false"/>
                <w:color w:val="000000"/>
                <w:sz w:val="20"/>
                <w:szCs w:val="20"/>
              </w:rPr>
              <w:t xml:space="preserve">$140,006.16</w:t>
            </w:r>
          </w:p>
        </w:tc>
        <w:tc>
          <w:tcPr>
            <w:tcW w:type="dxa" w:w="2400"/>
            <w:tcMar>
              <w:top w:type="dxa" w:w="80"/>
              <w:left w:type="dxa" w:w="100"/>
              <w:bottom w:type="dxa" w:w="80"/>
              <w:right w:type="dxa" w:w="100"/>
            </w:tcMar>
          </w:tcPr>
          <w:p>
            <w:pPr>
              <w:jc w:val="right"/>
            </w:pPr>
            <w:r>
              <w:rPr>
                <w:b w:val="false"/>
                <w:bCs w:val="false"/>
                <w:color w:val="000000"/>
                <w:sz w:val="20"/>
                <w:szCs w:val="20"/>
              </w:rPr>
              <w:t xml:space="preserve">964</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S18_1662</w:t>
            </w:r>
          </w:p>
        </w:tc>
        <w:tc>
          <w:tcPr>
            <w:tcW w:type="dxa" w:w="2600"/>
            <w:tcMar>
              <w:top w:type="dxa" w:w="80"/>
              <w:left w:type="dxa" w:w="100"/>
              <w:bottom w:type="dxa" w:w="80"/>
              <w:right w:type="dxa" w:w="100"/>
            </w:tcMar>
          </w:tcPr>
          <w:p>
            <w:pPr>
              <w:jc w:val="right"/>
            </w:pPr>
            <w:r>
              <w:rPr>
                <w:b w:val="false"/>
                <w:bCs w:val="false"/>
                <w:color w:val="000000"/>
                <w:sz w:val="20"/>
                <w:szCs w:val="20"/>
              </w:rPr>
              <w:t xml:space="preserve">Planes</w:t>
            </w:r>
          </w:p>
        </w:tc>
        <w:tc>
          <w:tcPr>
            <w:tcW w:type="dxa" w:w="2400"/>
            <w:tcMar>
              <w:top w:type="dxa" w:w="80"/>
              <w:left w:type="dxa" w:w="100"/>
              <w:bottom w:type="dxa" w:w="80"/>
              <w:right w:type="dxa" w:w="100"/>
            </w:tcMar>
          </w:tcPr>
          <w:p>
            <w:pPr>
              <w:jc w:val="right"/>
            </w:pPr>
            <w:r>
              <w:rPr>
                <w:b w:val="false"/>
                <w:bCs w:val="false"/>
                <w:color w:val="000000"/>
                <w:sz w:val="20"/>
                <w:szCs w:val="20"/>
              </w:rPr>
              <w:t xml:space="preserve">$139,421.97</w:t>
            </w:r>
          </w:p>
        </w:tc>
        <w:tc>
          <w:tcPr>
            <w:tcW w:type="dxa" w:w="2400"/>
            <w:tcMar>
              <w:top w:type="dxa" w:w="80"/>
              <w:left w:type="dxa" w:w="100"/>
              <w:bottom w:type="dxa" w:w="80"/>
              <w:right w:type="dxa" w:w="100"/>
            </w:tcMar>
          </w:tcPr>
          <w:p>
            <w:pPr>
              <w:jc w:val="right"/>
            </w:pPr>
            <w:r>
              <w:rPr>
                <w:b w:val="false"/>
                <w:bCs w:val="false"/>
                <w:color w:val="000000"/>
                <w:sz w:val="20"/>
                <w:szCs w:val="20"/>
              </w:rPr>
              <w:t xml:space="preserve">940</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S12_1099</w:t>
            </w:r>
          </w:p>
        </w:tc>
        <w:tc>
          <w:tcPr>
            <w:tcW w:type="dxa" w:w="2600"/>
            <w:tcMar>
              <w:top w:type="dxa" w:w="80"/>
              <w:left w:type="dxa" w:w="100"/>
              <w:bottom w:type="dxa" w:w="80"/>
              <w:right w:type="dxa" w:w="100"/>
            </w:tcMar>
          </w:tcPr>
          <w:p>
            <w:pPr>
              <w:jc w:val="right"/>
            </w:pPr>
            <w:r>
              <w:rPr>
                <w:b w:val="false"/>
                <w:bCs w:val="false"/>
                <w:color w:val="000000"/>
                <w:sz w:val="20"/>
                <w:szCs w:val="20"/>
              </w:rPr>
              <w:t xml:space="preserve">Classic Cars</w:t>
            </w:r>
          </w:p>
        </w:tc>
        <w:tc>
          <w:tcPr>
            <w:tcW w:type="dxa" w:w="2400"/>
            <w:tcMar>
              <w:top w:type="dxa" w:w="80"/>
              <w:left w:type="dxa" w:w="100"/>
              <w:bottom w:type="dxa" w:w="80"/>
              <w:right w:type="dxa" w:w="100"/>
            </w:tcMar>
          </w:tcPr>
          <w:p>
            <w:pPr>
              <w:jc w:val="right"/>
            </w:pPr>
            <w:r>
              <w:rPr>
                <w:b w:val="false"/>
                <w:bCs w:val="false"/>
                <w:color w:val="000000"/>
                <w:sz w:val="20"/>
                <w:szCs w:val="20"/>
              </w:rPr>
              <w:t xml:space="preserve">$137,177.01</w:t>
            </w:r>
          </w:p>
        </w:tc>
        <w:tc>
          <w:tcPr>
            <w:tcW w:type="dxa" w:w="2400"/>
            <w:tcMar>
              <w:top w:type="dxa" w:w="80"/>
              <w:left w:type="dxa" w:w="100"/>
              <w:bottom w:type="dxa" w:w="80"/>
              <w:right w:type="dxa" w:w="100"/>
            </w:tcMar>
          </w:tcPr>
          <w:p>
            <w:pPr>
              <w:jc w:val="right"/>
            </w:pPr>
            <w:r>
              <w:rPr>
                <w:b w:val="false"/>
                <w:bCs w:val="false"/>
                <w:color w:val="000000"/>
                <w:sz w:val="20"/>
                <w:szCs w:val="20"/>
              </w:rPr>
              <w:t xml:space="preserve">838</w:t>
            </w:r>
          </w:p>
        </w:tc>
      </w:tr>
    </w:tbl>
    <w:p>
      <w:pPr>
        <w:spacing w:before="160"/>
      </w:pPr>
    </w:p>
    <w:p>
      <w:pPr>
        <w:spacing w:after="160" w:line="276"/>
      </w:pPr>
      <w:r>
        <w:rPr>
          <w:sz w:val="22"/>
          <w:szCs w:val="22"/>
        </w:rPr>
        <w:t xml:space="preserve">7 of the top 10 products are Classic Cars — this line is the clear engine of the business and a strong candidate for continued inventory investment.</w:t>
      </w:r>
    </w:p>
    <w:p>
      <w:pPr>
        <w:pStyle w:val="Heading2"/>
        <w:spacing w:after="120" w:before="240"/>
      </w:pPr>
      <w:r>
        <w:t xml:space="preserve">5.2 Top 10 Customers by Revenue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400"/>
      </w:tblGrid>
      <w:tr>
        <w:trPr>
          <w:tblHeader/>
        </w:trPr>
        <w:tc>
          <w:tcPr>
            <w:tcW w:type="dxa" w:w="3200"/>
            <w:shd w:fill="1F3864" w:val="clear"/>
            <w:tcMar>
              <w:top w:type="dxa" w:w="80"/>
              <w:left w:type="dxa" w:w="100"/>
              <w:bottom w:type="dxa" w:w="80"/>
              <w:right w:type="dxa" w:w="100"/>
            </w:tcMar>
          </w:tcPr>
          <w:p>
            <w:pPr>
              <w:jc w:val="left"/>
            </w:pPr>
            <w:r>
              <w:rPr>
                <w:b/>
                <w:bCs/>
                <w:color w:val="FFFFFF"/>
                <w:sz w:val="20"/>
                <w:szCs w:val="20"/>
              </w:rPr>
              <w:t xml:space="preserve">Customer</w:t>
            </w:r>
          </w:p>
        </w:tc>
        <w:tc>
          <w:tcPr>
            <w:tcW w:type="dxa" w:w="1800"/>
            <w:shd w:fill="1F3864" w:val="clear"/>
            <w:tcMar>
              <w:top w:type="dxa" w:w="80"/>
              <w:left w:type="dxa" w:w="100"/>
              <w:bottom w:type="dxa" w:w="80"/>
              <w:right w:type="dxa" w:w="100"/>
            </w:tcMar>
          </w:tcPr>
          <w:p>
            <w:pPr>
              <w:jc w:val="left"/>
            </w:pPr>
            <w:r>
              <w:rPr>
                <w:b/>
                <w:bCs/>
                <w:color w:val="FFFFFF"/>
                <w:sz w:val="20"/>
                <w:szCs w:val="20"/>
              </w:rPr>
              <w:t xml:space="preserve">Country</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Revenue</w:t>
            </w:r>
          </w:p>
        </w:tc>
        <w:tc>
          <w:tcPr>
            <w:tcW w:type="dxa" w:w="1400"/>
            <w:shd w:fill="1F3864" w:val="clear"/>
            <w:tcMar>
              <w:top w:type="dxa" w:w="80"/>
              <w:left w:type="dxa" w:w="100"/>
              <w:bottom w:type="dxa" w:w="80"/>
              <w:right w:type="dxa" w:w="100"/>
            </w:tcMar>
          </w:tcPr>
          <w:p>
            <w:pPr>
              <w:jc w:val="left"/>
            </w:pPr>
            <w:r>
              <w:rPr>
                <w:b/>
                <w:bCs/>
                <w:color w:val="FFFFFF"/>
                <w:sz w:val="20"/>
                <w:szCs w:val="20"/>
              </w:rPr>
              <w:t xml:space="preserve">Orders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Euro Shopping Channel</w:t>
            </w:r>
          </w:p>
        </w:tc>
        <w:tc>
          <w:tcPr>
            <w:tcW w:type="dxa" w:w="1800"/>
            <w:tcMar>
              <w:top w:type="dxa" w:w="80"/>
              <w:left w:type="dxa" w:w="100"/>
              <w:bottom w:type="dxa" w:w="80"/>
              <w:right w:type="dxa" w:w="100"/>
            </w:tcMar>
          </w:tcPr>
          <w:p>
            <w:pPr>
              <w:jc w:val="right"/>
            </w:pPr>
            <w:r>
              <w:rPr>
                <w:b w:val="false"/>
                <w:bCs w:val="false"/>
                <w:color w:val="000000"/>
                <w:sz w:val="20"/>
                <w:szCs w:val="20"/>
              </w:rPr>
              <w:t xml:space="preserve">Spain</w:t>
            </w:r>
          </w:p>
        </w:tc>
        <w:tc>
          <w:tcPr>
            <w:tcW w:type="dxa" w:w="2200"/>
            <w:tcMar>
              <w:top w:type="dxa" w:w="80"/>
              <w:left w:type="dxa" w:w="100"/>
              <w:bottom w:type="dxa" w:w="80"/>
              <w:right w:type="dxa" w:w="100"/>
            </w:tcMar>
          </w:tcPr>
          <w:p>
            <w:pPr>
              <w:jc w:val="right"/>
            </w:pPr>
            <w:r>
              <w:rPr>
                <w:b w:val="false"/>
                <w:bCs w:val="false"/>
                <w:color w:val="000000"/>
                <w:sz w:val="20"/>
                <w:szCs w:val="20"/>
              </w:rPr>
              <w:t xml:space="preserve">$912,294.11</w:t>
            </w:r>
          </w:p>
        </w:tc>
        <w:tc>
          <w:tcPr>
            <w:tcW w:type="dxa" w:w="1400"/>
            <w:tcMar>
              <w:top w:type="dxa" w:w="80"/>
              <w:left w:type="dxa" w:w="100"/>
              <w:bottom w:type="dxa" w:w="80"/>
              <w:right w:type="dxa" w:w="100"/>
            </w:tcMar>
          </w:tcPr>
          <w:p>
            <w:pPr>
              <w:jc w:val="right"/>
            </w:pPr>
            <w:r>
              <w:rPr>
                <w:b w:val="false"/>
                <w:bCs w:val="false"/>
                <w:color w:val="000000"/>
                <w:sz w:val="20"/>
                <w:szCs w:val="20"/>
              </w:rPr>
              <w:t xml:space="preserve">26</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Mini Gifts Distributors Ltd.</w:t>
            </w:r>
          </w:p>
        </w:tc>
        <w:tc>
          <w:tcPr>
            <w:tcW w:type="dxa" w:w="1800"/>
            <w:tcMar>
              <w:top w:type="dxa" w:w="80"/>
              <w:left w:type="dxa" w:w="100"/>
              <w:bottom w:type="dxa" w:w="80"/>
              <w:right w:type="dxa" w:w="100"/>
            </w:tcMar>
          </w:tcPr>
          <w:p>
            <w:pPr>
              <w:jc w:val="right"/>
            </w:pPr>
            <w:r>
              <w:rPr>
                <w:b w:val="false"/>
                <w:bCs w:val="false"/>
                <w:color w:val="000000"/>
                <w:sz w:val="20"/>
                <w:szCs w:val="20"/>
              </w:rPr>
              <w:t xml:space="preserve">USA</w:t>
            </w:r>
          </w:p>
        </w:tc>
        <w:tc>
          <w:tcPr>
            <w:tcW w:type="dxa" w:w="2200"/>
            <w:tcMar>
              <w:top w:type="dxa" w:w="80"/>
              <w:left w:type="dxa" w:w="100"/>
              <w:bottom w:type="dxa" w:w="80"/>
              <w:right w:type="dxa" w:w="100"/>
            </w:tcMar>
          </w:tcPr>
          <w:p>
            <w:pPr>
              <w:jc w:val="right"/>
            </w:pPr>
            <w:r>
              <w:rPr>
                <w:b w:val="false"/>
                <w:bCs w:val="false"/>
                <w:color w:val="000000"/>
                <w:sz w:val="20"/>
                <w:szCs w:val="20"/>
              </w:rPr>
              <w:t xml:space="preserve">$654,858.06</w:t>
            </w:r>
          </w:p>
        </w:tc>
        <w:tc>
          <w:tcPr>
            <w:tcW w:type="dxa" w:w="1400"/>
            <w:tcMar>
              <w:top w:type="dxa" w:w="80"/>
              <w:left w:type="dxa" w:w="100"/>
              <w:bottom w:type="dxa" w:w="80"/>
              <w:right w:type="dxa" w:w="100"/>
            </w:tcMar>
          </w:tcPr>
          <w:p>
            <w:pPr>
              <w:jc w:val="right"/>
            </w:pPr>
            <w:r>
              <w:rPr>
                <w:b w:val="false"/>
                <w:bCs w:val="false"/>
                <w:color w:val="000000"/>
                <w:sz w:val="20"/>
                <w:szCs w:val="20"/>
              </w:rPr>
              <w:t xml:space="preserve">17</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Australian Collectors, Co.</w:t>
            </w:r>
          </w:p>
        </w:tc>
        <w:tc>
          <w:tcPr>
            <w:tcW w:type="dxa" w:w="1800"/>
            <w:tcMar>
              <w:top w:type="dxa" w:w="80"/>
              <w:left w:type="dxa" w:w="100"/>
              <w:bottom w:type="dxa" w:w="80"/>
              <w:right w:type="dxa" w:w="100"/>
            </w:tcMar>
          </w:tcPr>
          <w:p>
            <w:pPr>
              <w:jc w:val="right"/>
            </w:pPr>
            <w:r>
              <w:rPr>
                <w:b w:val="false"/>
                <w:bCs w:val="false"/>
                <w:color w:val="000000"/>
                <w:sz w:val="20"/>
                <w:szCs w:val="20"/>
              </w:rPr>
              <w:t xml:space="preserve">Australia</w:t>
            </w:r>
          </w:p>
        </w:tc>
        <w:tc>
          <w:tcPr>
            <w:tcW w:type="dxa" w:w="2200"/>
            <w:tcMar>
              <w:top w:type="dxa" w:w="80"/>
              <w:left w:type="dxa" w:w="100"/>
              <w:bottom w:type="dxa" w:w="80"/>
              <w:right w:type="dxa" w:w="100"/>
            </w:tcMar>
          </w:tcPr>
          <w:p>
            <w:pPr>
              <w:jc w:val="right"/>
            </w:pPr>
            <w:r>
              <w:rPr>
                <w:b w:val="false"/>
                <w:bCs w:val="false"/>
                <w:color w:val="000000"/>
                <w:sz w:val="20"/>
                <w:szCs w:val="20"/>
              </w:rPr>
              <w:t xml:space="preserve">$200,995.41</w:t>
            </w:r>
          </w:p>
        </w:tc>
        <w:tc>
          <w:tcPr>
            <w:tcW w:type="dxa" w:w="1400"/>
            <w:tcMar>
              <w:top w:type="dxa" w:w="80"/>
              <w:left w:type="dxa" w:w="100"/>
              <w:bottom w:type="dxa" w:w="80"/>
              <w:right w:type="dxa" w:w="100"/>
            </w:tcMar>
          </w:tcPr>
          <w:p>
            <w:pPr>
              <w:jc w:val="right"/>
            </w:pPr>
            <w:r>
              <w:rPr>
                <w:b w:val="false"/>
                <w:bCs w:val="false"/>
                <w:color w:val="000000"/>
                <w:sz w:val="20"/>
                <w:szCs w:val="20"/>
              </w:rPr>
              <w:t xml:space="preserve">5</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Muscle Machine Inc</w:t>
            </w:r>
          </w:p>
        </w:tc>
        <w:tc>
          <w:tcPr>
            <w:tcW w:type="dxa" w:w="1800"/>
            <w:tcMar>
              <w:top w:type="dxa" w:w="80"/>
              <w:left w:type="dxa" w:w="100"/>
              <w:bottom w:type="dxa" w:w="80"/>
              <w:right w:type="dxa" w:w="100"/>
            </w:tcMar>
          </w:tcPr>
          <w:p>
            <w:pPr>
              <w:jc w:val="right"/>
            </w:pPr>
            <w:r>
              <w:rPr>
                <w:b w:val="false"/>
                <w:bCs w:val="false"/>
                <w:color w:val="000000"/>
                <w:sz w:val="20"/>
                <w:szCs w:val="20"/>
              </w:rPr>
              <w:t xml:space="preserve">USA</w:t>
            </w:r>
          </w:p>
        </w:tc>
        <w:tc>
          <w:tcPr>
            <w:tcW w:type="dxa" w:w="2200"/>
            <w:tcMar>
              <w:top w:type="dxa" w:w="80"/>
              <w:left w:type="dxa" w:w="100"/>
              <w:bottom w:type="dxa" w:w="80"/>
              <w:right w:type="dxa" w:w="100"/>
            </w:tcMar>
          </w:tcPr>
          <w:p>
            <w:pPr>
              <w:jc w:val="right"/>
            </w:pPr>
            <w:r>
              <w:rPr>
                <w:b w:val="false"/>
                <w:bCs w:val="false"/>
                <w:color w:val="000000"/>
                <w:sz w:val="20"/>
                <w:szCs w:val="20"/>
              </w:rPr>
              <w:t xml:space="preserve">$197,736.94</w:t>
            </w:r>
          </w:p>
        </w:tc>
        <w:tc>
          <w:tcPr>
            <w:tcW w:type="dxa" w:w="1400"/>
            <w:tcMar>
              <w:top w:type="dxa" w:w="80"/>
              <w:left w:type="dxa" w:w="100"/>
              <w:bottom w:type="dxa" w:w="80"/>
              <w:right w:type="dxa" w:w="100"/>
            </w:tcMar>
          </w:tcPr>
          <w:p>
            <w:pPr>
              <w:jc w:val="right"/>
            </w:pPr>
            <w:r>
              <w:rPr>
                <w:b w:val="false"/>
                <w:bCs w:val="false"/>
                <w:color w:val="000000"/>
                <w:sz w:val="20"/>
                <w:szCs w:val="20"/>
              </w:rPr>
              <w:t xml:space="preserve">4</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La Rochelle Gifts</w:t>
            </w:r>
          </w:p>
        </w:tc>
        <w:tc>
          <w:tcPr>
            <w:tcW w:type="dxa" w:w="1800"/>
            <w:tcMar>
              <w:top w:type="dxa" w:w="80"/>
              <w:left w:type="dxa" w:w="100"/>
              <w:bottom w:type="dxa" w:w="80"/>
              <w:right w:type="dxa" w:w="100"/>
            </w:tcMar>
          </w:tcPr>
          <w:p>
            <w:pPr>
              <w:jc w:val="right"/>
            </w:pPr>
            <w:r>
              <w:rPr>
                <w:b w:val="false"/>
                <w:bCs w:val="false"/>
                <w:color w:val="000000"/>
                <w:sz w:val="20"/>
                <w:szCs w:val="20"/>
              </w:rPr>
              <w:t xml:space="preserve">France</w:t>
            </w:r>
          </w:p>
        </w:tc>
        <w:tc>
          <w:tcPr>
            <w:tcW w:type="dxa" w:w="2200"/>
            <w:tcMar>
              <w:top w:type="dxa" w:w="80"/>
              <w:left w:type="dxa" w:w="100"/>
              <w:bottom w:type="dxa" w:w="80"/>
              <w:right w:type="dxa" w:w="100"/>
            </w:tcMar>
          </w:tcPr>
          <w:p>
            <w:pPr>
              <w:jc w:val="right"/>
            </w:pPr>
            <w:r>
              <w:rPr>
                <w:b w:val="false"/>
                <w:bCs w:val="false"/>
                <w:color w:val="000000"/>
                <w:sz w:val="20"/>
                <w:szCs w:val="20"/>
              </w:rPr>
              <w:t xml:space="preserve">$180,124.90</w:t>
            </w:r>
          </w:p>
        </w:tc>
        <w:tc>
          <w:tcPr>
            <w:tcW w:type="dxa" w:w="1400"/>
            <w:tcMar>
              <w:top w:type="dxa" w:w="80"/>
              <w:left w:type="dxa" w:w="100"/>
              <w:bottom w:type="dxa" w:w="80"/>
              <w:right w:type="dxa" w:w="100"/>
            </w:tcMar>
          </w:tcPr>
          <w:p>
            <w:pPr>
              <w:jc w:val="right"/>
            </w:pPr>
            <w:r>
              <w:rPr>
                <w:b w:val="false"/>
                <w:bCs w:val="false"/>
                <w:color w:val="000000"/>
                <w:sz w:val="20"/>
                <w:szCs w:val="20"/>
              </w:rPr>
              <w:t xml:space="preserve">4</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Dragon Souveniers, Ltd.</w:t>
            </w:r>
          </w:p>
        </w:tc>
        <w:tc>
          <w:tcPr>
            <w:tcW w:type="dxa" w:w="1800"/>
            <w:tcMar>
              <w:top w:type="dxa" w:w="80"/>
              <w:left w:type="dxa" w:w="100"/>
              <w:bottom w:type="dxa" w:w="80"/>
              <w:right w:type="dxa" w:w="100"/>
            </w:tcMar>
          </w:tcPr>
          <w:p>
            <w:pPr>
              <w:jc w:val="right"/>
            </w:pPr>
            <w:r>
              <w:rPr>
                <w:b w:val="false"/>
                <w:bCs w:val="false"/>
                <w:color w:val="000000"/>
                <w:sz w:val="20"/>
                <w:szCs w:val="20"/>
              </w:rPr>
              <w:t xml:space="preserve">Singapore</w:t>
            </w:r>
          </w:p>
        </w:tc>
        <w:tc>
          <w:tcPr>
            <w:tcW w:type="dxa" w:w="2200"/>
            <w:tcMar>
              <w:top w:type="dxa" w:w="80"/>
              <w:left w:type="dxa" w:w="100"/>
              <w:bottom w:type="dxa" w:w="80"/>
              <w:right w:type="dxa" w:w="100"/>
            </w:tcMar>
          </w:tcPr>
          <w:p>
            <w:pPr>
              <w:jc w:val="right"/>
            </w:pPr>
            <w:r>
              <w:rPr>
                <w:b w:val="false"/>
                <w:bCs w:val="false"/>
                <w:color w:val="000000"/>
                <w:sz w:val="20"/>
                <w:szCs w:val="20"/>
              </w:rPr>
              <w:t xml:space="preserve">$172,989.68</w:t>
            </w:r>
          </w:p>
        </w:tc>
        <w:tc>
          <w:tcPr>
            <w:tcW w:type="dxa" w:w="1400"/>
            <w:tcMar>
              <w:top w:type="dxa" w:w="80"/>
              <w:left w:type="dxa" w:w="100"/>
              <w:bottom w:type="dxa" w:w="80"/>
              <w:right w:type="dxa" w:w="100"/>
            </w:tcMar>
          </w:tcPr>
          <w:p>
            <w:pPr>
              <w:jc w:val="right"/>
            </w:pPr>
            <w:r>
              <w:rPr>
                <w:b w:val="false"/>
                <w:bCs w:val="false"/>
                <w:color w:val="000000"/>
                <w:sz w:val="20"/>
                <w:szCs w:val="20"/>
              </w:rPr>
              <w:t xml:space="preserve">5</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Land of Toys Inc.</w:t>
            </w:r>
          </w:p>
        </w:tc>
        <w:tc>
          <w:tcPr>
            <w:tcW w:type="dxa" w:w="1800"/>
            <w:tcMar>
              <w:top w:type="dxa" w:w="80"/>
              <w:left w:type="dxa" w:w="100"/>
              <w:bottom w:type="dxa" w:w="80"/>
              <w:right w:type="dxa" w:w="100"/>
            </w:tcMar>
          </w:tcPr>
          <w:p>
            <w:pPr>
              <w:jc w:val="right"/>
            </w:pPr>
            <w:r>
              <w:rPr>
                <w:b w:val="false"/>
                <w:bCs w:val="false"/>
                <w:color w:val="000000"/>
                <w:sz w:val="20"/>
                <w:szCs w:val="20"/>
              </w:rPr>
              <w:t xml:space="preserve">USA</w:t>
            </w:r>
          </w:p>
        </w:tc>
        <w:tc>
          <w:tcPr>
            <w:tcW w:type="dxa" w:w="2200"/>
            <w:tcMar>
              <w:top w:type="dxa" w:w="80"/>
              <w:left w:type="dxa" w:w="100"/>
              <w:bottom w:type="dxa" w:w="80"/>
              <w:right w:type="dxa" w:w="100"/>
            </w:tcMar>
          </w:tcPr>
          <w:p>
            <w:pPr>
              <w:jc w:val="right"/>
            </w:pPr>
            <w:r>
              <w:rPr>
                <w:b w:val="false"/>
                <w:bCs w:val="false"/>
                <w:color w:val="000000"/>
                <w:sz w:val="20"/>
                <w:szCs w:val="20"/>
              </w:rPr>
              <w:t xml:space="preserve">$164,069.44</w:t>
            </w:r>
          </w:p>
        </w:tc>
        <w:tc>
          <w:tcPr>
            <w:tcW w:type="dxa" w:w="1400"/>
            <w:tcMar>
              <w:top w:type="dxa" w:w="80"/>
              <w:left w:type="dxa" w:w="100"/>
              <w:bottom w:type="dxa" w:w="80"/>
              <w:right w:type="dxa" w:w="100"/>
            </w:tcMar>
          </w:tcPr>
          <w:p>
            <w:pPr>
              <w:jc w:val="right"/>
            </w:pPr>
            <w:r>
              <w:rPr>
                <w:b w:val="false"/>
                <w:bCs w:val="false"/>
                <w:color w:val="000000"/>
                <w:sz w:val="20"/>
                <w:szCs w:val="20"/>
              </w:rPr>
              <w:t xml:space="preserve">4</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The Sharp Gifts Warehouse</w:t>
            </w:r>
          </w:p>
        </w:tc>
        <w:tc>
          <w:tcPr>
            <w:tcW w:type="dxa" w:w="1800"/>
            <w:tcMar>
              <w:top w:type="dxa" w:w="80"/>
              <w:left w:type="dxa" w:w="100"/>
              <w:bottom w:type="dxa" w:w="80"/>
              <w:right w:type="dxa" w:w="100"/>
            </w:tcMar>
          </w:tcPr>
          <w:p>
            <w:pPr>
              <w:jc w:val="right"/>
            </w:pPr>
            <w:r>
              <w:rPr>
                <w:b w:val="false"/>
                <w:bCs w:val="false"/>
                <w:color w:val="000000"/>
                <w:sz w:val="20"/>
                <w:szCs w:val="20"/>
              </w:rPr>
              <w:t xml:space="preserve">USA</w:t>
            </w:r>
          </w:p>
        </w:tc>
        <w:tc>
          <w:tcPr>
            <w:tcW w:type="dxa" w:w="2200"/>
            <w:tcMar>
              <w:top w:type="dxa" w:w="80"/>
              <w:left w:type="dxa" w:w="100"/>
              <w:bottom w:type="dxa" w:w="80"/>
              <w:right w:type="dxa" w:w="100"/>
            </w:tcMar>
          </w:tcPr>
          <w:p>
            <w:pPr>
              <w:jc w:val="right"/>
            </w:pPr>
            <w:r>
              <w:rPr>
                <w:b w:val="false"/>
                <w:bCs w:val="false"/>
                <w:color w:val="000000"/>
                <w:sz w:val="20"/>
                <w:szCs w:val="20"/>
              </w:rPr>
              <w:t xml:space="preserve">$160,010.27</w:t>
            </w:r>
          </w:p>
        </w:tc>
        <w:tc>
          <w:tcPr>
            <w:tcW w:type="dxa" w:w="1400"/>
            <w:tcMar>
              <w:top w:type="dxa" w:w="80"/>
              <w:left w:type="dxa" w:w="100"/>
              <w:bottom w:type="dxa" w:w="80"/>
              <w:right w:type="dxa" w:w="100"/>
            </w:tcMar>
          </w:tcPr>
          <w:p>
            <w:pPr>
              <w:jc w:val="right"/>
            </w:pPr>
            <w:r>
              <w:rPr>
                <w:b w:val="false"/>
                <w:bCs w:val="false"/>
                <w:color w:val="000000"/>
                <w:sz w:val="20"/>
                <w:szCs w:val="20"/>
              </w:rPr>
              <w:t xml:space="preserve">4</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AV Stores, Co.</w:t>
            </w:r>
          </w:p>
        </w:tc>
        <w:tc>
          <w:tcPr>
            <w:tcW w:type="dxa" w:w="1800"/>
            <w:tcMar>
              <w:top w:type="dxa" w:w="80"/>
              <w:left w:type="dxa" w:w="100"/>
              <w:bottom w:type="dxa" w:w="80"/>
              <w:right w:type="dxa" w:w="100"/>
            </w:tcMar>
          </w:tcPr>
          <w:p>
            <w:pPr>
              <w:jc w:val="right"/>
            </w:pPr>
            <w:r>
              <w:rPr>
                <w:b w:val="false"/>
                <w:bCs w:val="false"/>
                <w:color w:val="000000"/>
                <w:sz w:val="20"/>
                <w:szCs w:val="20"/>
              </w:rPr>
              <w:t xml:space="preserve">UK</w:t>
            </w:r>
          </w:p>
        </w:tc>
        <w:tc>
          <w:tcPr>
            <w:tcW w:type="dxa" w:w="2200"/>
            <w:tcMar>
              <w:top w:type="dxa" w:w="80"/>
              <w:left w:type="dxa" w:w="100"/>
              <w:bottom w:type="dxa" w:w="80"/>
              <w:right w:type="dxa" w:w="100"/>
            </w:tcMar>
          </w:tcPr>
          <w:p>
            <w:pPr>
              <w:jc w:val="right"/>
            </w:pPr>
            <w:r>
              <w:rPr>
                <w:b w:val="false"/>
                <w:bCs w:val="false"/>
                <w:color w:val="000000"/>
                <w:sz w:val="20"/>
                <w:szCs w:val="20"/>
              </w:rPr>
              <w:t xml:space="preserve">$157,807.81</w:t>
            </w:r>
          </w:p>
        </w:tc>
        <w:tc>
          <w:tcPr>
            <w:tcW w:type="dxa" w:w="1400"/>
            <w:tcMar>
              <w:top w:type="dxa" w:w="80"/>
              <w:left w:type="dxa" w:w="100"/>
              <w:bottom w:type="dxa" w:w="80"/>
              <w:right w:type="dxa" w:w="100"/>
            </w:tcMar>
          </w:tcPr>
          <w:p>
            <w:pPr>
              <w:jc w:val="right"/>
            </w:pPr>
            <w:r>
              <w:rPr>
                <w:b w:val="false"/>
                <w:bCs w:val="false"/>
                <w:color w:val="000000"/>
                <w:sz w:val="20"/>
                <w:szCs w:val="20"/>
              </w:rPr>
              <w:t xml:space="preserve">3</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Anna's Decorations, Ltd</w:t>
            </w:r>
          </w:p>
        </w:tc>
        <w:tc>
          <w:tcPr>
            <w:tcW w:type="dxa" w:w="1800"/>
            <w:tcMar>
              <w:top w:type="dxa" w:w="80"/>
              <w:left w:type="dxa" w:w="100"/>
              <w:bottom w:type="dxa" w:w="80"/>
              <w:right w:type="dxa" w:w="100"/>
            </w:tcMar>
          </w:tcPr>
          <w:p>
            <w:pPr>
              <w:jc w:val="right"/>
            </w:pPr>
            <w:r>
              <w:rPr>
                <w:b w:val="false"/>
                <w:bCs w:val="false"/>
                <w:color w:val="000000"/>
                <w:sz w:val="20"/>
                <w:szCs w:val="20"/>
              </w:rPr>
              <w:t xml:space="preserve">Australia</w:t>
            </w:r>
          </w:p>
        </w:tc>
        <w:tc>
          <w:tcPr>
            <w:tcW w:type="dxa" w:w="2200"/>
            <w:tcMar>
              <w:top w:type="dxa" w:w="80"/>
              <w:left w:type="dxa" w:w="100"/>
              <w:bottom w:type="dxa" w:w="80"/>
              <w:right w:type="dxa" w:w="100"/>
            </w:tcMar>
          </w:tcPr>
          <w:p>
            <w:pPr>
              <w:jc w:val="right"/>
            </w:pPr>
            <w:r>
              <w:rPr>
                <w:b w:val="false"/>
                <w:bCs w:val="false"/>
                <w:color w:val="000000"/>
                <w:sz w:val="20"/>
                <w:szCs w:val="20"/>
              </w:rPr>
              <w:t xml:space="preserve">$153,996.13</w:t>
            </w:r>
          </w:p>
        </w:tc>
        <w:tc>
          <w:tcPr>
            <w:tcW w:type="dxa" w:w="1400"/>
            <w:tcMar>
              <w:top w:type="dxa" w:w="80"/>
              <w:left w:type="dxa" w:w="100"/>
              <w:bottom w:type="dxa" w:w="80"/>
              <w:right w:type="dxa" w:w="100"/>
            </w:tcMar>
          </w:tcPr>
          <w:p>
            <w:pPr>
              <w:jc w:val="right"/>
            </w:pPr>
            <w:r>
              <w:rPr>
                <w:b w:val="false"/>
                <w:bCs w:val="false"/>
                <w:color w:val="000000"/>
                <w:sz w:val="20"/>
                <w:szCs w:val="20"/>
              </w:rPr>
              <w:t xml:space="preserve">4</w:t>
            </w:r>
          </w:p>
        </w:tc>
      </w:tr>
    </w:tbl>
    <w:p>
      <w:pPr>
        <w:spacing w:before="160"/>
      </w:pPr>
    </w:p>
    <w:p>
      <w:pPr>
        <w:spacing w:after="160" w:line="276"/>
      </w:pPr>
      <w:r>
        <w:rPr>
          <w:sz w:val="22"/>
          <w:szCs w:val="22"/>
        </w:rPr>
        <w:t xml:space="preserve">The top 2 customers alone (Euro Shopping Channel and Mini Gifts Distributors) account for roughly 16% of total company revenue. That's real concentration risk — losing either account would leave a significant, hard-to-replace revenue gap.</w:t>
      </w:r>
    </w:p>
    <w:p>
      <w:pPr>
        <w:pStyle w:val="Heading2"/>
        <w:spacing w:after="120" w:before="240"/>
      </w:pPr>
      <w:r>
        <w:t xml:space="preserve">5.3 Revenue Trend &amp; Seasonality</w:t>
      </w:r>
    </w:p>
    <w:p>
      <w:pPr>
        <w:spacing w:after="160" w:line="276"/>
      </w:pPr>
      <w:r>
        <w:rPr>
          <w:sz w:val="22"/>
          <w:szCs w:val="22"/>
        </w:rPr>
        <w:t xml:space="preserve">Monthly revenue (Section B3 of the script) shows a strong, repeating seasonal spike every November across all three years — revenue jumps 80–115% from October to November each year, then drops sharply in December. This lines up with holiday-season ordering (toy/collectible retailers stocking up ahead of year-end) and is a reliable, predictable pattern worth planning inventory and staffing around.</w:t>
      </w:r>
    </w:p>
    <w:p>
      <w:pPr>
        <w:spacing w:after="160" w:line="276"/>
      </w:pPr>
      <w:r>
        <w:rPr>
          <w:sz w:val="22"/>
          <w:szCs w:val="22"/>
        </w:rPr>
        <w:t xml:space="preserve">Best-performing product line every year: Classic Cars, without exception — 2003 ($1.48M), 2004 ($1.76M, the peak year), and a partial 2005 ($673K through May, the last month in the dataset).</w:t>
      </w:r>
    </w:p>
    <w:p>
      <w:pPr>
        <w:pStyle w:val="Heading2"/>
        <w:spacing w:after="120" w:before="240"/>
      </w:pPr>
      <w:r>
        <w:t xml:space="preserve">5.4 Customer Purchasing Behavior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tblGrid>
      <w:tr>
        <w:trPr>
          <w:tblHeader/>
        </w:trPr>
        <w:tc>
          <w:tcPr>
            <w:tcW w:type="dxa" w:w="4200"/>
            <w:shd w:fill="1F3864" w:val="clear"/>
            <w:tcMar>
              <w:top w:type="dxa" w:w="80"/>
              <w:left w:type="dxa" w:w="100"/>
              <w:bottom w:type="dxa" w:w="80"/>
              <w:right w:type="dxa" w:w="100"/>
            </w:tcMar>
          </w:tcPr>
          <w:p>
            <w:pPr>
              <w:jc w:val="left"/>
            </w:pPr>
            <w:r>
              <w:rPr>
                <w:b/>
                <w:bCs/>
                <w:color w:val="FFFFFF"/>
                <w:sz w:val="20"/>
                <w:szCs w:val="20"/>
              </w:rPr>
              <w:t xml:space="preserve">Metric</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Value</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Repeat customers</w:t>
            </w:r>
          </w:p>
        </w:tc>
        <w:tc>
          <w:tcPr>
            <w:tcW w:type="dxa" w:w="3600"/>
            <w:tcMar>
              <w:top w:type="dxa" w:w="80"/>
              <w:left w:type="dxa" w:w="100"/>
              <w:bottom w:type="dxa" w:w="80"/>
              <w:right w:type="dxa" w:w="100"/>
            </w:tcMar>
          </w:tcPr>
          <w:p>
            <w:pPr>
              <w:jc w:val="right"/>
            </w:pPr>
            <w:r>
              <w:rPr>
                <w:b w:val="false"/>
                <w:bCs w:val="false"/>
                <w:color w:val="000000"/>
                <w:sz w:val="20"/>
                <w:szCs w:val="20"/>
              </w:rPr>
              <w:t xml:space="preserve">91 of 92 (99%)</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Avg. spend — repeat customers</w:t>
            </w:r>
          </w:p>
        </w:tc>
        <w:tc>
          <w:tcPr>
            <w:tcW w:type="dxa" w:w="3600"/>
            <w:tcMar>
              <w:top w:type="dxa" w:w="80"/>
              <w:left w:type="dxa" w:w="100"/>
              <w:bottom w:type="dxa" w:w="80"/>
              <w:right w:type="dxa" w:w="100"/>
            </w:tcMar>
          </w:tcPr>
          <w:p>
            <w:pPr>
              <w:jc w:val="right"/>
            </w:pPr>
            <w:r>
              <w:rPr>
                <w:b w:val="false"/>
                <w:bCs w:val="false"/>
                <w:color w:val="000000"/>
                <w:sz w:val="20"/>
                <w:szCs w:val="20"/>
              </w:rPr>
              <w:t xml:space="preserve">$109,864.12</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Avg. spend — one-time customer</w:t>
            </w:r>
          </w:p>
        </w:tc>
        <w:tc>
          <w:tcPr>
            <w:tcW w:type="dxa" w:w="3600"/>
            <w:tcMar>
              <w:top w:type="dxa" w:w="80"/>
              <w:left w:type="dxa" w:w="100"/>
              <w:bottom w:type="dxa" w:w="80"/>
              <w:right w:type="dxa" w:w="100"/>
            </w:tcMar>
          </w:tcPr>
          <w:p>
            <w:pPr>
              <w:jc w:val="right"/>
            </w:pPr>
            <w:r>
              <w:rPr>
                <w:b w:val="false"/>
                <w:bCs w:val="false"/>
                <w:color w:val="000000"/>
                <w:sz w:val="20"/>
                <w:szCs w:val="20"/>
              </w:rPr>
              <w:t xml:space="preserve">$34,993.92</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Highest avg. order value</w:t>
            </w:r>
          </w:p>
        </w:tc>
        <w:tc>
          <w:tcPr>
            <w:tcW w:type="dxa" w:w="3600"/>
            <w:tcMar>
              <w:top w:type="dxa" w:w="80"/>
              <w:left w:type="dxa" w:w="100"/>
              <w:bottom w:type="dxa" w:w="80"/>
              <w:right w:type="dxa" w:w="100"/>
            </w:tcMar>
          </w:tcPr>
          <w:p>
            <w:pPr>
              <w:jc w:val="right"/>
            </w:pPr>
            <w:r>
              <w:rPr>
                <w:b w:val="false"/>
                <w:bCs w:val="false"/>
                <w:color w:val="000000"/>
                <w:sz w:val="20"/>
                <w:szCs w:val="20"/>
              </w:rPr>
              <w:t xml:space="preserve">Vida Sport, Ltd. — $58,856.78</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Most common deal size</w:t>
            </w:r>
          </w:p>
        </w:tc>
        <w:tc>
          <w:tcPr>
            <w:tcW w:type="dxa" w:w="3600"/>
            <w:tcMar>
              <w:top w:type="dxa" w:w="80"/>
              <w:left w:type="dxa" w:w="100"/>
              <w:bottom w:type="dxa" w:w="80"/>
              <w:right w:type="dxa" w:w="100"/>
            </w:tcMar>
          </w:tcPr>
          <w:p>
            <w:pPr>
              <w:jc w:val="right"/>
            </w:pPr>
            <w:r>
              <w:rPr>
                <w:b w:val="false"/>
                <w:bCs w:val="false"/>
                <w:color w:val="000000"/>
                <w:sz w:val="20"/>
                <w:szCs w:val="20"/>
              </w:rPr>
              <w:t xml:space="preserve">Medium (53% of orders)</w:t>
            </w:r>
          </w:p>
        </w:tc>
      </w:tr>
    </w:tbl>
    <w:p>
      <w:pPr>
        <w:spacing w:before="160"/>
      </w:pPr>
    </w:p>
    <w:p>
      <w:pPr>
        <w:spacing w:after="160" w:line="276"/>
      </w:pPr>
      <w:r>
        <w:rPr>
          <w:sz w:val="22"/>
          <w:szCs w:val="22"/>
        </w:rPr>
        <w:t xml:space="preserve">Near-universal repeat purchasing (99% of customers) signals a healthy, loyalty-driven B2B model rather than one-off transactions — typical of a wholesale/distributor relationship. Repeat customers being worth over 3x a one-time buyer underscores how valuable retention is here.</w:t>
      </w:r>
    </w:p>
    <w:p>
      <w:pPr>
        <w:pStyle w:val="Heading2"/>
        <w:spacing w:after="120" w:before="240"/>
      </w:pPr>
      <w:r>
        <w:t xml:space="preserve">5.5 Order Status &amp; Revenue at Risk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200"/>
      </w:tblGrid>
      <w:tr>
        <w:trPr>
          <w:tblHeader/>
        </w:trPr>
        <w:tc>
          <w:tcPr>
            <w:tcW w:type="dxa" w:w="2200"/>
            <w:shd w:fill="1F3864" w:val="clear"/>
            <w:tcMar>
              <w:top w:type="dxa" w:w="80"/>
              <w:left w:type="dxa" w:w="100"/>
              <w:bottom w:type="dxa" w:w="80"/>
              <w:right w:type="dxa" w:w="100"/>
            </w:tcMar>
          </w:tcPr>
          <w:p>
            <w:pPr>
              <w:jc w:val="left"/>
            </w:pPr>
            <w:r>
              <w:rPr>
                <w:b/>
                <w:bCs/>
                <w:color w:val="FFFFFF"/>
                <w:sz w:val="20"/>
                <w:szCs w:val="20"/>
              </w:rPr>
              <w:t xml:space="preserve">Status</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Orders</w:t>
            </w:r>
          </w:p>
        </w:tc>
        <w:tc>
          <w:tcPr>
            <w:tcW w:type="dxa" w:w="2600"/>
            <w:shd w:fill="1F3864" w:val="clear"/>
            <w:tcMar>
              <w:top w:type="dxa" w:w="80"/>
              <w:left w:type="dxa" w:w="100"/>
              <w:bottom w:type="dxa" w:w="80"/>
              <w:right w:type="dxa" w:w="100"/>
            </w:tcMar>
          </w:tcPr>
          <w:p>
            <w:pPr>
              <w:jc w:val="left"/>
            </w:pPr>
            <w:r>
              <w:rPr>
                <w:b/>
                <w:bCs/>
                <w:color w:val="FFFFFF"/>
                <w:sz w:val="20"/>
                <w:szCs w:val="20"/>
              </w:rPr>
              <w:t xml:space="preserve">Revenue</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 of Revenue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Shipped</w:t>
            </w:r>
          </w:p>
        </w:tc>
        <w:tc>
          <w:tcPr>
            <w:tcW w:type="dxa" w:w="1600"/>
            <w:tcMar>
              <w:top w:type="dxa" w:w="80"/>
              <w:left w:type="dxa" w:w="100"/>
              <w:bottom w:type="dxa" w:w="80"/>
              <w:right w:type="dxa" w:w="100"/>
            </w:tcMar>
          </w:tcPr>
          <w:p>
            <w:pPr>
              <w:jc w:val="right"/>
            </w:pPr>
            <w:r>
              <w:rPr>
                <w:b w:val="false"/>
                <w:bCs w:val="false"/>
                <w:color w:val="000000"/>
                <w:sz w:val="20"/>
                <w:szCs w:val="20"/>
              </w:rPr>
              <w:t xml:space="preserve">286</w:t>
            </w:r>
          </w:p>
        </w:tc>
        <w:tc>
          <w:tcPr>
            <w:tcW w:type="dxa" w:w="2600"/>
            <w:tcMar>
              <w:top w:type="dxa" w:w="80"/>
              <w:left w:type="dxa" w:w="100"/>
              <w:bottom w:type="dxa" w:w="80"/>
              <w:right w:type="dxa" w:w="100"/>
            </w:tcMar>
          </w:tcPr>
          <w:p>
            <w:pPr>
              <w:jc w:val="right"/>
            </w:pPr>
            <w:r>
              <w:rPr>
                <w:b w:val="false"/>
                <w:bCs w:val="false"/>
                <w:color w:val="000000"/>
                <w:sz w:val="20"/>
                <w:szCs w:val="20"/>
              </w:rPr>
              <w:t xml:space="preserve">$9,291,501.08</w:t>
            </w:r>
          </w:p>
        </w:tc>
        <w:tc>
          <w:tcPr>
            <w:tcW w:type="dxa" w:w="2200"/>
            <w:tcMar>
              <w:top w:type="dxa" w:w="80"/>
              <w:left w:type="dxa" w:w="100"/>
              <w:bottom w:type="dxa" w:w="80"/>
              <w:right w:type="dxa" w:w="100"/>
            </w:tcMar>
          </w:tcPr>
          <w:p>
            <w:pPr>
              <w:jc w:val="right"/>
            </w:pPr>
            <w:r>
              <w:rPr>
                <w:b w:val="false"/>
                <w:bCs w:val="false"/>
                <w:color w:val="000000"/>
                <w:sz w:val="20"/>
                <w:szCs w:val="20"/>
              </w:rPr>
              <w:t xml:space="preserve">92.6%</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Cancelled</w:t>
            </w:r>
          </w:p>
        </w:tc>
        <w:tc>
          <w:tcPr>
            <w:tcW w:type="dxa" w:w="1600"/>
            <w:tcMar>
              <w:top w:type="dxa" w:w="80"/>
              <w:left w:type="dxa" w:w="100"/>
              <w:bottom w:type="dxa" w:w="80"/>
              <w:right w:type="dxa" w:w="100"/>
            </w:tcMar>
          </w:tcPr>
          <w:p>
            <w:pPr>
              <w:jc w:val="right"/>
            </w:pPr>
            <w:r>
              <w:rPr>
                <w:b w:val="false"/>
                <w:bCs w:val="false"/>
                <w:color w:val="000000"/>
                <w:sz w:val="20"/>
                <w:szCs w:val="20"/>
              </w:rPr>
              <w:t xml:space="preserve">4</w:t>
            </w:r>
          </w:p>
        </w:tc>
        <w:tc>
          <w:tcPr>
            <w:tcW w:type="dxa" w:w="2600"/>
            <w:tcMar>
              <w:top w:type="dxa" w:w="80"/>
              <w:left w:type="dxa" w:w="100"/>
              <w:bottom w:type="dxa" w:w="80"/>
              <w:right w:type="dxa" w:w="100"/>
            </w:tcMar>
          </w:tcPr>
          <w:p>
            <w:pPr>
              <w:jc w:val="right"/>
            </w:pPr>
            <w:r>
              <w:rPr>
                <w:b w:val="false"/>
                <w:bCs w:val="false"/>
                <w:color w:val="000000"/>
                <w:sz w:val="20"/>
                <w:szCs w:val="20"/>
              </w:rPr>
              <w:t xml:space="preserve">$194,487.48</w:t>
            </w:r>
          </w:p>
        </w:tc>
        <w:tc>
          <w:tcPr>
            <w:tcW w:type="dxa" w:w="2200"/>
            <w:tcMar>
              <w:top w:type="dxa" w:w="80"/>
              <w:left w:type="dxa" w:w="100"/>
              <w:bottom w:type="dxa" w:w="80"/>
              <w:right w:type="dxa" w:w="100"/>
            </w:tcMar>
          </w:tcPr>
          <w:p>
            <w:pPr>
              <w:jc w:val="right"/>
            </w:pPr>
            <w:r>
              <w:rPr>
                <w:b w:val="false"/>
                <w:bCs w:val="false"/>
                <w:color w:val="000000"/>
                <w:sz w:val="20"/>
                <w:szCs w:val="20"/>
              </w:rPr>
              <w:t xml:space="preserve">1.9%</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On Hold</w:t>
            </w:r>
          </w:p>
        </w:tc>
        <w:tc>
          <w:tcPr>
            <w:tcW w:type="dxa" w:w="1600"/>
            <w:tcMar>
              <w:top w:type="dxa" w:w="80"/>
              <w:left w:type="dxa" w:w="100"/>
              <w:bottom w:type="dxa" w:w="80"/>
              <w:right w:type="dxa" w:w="100"/>
            </w:tcMar>
          </w:tcPr>
          <w:p>
            <w:pPr>
              <w:jc w:val="right"/>
            </w:pPr>
            <w:r>
              <w:rPr>
                <w:b w:val="false"/>
                <w:bCs w:val="false"/>
                <w:color w:val="000000"/>
                <w:sz w:val="20"/>
                <w:szCs w:val="20"/>
              </w:rPr>
              <w:t xml:space="preserve">4</w:t>
            </w:r>
          </w:p>
        </w:tc>
        <w:tc>
          <w:tcPr>
            <w:tcW w:type="dxa" w:w="2600"/>
            <w:tcMar>
              <w:top w:type="dxa" w:w="80"/>
              <w:left w:type="dxa" w:w="100"/>
              <w:bottom w:type="dxa" w:w="80"/>
              <w:right w:type="dxa" w:w="100"/>
            </w:tcMar>
          </w:tcPr>
          <w:p>
            <w:pPr>
              <w:jc w:val="right"/>
            </w:pPr>
            <w:r>
              <w:rPr>
                <w:b w:val="false"/>
                <w:bCs w:val="false"/>
                <w:color w:val="000000"/>
                <w:sz w:val="20"/>
                <w:szCs w:val="20"/>
              </w:rPr>
              <w:t xml:space="preserve">$178,979.19</w:t>
            </w:r>
          </w:p>
        </w:tc>
        <w:tc>
          <w:tcPr>
            <w:tcW w:type="dxa" w:w="2200"/>
            <w:tcMar>
              <w:top w:type="dxa" w:w="80"/>
              <w:left w:type="dxa" w:w="100"/>
              <w:bottom w:type="dxa" w:w="80"/>
              <w:right w:type="dxa" w:w="100"/>
            </w:tcMar>
          </w:tcPr>
          <w:p>
            <w:pPr>
              <w:jc w:val="right"/>
            </w:pPr>
            <w:r>
              <w:rPr>
                <w:b w:val="false"/>
                <w:bCs w:val="false"/>
                <w:color w:val="000000"/>
                <w:sz w:val="20"/>
                <w:szCs w:val="20"/>
              </w:rPr>
              <w:t xml:space="preserve">1.8%</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Resolved</w:t>
            </w:r>
          </w:p>
        </w:tc>
        <w:tc>
          <w:tcPr>
            <w:tcW w:type="dxa" w:w="1600"/>
            <w:tcMar>
              <w:top w:type="dxa" w:w="80"/>
              <w:left w:type="dxa" w:w="100"/>
              <w:bottom w:type="dxa" w:w="80"/>
              <w:right w:type="dxa" w:w="100"/>
            </w:tcMar>
          </w:tcPr>
          <w:p>
            <w:pPr>
              <w:jc w:val="right"/>
            </w:pPr>
            <w:r>
              <w:rPr>
                <w:b w:val="false"/>
                <w:bCs w:val="false"/>
                <w:color w:val="000000"/>
                <w:sz w:val="20"/>
                <w:szCs w:val="20"/>
              </w:rPr>
              <w:t xml:space="preserve">4</w:t>
            </w:r>
          </w:p>
        </w:tc>
        <w:tc>
          <w:tcPr>
            <w:tcW w:type="dxa" w:w="2600"/>
            <w:tcMar>
              <w:top w:type="dxa" w:w="80"/>
              <w:left w:type="dxa" w:w="100"/>
              <w:bottom w:type="dxa" w:w="80"/>
              <w:right w:type="dxa" w:w="100"/>
            </w:tcMar>
          </w:tcPr>
          <w:p>
            <w:pPr>
              <w:jc w:val="right"/>
            </w:pPr>
            <w:r>
              <w:rPr>
                <w:b w:val="false"/>
                <w:bCs w:val="false"/>
                <w:color w:val="000000"/>
                <w:sz w:val="20"/>
                <w:szCs w:val="20"/>
              </w:rPr>
              <w:t xml:space="preserve">$150,718.28</w:t>
            </w:r>
          </w:p>
        </w:tc>
        <w:tc>
          <w:tcPr>
            <w:tcW w:type="dxa" w:w="2200"/>
            <w:tcMar>
              <w:top w:type="dxa" w:w="80"/>
              <w:left w:type="dxa" w:w="100"/>
              <w:bottom w:type="dxa" w:w="80"/>
              <w:right w:type="dxa" w:w="100"/>
            </w:tcMar>
          </w:tcPr>
          <w:p>
            <w:pPr>
              <w:jc w:val="right"/>
            </w:pPr>
            <w:r>
              <w:rPr>
                <w:b w:val="false"/>
                <w:bCs w:val="false"/>
                <w:color w:val="000000"/>
                <w:sz w:val="20"/>
                <w:szCs w:val="20"/>
              </w:rPr>
              <w:t xml:space="preserve">1.5%</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In Process</w:t>
            </w:r>
          </w:p>
        </w:tc>
        <w:tc>
          <w:tcPr>
            <w:tcW w:type="dxa" w:w="1600"/>
            <w:tcMar>
              <w:top w:type="dxa" w:w="80"/>
              <w:left w:type="dxa" w:w="100"/>
              <w:bottom w:type="dxa" w:w="80"/>
              <w:right w:type="dxa" w:w="100"/>
            </w:tcMar>
          </w:tcPr>
          <w:p>
            <w:pPr>
              <w:jc w:val="right"/>
            </w:pPr>
            <w:r>
              <w:rPr>
                <w:b w:val="false"/>
                <w:bCs w:val="false"/>
                <w:color w:val="000000"/>
                <w:sz w:val="20"/>
                <w:szCs w:val="20"/>
              </w:rPr>
              <w:t xml:space="preserve">6</w:t>
            </w:r>
          </w:p>
        </w:tc>
        <w:tc>
          <w:tcPr>
            <w:tcW w:type="dxa" w:w="2600"/>
            <w:tcMar>
              <w:top w:type="dxa" w:w="80"/>
              <w:left w:type="dxa" w:w="100"/>
              <w:bottom w:type="dxa" w:w="80"/>
              <w:right w:type="dxa" w:w="100"/>
            </w:tcMar>
          </w:tcPr>
          <w:p>
            <w:pPr>
              <w:jc w:val="right"/>
            </w:pPr>
            <w:r>
              <w:rPr>
                <w:b w:val="false"/>
                <w:bCs w:val="false"/>
                <w:color w:val="000000"/>
                <w:sz w:val="20"/>
                <w:szCs w:val="20"/>
              </w:rPr>
              <w:t xml:space="preserve">$144,729.96</w:t>
            </w:r>
          </w:p>
        </w:tc>
        <w:tc>
          <w:tcPr>
            <w:tcW w:type="dxa" w:w="2200"/>
            <w:tcMar>
              <w:top w:type="dxa" w:w="80"/>
              <w:left w:type="dxa" w:w="100"/>
              <w:bottom w:type="dxa" w:w="80"/>
              <w:right w:type="dxa" w:w="100"/>
            </w:tcMar>
          </w:tcPr>
          <w:p>
            <w:pPr>
              <w:jc w:val="right"/>
            </w:pPr>
            <w:r>
              <w:rPr>
                <w:b w:val="false"/>
                <w:bCs w:val="false"/>
                <w:color w:val="000000"/>
                <w:sz w:val="20"/>
                <w:szCs w:val="20"/>
              </w:rPr>
              <w:t xml:space="preserve">1.4%</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Disputed</w:t>
            </w:r>
          </w:p>
        </w:tc>
        <w:tc>
          <w:tcPr>
            <w:tcW w:type="dxa" w:w="1600"/>
            <w:tcMar>
              <w:top w:type="dxa" w:w="80"/>
              <w:left w:type="dxa" w:w="100"/>
              <w:bottom w:type="dxa" w:w="80"/>
              <w:right w:type="dxa" w:w="100"/>
            </w:tcMar>
          </w:tcPr>
          <w:p>
            <w:pPr>
              <w:jc w:val="right"/>
            </w:pPr>
            <w:r>
              <w:rPr>
                <w:b w:val="false"/>
                <w:bCs w:val="false"/>
                <w:color w:val="000000"/>
                <w:sz w:val="20"/>
                <w:szCs w:val="20"/>
              </w:rPr>
              <w:t xml:space="preserve">3</w:t>
            </w:r>
          </w:p>
        </w:tc>
        <w:tc>
          <w:tcPr>
            <w:tcW w:type="dxa" w:w="2600"/>
            <w:tcMar>
              <w:top w:type="dxa" w:w="80"/>
              <w:left w:type="dxa" w:w="100"/>
              <w:bottom w:type="dxa" w:w="80"/>
              <w:right w:type="dxa" w:w="100"/>
            </w:tcMar>
          </w:tcPr>
          <w:p>
            <w:pPr>
              <w:jc w:val="right"/>
            </w:pPr>
            <w:r>
              <w:rPr>
                <w:b w:val="false"/>
                <w:bCs w:val="false"/>
                <w:color w:val="000000"/>
                <w:sz w:val="20"/>
                <w:szCs w:val="20"/>
              </w:rPr>
              <w:t xml:space="preserve">$72,212.86</w:t>
            </w:r>
          </w:p>
        </w:tc>
        <w:tc>
          <w:tcPr>
            <w:tcW w:type="dxa" w:w="2200"/>
            <w:tcMar>
              <w:top w:type="dxa" w:w="80"/>
              <w:left w:type="dxa" w:w="100"/>
              <w:bottom w:type="dxa" w:w="80"/>
              <w:right w:type="dxa" w:w="100"/>
            </w:tcMar>
          </w:tcPr>
          <w:p>
            <w:pPr>
              <w:jc w:val="right"/>
            </w:pPr>
            <w:r>
              <w:rPr>
                <w:b w:val="false"/>
                <w:bCs w:val="false"/>
                <w:color w:val="000000"/>
                <w:sz w:val="20"/>
                <w:szCs w:val="20"/>
              </w:rPr>
              <w:t xml:space="preserve">0.7%</w:t>
            </w:r>
          </w:p>
        </w:tc>
      </w:tr>
    </w:tbl>
    <w:p>
      <w:pPr>
        <w:spacing w:before="160"/>
      </w:pPr>
    </w:p>
    <w:p>
      <w:pPr>
        <w:spacing w:after="160" w:line="276"/>
      </w:pPr>
      <w:r>
        <w:rPr>
          <w:sz w:val="22"/>
          <w:szCs w:val="22"/>
        </w:rPr>
        <w:t xml:space="preserve">About $445K (4.4% of total revenue) sits in Cancelled, On Hold, or Disputed status — a small but worth-tracking pool of at-risk revenue.</w:t>
      </w:r>
    </w:p>
    <w:p>
      <w:pPr>
        <w:pStyle w:val="Heading2"/>
        <w:spacing w:after="120" w:before="240"/>
      </w:pPr>
      <w:r>
        <w:t xml:space="preserve">5.6 Geographic Concentration</w:t>
      </w:r>
    </w:p>
    <w:p>
      <w:pPr>
        <w:spacing w:after="160" w:line="276"/>
      </w:pPr>
      <w:r>
        <w:rPr>
          <w:sz w:val="22"/>
          <w:szCs w:val="22"/>
        </w:rPr>
        <w:t xml:space="preserve">The USA is the single largest market ($3.63M), more than 3x the next country (Spain, $1.21M, driven almost entirely by Euro Shopping Channel). EMEA is the strongest region overall once Spain, France, UK, Italy, Finland, Norway, and Denmark are combined.</w:t>
      </w:r>
    </w:p>
    <w:p>
      <w:pPr>
        <w:pStyle w:val="Heading2"/>
        <w:spacing w:after="120" w:before="240"/>
      </w:pPr>
      <w:r>
        <w:t xml:space="preserve">5.7 Discounting Pressure by Product Line</w:t>
      </w:r>
    </w:p>
    <w:p>
      <w:pPr>
        <w:spacing w:after="160" w:line="276"/>
      </w:pPr>
      <w:r>
        <w:rPr>
          <w:sz w:val="22"/>
          <w:szCs w:val="22"/>
        </w:rPr>
        <w:t xml:space="preserve">Comparing average actual selling price to MSRP shows Classic Cars carries the deepest average discount (19.3% below MSRP) despite being the top revenue line — worth investigating whether that's necessary competitive pricing or margin being left on the table. Trains actually sell, on average, above their listed MSRP (−5.4%, i.e. a premium), the only line where that happens.</w:t>
      </w:r>
    </w:p>
    <w:p>
      <w:pPr>
        <w:pBdr>
          <w:bottom w:val="single" w:color="AAAAAA" w:sz="6" w:space="1"/>
        </w:pBdr>
        <w:spacing w:after="200"/>
      </w:pPr>
    </w:p>
    <w:p>
      <w:pPr>
        <w:pStyle w:val="Heading1"/>
        <w:spacing w:after="160" w:before="320"/>
      </w:pPr>
      <w:r>
        <w:t xml:space="preserve">6. Query Optimization</w:t>
      </w:r>
    </w:p>
    <w:p>
      <w:pPr>
        <w:spacing w:after="160" w:line="276"/>
      </w:pPr>
      <w:r>
        <w:rPr>
          <w:sz w:val="22"/>
          <w:szCs w:val="22"/>
        </w:rPr>
        <w:t xml:space="preserve">Eight indexes were added covering every foreign key and every column commonly used in WHERE, JOIN, GROUP BY, or ORDER BY clauses: orders.customer_id, order_items.order_number, order_items.product_code, orders.order_date, orders.status, orders(year_id, month_id), products.product_line, and customers.country.</w:t>
      </w:r>
    </w:p>
    <w:p>
      <w:pPr>
        <w:spacing w:after="160" w:line="276"/>
      </w:pPr>
      <w:r>
        <w:rPr>
          <w:sz w:val="22"/>
          <w:szCs w:val="22"/>
        </w:rPr>
        <w:t xml:space="preserve">At this dataset's size (2,823 rows) PostgreSQL's planner correctly chooses sequential scans for most queries — that's expected and appropriate; sequential scans genuinely outperform index scans on small tables because the whole table fits comfortably in memory. The indexes are still the right call: they cost almost nothing to maintain at this scale, and they become essential as soon as this data grows past tens of thousands of rows, since every join and filter in this project depends on exactly the columns indexed.</w:t>
      </w:r>
    </w:p>
    <w:p>
      <w:pPr>
        <w:pStyle w:val="Heading2"/>
        <w:spacing w:after="120" w:before="240"/>
      </w:pPr>
      <w:r>
        <w:t xml:space="preserve">Readable, efficient SQL practices applied throughout</w:t>
      </w:r>
    </w:p>
    <w:p>
      <w:pPr>
        <w:pStyle w:val="ListParagraph"/>
        <w:numPr>
          <w:ilvl w:val="0"/>
          <w:numId w:val="1"/>
        </w:numPr>
        <w:spacing w:after="80" w:line="276"/>
      </w:pPr>
      <w:r>
        <w:rPr>
          <w:sz w:val="22"/>
          <w:szCs w:val="22"/>
        </w:rPr>
        <w:t xml:space="preserve">Selected only needed columns instead of SELECT *</w:t>
      </w:r>
    </w:p>
    <w:p>
      <w:pPr>
        <w:pStyle w:val="ListParagraph"/>
        <w:numPr>
          <w:ilvl w:val="0"/>
          <w:numId w:val="1"/>
        </w:numPr>
        <w:spacing w:after="80" w:line="276"/>
      </w:pPr>
      <w:r>
        <w:rPr>
          <w:sz w:val="22"/>
          <w:szCs w:val="22"/>
        </w:rPr>
        <w:t xml:space="preserve">Filtered on sargable date ranges (order_date &gt;= ... AND &lt; ...) instead of wrapping the column in a function</w:t>
      </w:r>
    </w:p>
    <w:p>
      <w:pPr>
        <w:pStyle w:val="ListParagraph"/>
        <w:numPr>
          <w:ilvl w:val="0"/>
          <w:numId w:val="1"/>
        </w:numPr>
        <w:spacing w:after="80" w:line="276"/>
      </w:pPr>
      <w:r>
        <w:rPr>
          <w:sz w:val="22"/>
          <w:szCs w:val="22"/>
        </w:rPr>
        <w:t xml:space="preserve">Filtered before joining where possible to shrink intermediate result sets</w:t>
      </w:r>
    </w:p>
    <w:p>
      <w:pPr>
        <w:pStyle w:val="ListParagraph"/>
        <w:numPr>
          <w:ilvl w:val="0"/>
          <w:numId w:val="1"/>
        </w:numPr>
        <w:spacing w:after="80" w:line="276"/>
      </w:pPr>
      <w:r>
        <w:rPr>
          <w:sz w:val="22"/>
          <w:szCs w:val="22"/>
        </w:rPr>
        <w:t xml:space="preserve">Used EXISTS instead of IN for existence checks (customers with a Disputed order)</w:t>
      </w:r>
    </w:p>
    <w:p>
      <w:pPr>
        <w:pStyle w:val="ListParagraph"/>
        <w:numPr>
          <w:ilvl w:val="0"/>
          <w:numId w:val="1"/>
        </w:numPr>
        <w:spacing w:after="80" w:line="276"/>
      </w:pPr>
      <w:r>
        <w:rPr>
          <w:sz w:val="22"/>
          <w:szCs w:val="22"/>
        </w:rPr>
        <w:t xml:space="preserve">Consistent lowercase table/column naming, explicit table aliases, and CTEs/subqueries used for readability over deeply nested one-liners</w:t>
      </w:r>
    </w:p>
    <w:p>
      <w:pPr>
        <w:pBdr>
          <w:bottom w:val="single" w:color="AAAAAA" w:sz="6" w:space="1"/>
        </w:pBdr>
        <w:spacing w:after="200"/>
      </w:pPr>
    </w:p>
    <w:p>
      <w:pPr>
        <w:pStyle w:val="Heading1"/>
        <w:spacing w:after="160" w:before="320"/>
      </w:pPr>
      <w:r>
        <w:t xml:space="preserve">7. Conclusion &amp; Recommendations</w:t>
      </w:r>
    </w:p>
    <w:p>
      <w:pPr>
        <w:pStyle w:val="ListParagraph"/>
        <w:numPr>
          <w:ilvl w:val="0"/>
          <w:numId w:val="1"/>
        </w:numPr>
        <w:spacing w:after="80" w:line="276"/>
      </w:pPr>
      <w:r>
        <w:rPr>
          <w:sz w:val="22"/>
          <w:szCs w:val="22"/>
        </w:rPr>
        <w:t xml:space="preserve">Double down on Classic Cars inventory and marketing — it's the top revenue line every year and dominates the top-10 product list</w:t>
      </w:r>
    </w:p>
    <w:p>
      <w:pPr>
        <w:pStyle w:val="ListParagraph"/>
        <w:numPr>
          <w:ilvl w:val="0"/>
          <w:numId w:val="1"/>
        </w:numPr>
        <w:spacing w:after="80" w:line="276"/>
      </w:pPr>
      <w:r>
        <w:rPr>
          <w:sz w:val="22"/>
          <w:szCs w:val="22"/>
        </w:rPr>
        <w:t xml:space="preserve">Plan inventory, staffing, and cash flow around the reliable November seasonal spike</w:t>
      </w:r>
    </w:p>
    <w:p>
      <w:pPr>
        <w:pStyle w:val="ListParagraph"/>
        <w:numPr>
          <w:ilvl w:val="0"/>
          <w:numId w:val="1"/>
        </w:numPr>
        <w:spacing w:after="80" w:line="276"/>
      </w:pPr>
      <w:r>
        <w:rPr>
          <w:sz w:val="22"/>
          <w:szCs w:val="22"/>
        </w:rPr>
        <w:t xml:space="preserve">Protect the Euro Shopping Channel and Mini Gifts Distributors relationships — together they're ~16% of all revenue</w:t>
      </w:r>
    </w:p>
    <w:p>
      <w:pPr>
        <w:pStyle w:val="ListParagraph"/>
        <w:numPr>
          <w:ilvl w:val="0"/>
          <w:numId w:val="1"/>
        </w:numPr>
        <w:spacing w:after="80" w:line="276"/>
      </w:pPr>
      <w:r>
        <w:rPr>
          <w:sz w:val="22"/>
          <w:szCs w:val="22"/>
        </w:rPr>
        <w:t xml:space="preserve">Investigate the 19.3% average discount on Classic Cars — confirm it's intentional strategy, not margin leakage</w:t>
      </w:r>
    </w:p>
    <w:p>
      <w:pPr>
        <w:pStyle w:val="ListParagraph"/>
        <w:numPr>
          <w:ilvl w:val="0"/>
          <w:numId w:val="1"/>
        </w:numPr>
        <w:spacing w:after="80" w:line="276"/>
      </w:pPr>
      <w:r>
        <w:rPr>
          <w:sz w:val="22"/>
          <w:szCs w:val="22"/>
        </w:rPr>
        <w:t xml:space="preserve">Follow up on the ~4.4% of revenue currently sitting in Cancelled/On Hold/Disputed status</w:t>
      </w:r>
    </w:p>
    <w:p>
      <w:pPr>
        <w:spacing w:after="160" w:line="276"/>
      </w:pPr>
      <w:r>
        <w:rPr>
          <w:sz w:val="22"/>
          <w:szCs w:val="22"/>
        </w:rPr>
        <w:t xml:space="preserve"/>
      </w:r>
    </w:p>
    <w:p>
      <w:pPr>
        <w:spacing w:after="160" w:line="276"/>
      </w:pPr>
      <w:r>
        <w:rPr>
          <w:i/>
          <w:iCs/>
          <w:color w:val="595959"/>
          <w:sz w:val="20"/>
          <w:szCs w:val="20"/>
        </w:rPr>
        <w:t xml:space="preserve">Full, runnable SQL for every query in this report is in sales_analysis.sql.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2026-07-22T19:14:00.605Z</dcterms:created>
  <dcterms:modified xsi:type="dcterms:W3CDTF">2026-07-22T19:14:00.614Z</dcterms:modified>
</cp:coreProperties>
</file>

<file path=docProps/custom.xml><?xml version="1.0" encoding="utf-8"?>
<Properties xmlns="http://schemas.openxmlformats.org/officeDocument/2006/custom-properties" xmlns:vt="http://schemas.openxmlformats.org/officeDocument/2006/docPropsVTypes"/>
</file>