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80"/>
        <w:jc w:val="center"/>
      </w:pPr>
      <w:r>
        <w:rPr>
          <w:rFonts w:ascii="黑体" w:hAnsi="黑体" w:eastAsia="黑体"/>
          <w:b/>
          <w:sz w:val="52"/>
        </w:rPr>
        <w:t>量子RL驱动的天衍云平台</w:t>
      </w:r>
    </w:p>
    <w:p>
      <w:pPr>
        <w:spacing w:after="480"/>
        <w:jc w:val="center"/>
      </w:pPr>
      <w:r>
        <w:rPr>
          <w:rFonts w:ascii="黑体" w:hAnsi="黑体" w:eastAsia="黑体"/>
          <w:b/>
          <w:sz w:val="52"/>
        </w:rPr>
        <w:t>智能调度系统</w:t>
      </w:r>
    </w:p>
    <w:p>
      <w:pPr>
        <w:spacing w:after="240"/>
        <w:jc w:val="center"/>
      </w:pPr>
      <w:r>
        <w:rPr>
          <w:rFonts w:ascii="黑体" w:hAnsi="黑体" w:eastAsia="黑体"/>
          <w:b/>
          <w:sz w:val="36"/>
        </w:rPr>
        <w:t>技术白皮书</w:t>
      </w:r>
    </w:p>
    <w:p>
      <w:pPr>
        <w:spacing w:after="720"/>
        <w:jc w:val="center"/>
      </w:pPr>
      <w:r>
        <w:rPr>
          <w:rFonts w:ascii="宋体" w:hAnsi="宋体" w:eastAsia="宋体"/>
          <w:b w:val="0"/>
          <w:sz w:val="24"/>
        </w:rPr>
        <w:t>—— AI 赋能量子计算，量子加速 AI 训练的双向赋能实践</w:t>
      </w:r>
    </w:p>
    <w:p>
      <w:pPr>
        <w:spacing w:after="120"/>
        <w:jc w:val="center"/>
      </w:pPr>
      <w:r>
        <w:rPr>
          <w:rFonts w:ascii="宋体" w:hAnsi="宋体" w:eastAsia="宋体"/>
          <w:b w:val="0"/>
          <w:sz w:val="24"/>
        </w:rPr>
        <w:t>选题编号：XA-202609</w:t>
      </w:r>
    </w:p>
    <w:p>
      <w:pPr>
        <w:spacing w:after="120"/>
        <w:jc w:val="center"/>
      </w:pPr>
      <w:r>
        <w:rPr>
          <w:rFonts w:ascii="宋体" w:hAnsi="宋体" w:eastAsia="宋体"/>
          <w:b w:val="0"/>
          <w:sz w:val="24"/>
        </w:rPr>
        <w:t>发榜单位：中国电信集团有限公司</w:t>
      </w:r>
    </w:p>
    <w:p>
      <w:pPr>
        <w:spacing w:after="480"/>
        <w:jc w:val="center"/>
      </w:pPr>
      <w:r>
        <w:rPr>
          <w:rFonts w:ascii="宋体" w:hAnsi="宋体" w:eastAsia="宋体"/>
          <w:b w:val="0"/>
          <w:sz w:val="24"/>
        </w:rPr>
        <w:t>2026 年度"揭榜挂帅"擂台赛参赛作品</w:t>
      </w:r>
    </w:p>
    <w:p>
      <w:pPr>
        <w:spacing w:after="240"/>
        <w:jc w:val="center"/>
      </w:pPr>
      <w:r>
        <w:rPr>
          <w:rFonts w:ascii="宋体" w:hAnsi="宋体" w:eastAsia="宋体"/>
          <w:b w:val="0"/>
          <w:sz w:val="22"/>
        </w:rPr>
        <w:t>版本：v3.0    日期：2026年7月</w:t>
      </w:r>
    </w:p>
    <w:p>
      <w:r>
        <w:br w:type="page"/>
      </w:r>
    </w:p>
    <w:p>
      <w:pPr>
        <w:pStyle w:val="Heading1"/>
      </w:pPr>
      <w:r>
        <w:rPr>
          <w:rFonts w:ascii="黑体" w:hAnsi="黑体" w:eastAsia="黑体"/>
        </w:rPr>
        <w:t>摘要</w:t>
      </w:r>
    </w:p>
    <w:p>
      <w:pPr>
        <w:spacing w:after="120"/>
        <w:ind w:firstLine="420"/>
      </w:pPr>
      <w:r>
        <w:rPr>
          <w:rFonts w:ascii="宋体" w:hAnsi="宋体" w:eastAsia="宋体"/>
          <w:b w:val="0"/>
          <w:sz w:val="21"/>
        </w:rPr>
        <w:t>本文提出了一种量子强化学习驱动的天衍云平台智能调度系统，首次将近端策略优化（PPO）应用于量子-经典混合任务调度场景。系统采用14维状态空间建模调度环境，设计四层奖励函数（兼容性约束 → 执行收益 → 等待惩罚 → 利用率惩罚），支持量子退火（head_only模式）加速策略网络训练，实现了AI与量子计算的双向赋能。在天衍云287量子比特超导处理器上完成32个真机任务验证（成功率100%），搭建了基于FastAPI+Vue3+Echarts的实时调度监控面板，集成了Prometheus可观测性体系和CircuitBreaker熔断器机制。实验表明，14维PPO策略的综合奖励（~2990）比FCFS基线（~1478）提升102.3%，多机器协同调度（MAPPO）进一步带来86.3%的奖励增益。系统已通过Mock校准实现仿真与真机任务队列级偏差&lt;5%，具备直接部署于天衍云生产环境的能力。</w:t>
      </w:r>
    </w:p>
    <w:p>
      <w:pPr>
        <w:spacing w:after="120"/>
      </w:pPr>
      <w:r>
        <w:rPr>
          <w:rFonts w:ascii="黑体" w:hAnsi="黑体" w:eastAsia="黑体"/>
          <w:b/>
          <w:sz w:val="20"/>
        </w:rPr>
        <w:t>关键词：量子计算；任务调度；强化学习；PPO；量子退火；天衍云；多智能体；MAPPO</w:t>
      </w:r>
    </w:p>
    <w:p>
      <w:pPr>
        <w:pStyle w:val="Heading1"/>
      </w:pPr>
      <w:r>
        <w:rPr>
          <w:rFonts w:ascii="黑体" w:hAnsi="黑体" w:eastAsia="黑体"/>
        </w:rPr>
        <w:t>1  引言</w:t>
      </w:r>
    </w:p>
    <w:p>
      <w:pPr>
        <w:pStyle w:val="Heading2"/>
      </w:pPr>
      <w:r>
        <w:rPr>
          <w:rFonts w:ascii="黑体" w:hAnsi="黑体" w:eastAsia="黑体"/>
        </w:rPr>
        <w:t>1.1  量子计算与量子云计算</w:t>
      </w:r>
    </w:p>
    <w:p>
      <w:pPr>
        <w:spacing w:after="120"/>
        <w:ind w:firstLine="420"/>
      </w:pPr>
      <w:r>
        <w:rPr>
          <w:rFonts w:ascii="宋体" w:hAnsi="宋体" w:eastAsia="宋体"/>
          <w:b w:val="0"/>
          <w:sz w:val="21"/>
        </w:rPr>
        <w:t>量子计算正处于从实验室走向产业化的关键阶段。中国电信天衍云平台基于287量子比特超导量子处理器构建了对外服务的量子云计算环境，面向科研机构和企业用户提供量子电路执行服务。然而，量子计算机作为稀缺资源，其调度效率直接影响用户体验和平台运营成本。</w:t>
      </w:r>
    </w:p>
    <w:p>
      <w:pPr>
        <w:pStyle w:val="Heading2"/>
      </w:pPr>
      <w:r>
        <w:rPr>
          <w:rFonts w:ascii="黑体" w:hAnsi="黑体" w:eastAsia="黑体"/>
        </w:rPr>
        <w:t>1.2  量子云任务调度挑战</w:t>
      </w:r>
    </w:p>
    <w:p>
      <w:pPr>
        <w:spacing w:after="120"/>
        <w:ind w:firstLine="420"/>
      </w:pPr>
      <w:r>
        <w:rPr>
          <w:rFonts w:ascii="宋体" w:hAnsi="宋体" w:eastAsia="宋体"/>
          <w:b w:val="0"/>
          <w:sz w:val="21"/>
        </w:rPr>
        <w:t>量子云任务调度面临传统云计算调度不具备的独特挑战：（1）量子比特有退相干时间限制，错过最佳执行窗口会导致计算失败；（2）量子比特拓扑连通性约束，任务需要特定拓扑结构的量子处理器；（3）量子噪声随电路深度增加，复杂电路必须在低噪声窗口内执行；（4）量子与经典计算资源异构，需要智能分流决策。传统FCFS（先来先服务）调度策略无法感知这些量子特性，据测算浪费50%以上的量子机时。</w:t>
      </w:r>
    </w:p>
    <w:p>
      <w:pPr>
        <w:pStyle w:val="Heading2"/>
      </w:pPr>
      <w:r>
        <w:rPr>
          <w:rFonts w:ascii="黑体" w:hAnsi="黑体" w:eastAsia="黑体"/>
        </w:rPr>
        <w:t>1.3  本文贡献</w:t>
      </w:r>
    </w:p>
    <w:p>
      <w:pPr>
        <w:spacing w:after="120"/>
        <w:ind w:firstLine="420"/>
      </w:pPr>
      <w:r>
        <w:rPr>
          <w:rFonts w:ascii="宋体" w:hAnsi="宋体" w:eastAsia="宋体"/>
          <w:b w:val="0"/>
          <w:sz w:val="21"/>
        </w:rPr>
        <w:t>本文的主要贡献包括：</w:t>
      </w:r>
    </w:p>
    <w:p>
      <w:pPr>
        <w:pStyle w:val="ListBullet"/>
      </w:pPr>
      <w:r>
        <w:rPr>
          <w:rFonts w:ascii="宋体" w:hAnsi="宋体" w:eastAsia="宋体"/>
          <w:sz w:val="21"/>
        </w:rPr>
        <w:t>首次将PPO强化学习算法应用于量子云任务调度，设计14维状态空间和四层奖励函数，14维PPO模型综合奖励比FCFS提升102.3%；</w:t>
      </w:r>
    </w:p>
    <w:p>
      <w:pPr>
        <w:pStyle w:val="ListBullet"/>
      </w:pPr>
      <w:r>
        <w:rPr>
          <w:rFonts w:ascii="宋体" w:hAnsi="宋体" w:eastAsia="宋体"/>
          <w:sz w:val="21"/>
        </w:rPr>
        <w:t>提出量子退火（head_only模式）加速RL训练的双向赋能机制，利用QUBO映射将策略网络头部参数优化建模为组合优化问题，贡献+6.4%奖励提升；</w:t>
      </w:r>
    </w:p>
    <w:p>
      <w:pPr>
        <w:pStyle w:val="ListBullet"/>
      </w:pPr>
      <w:r>
        <w:rPr>
          <w:rFonts w:ascii="宋体" w:hAnsi="宋体" w:eastAsia="宋体"/>
          <w:sz w:val="21"/>
        </w:rPr>
        <w:t>设计MAPPO多智能体架构（CTDE），实现零成本复用单PPO模型至多机器协同调度，奖励提升86.3%；</w:t>
      </w:r>
    </w:p>
    <w:p>
      <w:pPr>
        <w:pStyle w:val="ListBullet"/>
      </w:pPr>
      <w:r>
        <w:rPr>
          <w:rFonts w:ascii="宋体" w:hAnsi="宋体" w:eastAsia="宋体"/>
          <w:sz w:val="21"/>
        </w:rPr>
        <w:t>在天衍云真机上完成32个任务闭环验证（成功率100%），并建立高精度仿真环境（任务队列级偏差&lt;5%）；</w:t>
      </w:r>
    </w:p>
    <w:p>
      <w:pPr>
        <w:pStyle w:val="ListBullet"/>
      </w:pPr>
      <w:r>
        <w:rPr>
          <w:rFonts w:ascii="宋体" w:hAnsi="宋体" w:eastAsia="宋体"/>
          <w:sz w:val="21"/>
        </w:rPr>
        <w:t>构建完整的工程可靠性体系，包括CircuitBreaker熔断器、8类统一异常处理和Prometheus可观测性。</w:t>
      </w:r>
    </w:p>
    <w:p>
      <w:pPr>
        <w:pStyle w:val="Heading1"/>
      </w:pPr>
      <w:r>
        <w:rPr>
          <w:rFonts w:ascii="黑体" w:hAnsi="黑体" w:eastAsia="黑体"/>
        </w:rPr>
        <w:t>2  相关工作</w:t>
      </w:r>
    </w:p>
    <w:p>
      <w:pPr>
        <w:pStyle w:val="Heading2"/>
      </w:pPr>
      <w:r>
        <w:rPr>
          <w:rFonts w:ascii="黑体" w:hAnsi="黑体" w:eastAsia="黑体"/>
        </w:rPr>
        <w:t>2.1  量子任务调度研究现状</w:t>
      </w:r>
    </w:p>
    <w:p>
      <w:pPr>
        <w:spacing w:after="120"/>
        <w:ind w:firstLine="420"/>
      </w:pPr>
      <w:r>
        <w:rPr>
          <w:rFonts w:ascii="宋体" w:hAnsi="宋体" w:eastAsia="宋体"/>
          <w:b w:val="0"/>
          <w:sz w:val="21"/>
        </w:rPr>
        <w:t>量子任务调度领域的研究主要集中在量子电路的编译优化和量子资源分配两个层面。电路层面，研究包括QASM解析、门分解和电路等效变换；资源层面，研究包括静态优先级调度、启发式调度和基于排队论的调度模型。然而，现有方法大多基于固定规则，缺乏对环境动态变化的适应能力。</w:t>
      </w:r>
    </w:p>
    <w:p>
      <w:pPr>
        <w:pStyle w:val="Heading2"/>
      </w:pPr>
      <w:r>
        <w:rPr>
          <w:rFonts w:ascii="黑体" w:hAnsi="黑体" w:eastAsia="黑体"/>
        </w:rPr>
        <w:t>2.2  强化学习在资源调度中的应用</w:t>
      </w:r>
    </w:p>
    <w:p>
      <w:pPr>
        <w:spacing w:after="120"/>
        <w:ind w:firstLine="420"/>
      </w:pPr>
      <w:r>
        <w:rPr>
          <w:rFonts w:ascii="宋体" w:hAnsi="宋体" w:eastAsia="宋体"/>
          <w:b w:val="0"/>
          <w:sz w:val="21"/>
        </w:rPr>
        <w:t>强化学习在数据中心资源调度、云计算任务分配、边缘计算负载均衡等领域已展现出显著优势。Mnih等人（2015）提出的DQN首次展示了深度强化学习在复杂决策问题上的潜力；Schulman等人（2017）的PPO算法通过剪裁目标函数实现了更稳定、更高效的策略更新。本文选择PPO作为主调度算法，正是基于其在连续控制和高维状态空间中的优异表现。Raffin等人（2021）开发的Stable-Baselines3框架为本系统的PPO实现提供了可靠基础。</w:t>
      </w:r>
    </w:p>
    <w:p>
      <w:pPr>
        <w:pStyle w:val="Heading2"/>
      </w:pPr>
      <w:r>
        <w:rPr>
          <w:rFonts w:ascii="黑体" w:hAnsi="黑体" w:eastAsia="黑体"/>
        </w:rPr>
        <w:t>2.3  量子退火优化方法</w:t>
      </w:r>
    </w:p>
    <w:p>
      <w:pPr>
        <w:spacing w:after="120"/>
        <w:ind w:firstLine="420"/>
      </w:pPr>
      <w:r>
        <w:rPr>
          <w:rFonts w:ascii="宋体" w:hAnsi="宋体" w:eastAsia="宋体"/>
          <w:b w:val="0"/>
          <w:sz w:val="21"/>
        </w:rPr>
        <w:t>量子退火是一种基于量子隧道效应的组合优化方法，特别适合求解QUBO（二次无约束二值优化）问题。Lucas（2014）系统总结了NP完全问题的Ising模型映射方法。D-Wave Ocean SDK和天衍云量子退火接口为本系统提供了真机接入能力。本文采用head_only模式——仅将策略网络最后一层（头部）参数映射为QUBO，利用量子退火搜索最优权重配置，在保证训练效率的前提下获得稳定收益。</w:t>
      </w:r>
    </w:p>
    <w:p>
      <w:pPr>
        <w:pStyle w:val="Heading2"/>
      </w:pPr>
      <w:r>
        <w:rPr>
          <w:rFonts w:ascii="黑体" w:hAnsi="黑体" w:eastAsia="黑体"/>
        </w:rPr>
        <w:t>2.4  行业对标：主流量子云平台调度机制对比</w:t>
      </w:r>
    </w:p>
    <w:p>
      <w:pPr>
        <w:spacing w:after="120"/>
      </w:pPr>
      <w:r>
        <w:rPr>
          <w:rFonts w:ascii="宋体" w:hAnsi="宋体" w:eastAsia="宋体"/>
          <w:b w:val="0"/>
          <w:sz w:val="21"/>
        </w:rPr>
        <w:t>为论证本系统智能调度方案的技术领先性，我们对全球主流量子云平台进行了系统调研。调研覆盖四家标杆：IBM Quantum（Fair-share Scheduler）、AWS Braket（Hybrid Jobs）、D-Wave Leap（实时退火求解）以及学术方案DRLQ（首个DRL量子调度研究，Nguyen et al., 2024）。</w:t>
      </w:r>
    </w:p>
    <w:p>
      <w:pPr>
        <w:spacing w:after="120"/>
      </w:pPr>
      <w:r>
        <w:rPr>
          <w:rFonts w:ascii="宋体" w:hAnsi="宋体" w:eastAsia="宋体"/>
          <w:b/>
          <w:sz w:val="21"/>
        </w:rPr>
        <w:t>五维加权对比矩阵（权重和=1.00）：</w:t>
      </w:r>
    </w:p>
    <w:p>
      <w:pPr>
        <w:spacing w:after="120"/>
      </w:pPr>
      <w:r>
        <w:rPr>
          <w:rFonts w:ascii="宋体" w:hAnsi="宋体" w:eastAsia="宋体"/>
          <w:b w:val="0"/>
          <w:sz w:val="21"/>
        </w:rPr>
        <w:t>场景契合度(0.30): IBM 2分 | AWS 3分 | D-Wave 2分 | DRLQ 4分 | 本系统 5分</w:t>
      </w:r>
    </w:p>
    <w:p>
      <w:pPr>
        <w:spacing w:after="120"/>
      </w:pPr>
      <w:r>
        <w:rPr>
          <w:rFonts w:ascii="宋体" w:hAnsi="宋体" w:eastAsia="宋体"/>
          <w:b w:val="0"/>
          <w:sz w:val="21"/>
        </w:rPr>
        <w:t>技术成熟度(0.20): IBM 5分 | AWS 5分 | D-Wave 5分 | DRLQ 2分 | 本系统 5分</w:t>
      </w:r>
    </w:p>
    <w:p>
      <w:pPr>
        <w:spacing w:after="120"/>
      </w:pPr>
      <w:r>
        <w:rPr>
          <w:rFonts w:ascii="宋体" w:hAnsi="宋体" w:eastAsia="宋体"/>
          <w:b w:val="0"/>
          <w:sz w:val="21"/>
        </w:rPr>
        <w:t>集成难度(0.15): IBM 4分 | AWS 3分 | D-Wave 2分 | DRLQ 3分 | 本系统 5分</w:t>
      </w:r>
    </w:p>
    <w:p>
      <w:pPr>
        <w:spacing w:after="120"/>
      </w:pPr>
      <w:r>
        <w:rPr>
          <w:rFonts w:ascii="宋体" w:hAnsi="宋体" w:eastAsia="宋体"/>
          <w:b w:val="0"/>
          <w:sz w:val="21"/>
        </w:rPr>
        <w:t>成本(0.15): IBM 2分 | AWS 2分 | D-Wave 2分 | DRLQ 5分 | 本系统 5分</w:t>
      </w:r>
    </w:p>
    <w:p>
      <w:pPr>
        <w:spacing w:after="120"/>
      </w:pPr>
      <w:r>
        <w:rPr>
          <w:rFonts w:ascii="宋体" w:hAnsi="宋体" w:eastAsia="宋体"/>
          <w:b w:val="0"/>
          <w:sz w:val="21"/>
        </w:rPr>
        <w:t>合规可控性(0.20): IBM 3分 | AWS 2分 | D-Wave 2分 | DRLQ 5分 | 本系统 5分</w:t>
      </w:r>
    </w:p>
    <w:p>
      <w:pPr>
        <w:spacing w:after="120"/>
      </w:pPr>
      <w:r>
        <w:rPr>
          <w:rFonts w:ascii="宋体" w:hAnsi="宋体" w:eastAsia="宋体"/>
          <w:b w:val="0"/>
          <w:sz w:val="21"/>
        </w:rPr>
        <w:t>加权总分：IBM 3.10 | AWS 3.10 | D-Wave 2.60 | DRLQ 3.85 | 本系统 4.50</w:t>
      </w:r>
    </w:p>
    <w:p>
      <w:pPr>
        <w:spacing w:after="120"/>
      </w:pPr>
      <w:r>
        <w:rPr>
          <w:rFonts w:ascii="宋体" w:hAnsi="宋体" w:eastAsia="宋体"/>
          <w:b w:val="0"/>
          <w:sz w:val="21"/>
        </w:rPr>
        <w:t>三层结论：</w:t>
      </w:r>
    </w:p>
    <w:p>
      <w:pPr>
        <w:spacing w:after="120"/>
      </w:pPr>
      <w:r>
        <w:rPr>
          <w:rFonts w:ascii="宋体" w:hAnsi="宋体" w:eastAsia="宋体"/>
          <w:b w:val="0"/>
          <w:sz w:val="21"/>
        </w:rPr>
        <w:t>优先借鉴 DRLQ（3.85分）：首个DRL量子云调度学术工作，其DQN选型被本系统实验证实不稳定（DQN得分-897），验证了PPO选型的合理性。</w:t>
      </w:r>
    </w:p>
    <w:p>
      <w:pPr>
        <w:spacing w:after="120"/>
      </w:pPr>
      <w:r>
        <w:rPr>
          <w:rFonts w:ascii="宋体" w:hAnsi="宋体" w:eastAsia="宋体"/>
          <w:b w:val="0"/>
          <w:sz w:val="21"/>
        </w:rPr>
        <w:t>部分借鉴 IBM（3.10分，Fair-share公平性论证）和 AWS（3.10分，Hybrid Jobs混合执行对标）。</w:t>
      </w:r>
    </w:p>
    <w:p>
      <w:pPr>
        <w:spacing w:after="120"/>
      </w:pPr>
      <w:r>
        <w:rPr>
          <w:rFonts w:ascii="宋体" w:hAnsi="宋体" w:eastAsia="宋体"/>
          <w:b w:val="0"/>
          <w:sz w:val="21"/>
        </w:rPr>
        <w:t>不借鉴 D-Wave（2.60分）：仅支持退火计算，门级调度需求为零覆盖。</w:t>
      </w:r>
    </w:p>
    <w:p>
      <w:pPr>
        <w:spacing w:after="120"/>
      </w:pPr>
      <w:r>
        <w:rPr>
          <w:rFonts w:ascii="宋体" w:hAnsi="宋体" w:eastAsia="宋体"/>
          <w:b w:val="0"/>
          <w:sz w:val="21"/>
        </w:rPr>
        <w:t>核心发现：当前工业量子云平台的调度均为静态规则型（FCFS/公平队列/静态优先级），无一实现基于任务特征的动态智能决策。本系统PPO+14维状态感知+量子退火加速（head_only）+真机闭环的四合一方案，在已调研的全部方案中均无完整覆盖，构成明确的差异化竞争优势。</w:t>
      </w:r>
    </w:p>
    <w:p>
      <w:pPr>
        <w:pStyle w:val="Heading1"/>
      </w:pPr>
      <w:r>
        <w:rPr>
          <w:rFonts w:ascii="黑体" w:hAnsi="黑体" w:eastAsia="黑体"/>
        </w:rPr>
        <w:t>3  系统架构</w:t>
      </w:r>
    </w:p>
    <w:p>
      <w:pPr>
        <w:pStyle w:val="Heading2"/>
      </w:pPr>
      <w:r>
        <w:rPr>
          <w:rFonts w:ascii="黑体" w:hAnsi="黑体" w:eastAsia="黑体"/>
        </w:rPr>
        <w:t>3.1  总体架构</w:t>
      </w:r>
    </w:p>
    <w:p>
      <w:pPr>
        <w:spacing w:after="120"/>
        <w:ind w:firstLine="420"/>
      </w:pPr>
      <w:r>
        <w:rPr>
          <w:rFonts w:ascii="宋体" w:hAnsi="宋体" w:eastAsia="宋体"/>
          <w:b w:val="0"/>
          <w:sz w:val="21"/>
        </w:rPr>
        <w:t>系统采用四层模块化架构：</w:t>
      </w:r>
    </w:p>
    <w:p>
      <w:pPr>
        <w:pStyle w:val="ListBullet"/>
      </w:pPr>
      <w:r>
        <w:rPr>
          <w:rFonts w:ascii="宋体" w:hAnsi="宋体" w:eastAsia="宋体"/>
          <w:sz w:val="21"/>
        </w:rPr>
        <w:t>任务解析层：解析QASM量子电路文件，提取量子比特数、门类型、电路深度等13维特征；</w:t>
      </w:r>
    </w:p>
    <w:p>
      <w:pPr>
        <w:pStyle w:val="ListBullet"/>
      </w:pPr>
      <w:r>
        <w:rPr>
          <w:rFonts w:ascii="宋体" w:hAnsi="宋体" w:eastAsia="宋体"/>
          <w:sz w:val="21"/>
        </w:rPr>
        <w:t>RL调度引擎层：基于Gymnasium构建调度环境，PPO智能体进行14维状态空间决策；</w:t>
      </w:r>
    </w:p>
    <w:p>
      <w:pPr>
        <w:pStyle w:val="ListBullet"/>
      </w:pPr>
      <w:r>
        <w:rPr>
          <w:rFonts w:ascii="宋体" w:hAnsi="宋体" w:eastAsia="宋体"/>
          <w:sz w:val="21"/>
        </w:rPr>
        <w:t>量子退火加速层：将策略网络head层权重编码为QUBO矩阵，通过量子退火求解全局最优；</w:t>
      </w:r>
    </w:p>
    <w:p>
      <w:pPr>
        <w:pStyle w:val="ListBullet"/>
      </w:pPr>
      <w:r>
        <w:rPr>
          <w:rFonts w:ascii="宋体" w:hAnsi="宋体" w:eastAsia="宋体"/>
          <w:sz w:val="21"/>
        </w:rPr>
        <w:t>天衍云API层：封装Mock/真机双模式客户端，支持3台超导量子计算机并发调度。</w:t>
      </w:r>
    </w:p>
    <w:p>
      <w:pPr>
        <w:spacing w:after="120"/>
        <w:jc w:val="center"/>
      </w:pPr>
      <w:r>
        <w:rPr>
          <w:rFonts w:ascii="黑体" w:hAnsi="黑体" w:eastAsia="黑体"/>
          <w:b w:val="0"/>
          <w:sz w:val="18"/>
        </w:rPr>
        <w:t>[图1：系统总体架构图 — 参考 系统架构图_高清.png]</w:t>
      </w:r>
    </w:p>
    <w:p>
      <w:pPr>
        <w:pStyle w:val="Heading2"/>
      </w:pPr>
      <w:r>
        <w:rPr>
          <w:rFonts w:ascii="黑体" w:hAnsi="黑体" w:eastAsia="黑体"/>
        </w:rPr>
        <w:t>3.2  技术栈</w:t>
      </w:r>
    </w:p>
    <w:tbl>
      <w:tblPr>
        <w:tblStyle w:val="TableGrid"/>
        <w:tblW w:type="auto" w:w="0"/>
        <w:jc w:val="center"/>
        <w:tblLook w:firstColumn="1" w:firstRow="1" w:lastColumn="0" w:lastRow="0" w:noHBand="0" w:noVBand="1" w:val="04A0"/>
      </w:tblPr>
      <w:tblGrid>
        <w:gridCol w:w="2882"/>
        <w:gridCol w:w="2882"/>
        <w:gridCol w:w="2882"/>
      </w:tblGrid>
      <w:tr>
        <w:tc>
          <w:tcPr>
            <w:tcW w:type="dxa" w:w="1417"/>
            <w:shd w:fill="1F4E79"/>
          </w:tcPr>
          <w:p>
            <w:pPr>
              <w:jc w:val="center"/>
            </w:pPr>
            <w:r>
              <w:rPr>
                <w:color w:val="FFFFFF"/>
              </w:rPr>
            </w:r>
            <w:r>
              <w:rPr>
                <w:rFonts w:ascii="黑体" w:hAnsi="黑体" w:eastAsia="黑体"/>
                <w:b/>
                <w:color w:val="FFFFFF"/>
                <w:sz w:val="18"/>
              </w:rPr>
              <w:t>层级</w:t>
            </w:r>
          </w:p>
        </w:tc>
        <w:tc>
          <w:tcPr>
            <w:tcW w:type="dxa" w:w="3118"/>
            <w:shd w:fill="1F4E79"/>
          </w:tcPr>
          <w:p>
            <w:pPr>
              <w:jc w:val="center"/>
            </w:pPr>
            <w:r>
              <w:rPr>
                <w:color w:val="FFFFFF"/>
              </w:rPr>
            </w:r>
            <w:r>
              <w:rPr>
                <w:rFonts w:ascii="黑体" w:hAnsi="黑体" w:eastAsia="黑体"/>
                <w:b/>
                <w:color w:val="FFFFFF"/>
                <w:sz w:val="18"/>
              </w:rPr>
              <w:t>技术选型</w:t>
            </w:r>
          </w:p>
        </w:tc>
        <w:tc>
          <w:tcPr>
            <w:tcW w:type="dxa" w:w="3118"/>
            <w:shd w:fill="1F4E79"/>
          </w:tcPr>
          <w:p>
            <w:pPr>
              <w:jc w:val="center"/>
            </w:pPr>
            <w:r>
              <w:rPr>
                <w:color w:val="FFFFFF"/>
              </w:rPr>
            </w:r>
            <w:r>
              <w:rPr>
                <w:rFonts w:ascii="黑体" w:hAnsi="黑体" w:eastAsia="黑体"/>
                <w:b/>
                <w:color w:val="FFFFFF"/>
                <w:sz w:val="18"/>
              </w:rPr>
              <w:t>说明</w:t>
            </w:r>
          </w:p>
        </w:tc>
      </w:tr>
      <w:tr>
        <w:tc>
          <w:tcPr>
            <w:tcW w:type="dxa" w:w="1417"/>
            <w:shd w:fill="F2F7FB"/>
          </w:tcPr>
          <w:p>
            <w:pPr>
              <w:jc w:val="center"/>
            </w:pPr>
            <w:r/>
            <w:r>
              <w:rPr>
                <w:rFonts w:ascii="宋体" w:hAnsi="宋体" w:eastAsia="宋体"/>
                <w:b w:val="0"/>
                <w:sz w:val="18"/>
              </w:rPr>
              <w:t>RL算法</w:t>
            </w:r>
          </w:p>
        </w:tc>
        <w:tc>
          <w:tcPr>
            <w:tcW w:type="dxa" w:w="3118"/>
            <w:shd w:fill="F2F7FB"/>
          </w:tcPr>
          <w:p>
            <w:pPr>
              <w:jc w:val="center"/>
            </w:pPr>
            <w:r/>
            <w:r>
              <w:rPr>
                <w:rFonts w:ascii="宋体" w:hAnsi="宋体" w:eastAsia="宋体"/>
                <w:b w:val="0"/>
                <w:sz w:val="18"/>
              </w:rPr>
              <w:t>Stable-Baselines3 (PPO/DQN/MAPPO)</w:t>
            </w:r>
          </w:p>
        </w:tc>
        <w:tc>
          <w:tcPr>
            <w:tcW w:type="dxa" w:w="3118"/>
            <w:shd w:fill="F2F7FB"/>
          </w:tcPr>
          <w:p>
            <w:pPr>
              <w:jc w:val="center"/>
            </w:pPr>
            <w:r/>
            <w:r>
              <w:rPr>
                <w:rFonts w:ascii="宋体" w:hAnsi="宋体" w:eastAsia="宋体"/>
                <w:b w:val="0"/>
                <w:sz w:val="18"/>
              </w:rPr>
              <w:t>v2.3+</w:t>
            </w:r>
          </w:p>
        </w:tc>
      </w:tr>
      <w:tr>
        <w:tc>
          <w:tcPr>
            <w:tcW w:type="dxa" w:w="1417"/>
          </w:tcPr>
          <w:p>
            <w:pPr>
              <w:jc w:val="center"/>
            </w:pPr>
            <w:r/>
            <w:r>
              <w:rPr>
                <w:rFonts w:ascii="宋体" w:hAnsi="宋体" w:eastAsia="宋体"/>
                <w:b w:val="0"/>
                <w:sz w:val="18"/>
              </w:rPr>
              <w:t>仿真环境</w:t>
            </w:r>
          </w:p>
        </w:tc>
        <w:tc>
          <w:tcPr>
            <w:tcW w:type="dxa" w:w="3118"/>
          </w:tcPr>
          <w:p>
            <w:pPr>
              <w:jc w:val="center"/>
            </w:pPr>
            <w:r/>
            <w:r>
              <w:rPr>
                <w:rFonts w:ascii="宋体" w:hAnsi="宋体" w:eastAsia="宋体"/>
                <w:b w:val="0"/>
                <w:sz w:val="18"/>
              </w:rPr>
              <w:t>Gymnasium 1.0+</w:t>
            </w:r>
          </w:p>
        </w:tc>
        <w:tc>
          <w:tcPr>
            <w:tcW w:type="dxa" w:w="3118"/>
          </w:tcPr>
          <w:p>
            <w:pPr>
              <w:jc w:val="center"/>
            </w:pPr>
            <w:r/>
            <w:r>
              <w:rPr>
                <w:rFonts w:ascii="宋体" w:hAnsi="宋体" w:eastAsia="宋体"/>
                <w:b w:val="0"/>
                <w:sz w:val="18"/>
              </w:rPr>
              <w:t>14维状态空间</w:t>
            </w:r>
          </w:p>
        </w:tc>
      </w:tr>
      <w:tr>
        <w:tc>
          <w:tcPr>
            <w:tcW w:type="dxa" w:w="1417"/>
            <w:shd w:fill="F2F7FB"/>
          </w:tcPr>
          <w:p>
            <w:pPr>
              <w:jc w:val="center"/>
            </w:pPr>
            <w:r/>
            <w:r>
              <w:rPr>
                <w:rFonts w:ascii="宋体" w:hAnsi="宋体" w:eastAsia="宋体"/>
                <w:b w:val="0"/>
                <w:sz w:val="18"/>
              </w:rPr>
              <w:t>量子后端</w:t>
            </w:r>
          </w:p>
        </w:tc>
        <w:tc>
          <w:tcPr>
            <w:tcW w:type="dxa" w:w="3118"/>
            <w:shd w:fill="F2F7FB"/>
          </w:tcPr>
          <w:p>
            <w:pPr>
              <w:jc w:val="center"/>
            </w:pPr>
            <w:r/>
            <w:r>
              <w:rPr>
                <w:rFonts w:ascii="宋体" w:hAnsi="宋体" w:eastAsia="宋体"/>
                <w:b w:val="0"/>
                <w:sz w:val="18"/>
              </w:rPr>
              <w:t>天衍云 cqlib SDK</w:t>
            </w:r>
          </w:p>
        </w:tc>
        <w:tc>
          <w:tcPr>
            <w:tcW w:type="dxa" w:w="3118"/>
            <w:shd w:fill="F2F7FB"/>
          </w:tcPr>
          <w:p>
            <w:pPr>
              <w:jc w:val="center"/>
            </w:pPr>
            <w:r/>
            <w:r>
              <w:rPr>
                <w:rFonts w:ascii="宋体" w:hAnsi="宋体" w:eastAsia="宋体"/>
                <w:b w:val="0"/>
                <w:sz w:val="18"/>
              </w:rPr>
              <w:t>287量子比特超导</w:t>
            </w:r>
          </w:p>
        </w:tc>
      </w:tr>
      <w:tr>
        <w:tc>
          <w:tcPr>
            <w:tcW w:type="dxa" w:w="1417"/>
          </w:tcPr>
          <w:p>
            <w:pPr>
              <w:jc w:val="center"/>
            </w:pPr>
            <w:r/>
            <w:r>
              <w:rPr>
                <w:rFonts w:ascii="宋体" w:hAnsi="宋体" w:eastAsia="宋体"/>
                <w:b w:val="0"/>
                <w:sz w:val="18"/>
              </w:rPr>
              <w:t>Web后端</w:t>
            </w:r>
          </w:p>
        </w:tc>
        <w:tc>
          <w:tcPr>
            <w:tcW w:type="dxa" w:w="3118"/>
          </w:tcPr>
          <w:p>
            <w:pPr>
              <w:jc w:val="center"/>
            </w:pPr>
            <w:r/>
            <w:r>
              <w:rPr>
                <w:rFonts w:ascii="宋体" w:hAnsi="宋体" w:eastAsia="宋体"/>
                <w:b w:val="0"/>
                <w:sz w:val="18"/>
              </w:rPr>
              <w:t>FastAPI + WebSocket</w:t>
            </w:r>
          </w:p>
        </w:tc>
        <w:tc>
          <w:tcPr>
            <w:tcW w:type="dxa" w:w="3118"/>
          </w:tcPr>
          <w:p>
            <w:pPr>
              <w:jc w:val="center"/>
            </w:pPr>
            <w:r/>
            <w:r>
              <w:rPr>
                <w:rFonts w:ascii="宋体" w:hAnsi="宋体" w:eastAsia="宋体"/>
                <w:b w:val="0"/>
                <w:sz w:val="18"/>
              </w:rPr>
              <w:t>实时推送</w:t>
            </w:r>
          </w:p>
        </w:tc>
      </w:tr>
      <w:tr>
        <w:tc>
          <w:tcPr>
            <w:tcW w:type="dxa" w:w="1417"/>
            <w:shd w:fill="F2F7FB"/>
          </w:tcPr>
          <w:p>
            <w:pPr>
              <w:jc w:val="center"/>
            </w:pPr>
            <w:r/>
            <w:r>
              <w:rPr>
                <w:rFonts w:ascii="宋体" w:hAnsi="宋体" w:eastAsia="宋体"/>
                <w:b w:val="0"/>
                <w:sz w:val="18"/>
              </w:rPr>
              <w:t>Web前端</w:t>
            </w:r>
          </w:p>
        </w:tc>
        <w:tc>
          <w:tcPr>
            <w:tcW w:type="dxa" w:w="3118"/>
            <w:shd w:fill="F2F7FB"/>
          </w:tcPr>
          <w:p>
            <w:pPr>
              <w:jc w:val="center"/>
            </w:pPr>
            <w:r/>
            <w:r>
              <w:rPr>
                <w:rFonts w:ascii="宋体" w:hAnsi="宋体" w:eastAsia="宋体"/>
                <w:b w:val="0"/>
                <w:sz w:val="18"/>
              </w:rPr>
              <w:t>Vue3 + Echarts</w:t>
            </w:r>
          </w:p>
        </w:tc>
        <w:tc>
          <w:tcPr>
            <w:tcW w:type="dxa" w:w="3118"/>
            <w:shd w:fill="F2F7FB"/>
          </w:tcPr>
          <w:p>
            <w:pPr>
              <w:jc w:val="center"/>
            </w:pPr>
            <w:r/>
            <w:r>
              <w:rPr>
                <w:rFonts w:ascii="宋体" w:hAnsi="宋体" w:eastAsia="宋体"/>
                <w:b w:val="0"/>
                <w:sz w:val="18"/>
              </w:rPr>
              <w:t>响应式面板</w:t>
            </w:r>
          </w:p>
        </w:tc>
      </w:tr>
      <w:tr>
        <w:tc>
          <w:tcPr>
            <w:tcW w:type="dxa" w:w="1417"/>
          </w:tcPr>
          <w:p>
            <w:pPr>
              <w:jc w:val="center"/>
            </w:pPr>
            <w:r/>
            <w:r>
              <w:rPr>
                <w:rFonts w:ascii="宋体" w:hAnsi="宋体" w:eastAsia="宋体"/>
                <w:b w:val="0"/>
                <w:sz w:val="18"/>
              </w:rPr>
              <w:t>CI/CD</w:t>
            </w:r>
          </w:p>
        </w:tc>
        <w:tc>
          <w:tcPr>
            <w:tcW w:type="dxa" w:w="3118"/>
          </w:tcPr>
          <w:p>
            <w:pPr>
              <w:jc w:val="center"/>
            </w:pPr>
            <w:r/>
            <w:r>
              <w:rPr>
                <w:rFonts w:ascii="宋体" w:hAnsi="宋体" w:eastAsia="宋体"/>
                <w:b w:val="0"/>
                <w:sz w:val="18"/>
              </w:rPr>
              <w:t>GitHub Actions + Codecov</w:t>
            </w:r>
          </w:p>
        </w:tc>
        <w:tc>
          <w:tcPr>
            <w:tcW w:type="dxa" w:w="3118"/>
          </w:tcPr>
          <w:p>
            <w:pPr>
              <w:jc w:val="center"/>
            </w:pPr>
            <w:r/>
            <w:r>
              <w:rPr>
                <w:rFonts w:ascii="宋体" w:hAnsi="宋体" w:eastAsia="宋体"/>
                <w:b w:val="0"/>
                <w:sz w:val="18"/>
              </w:rPr>
              <w:t>3 Python版本矩阵</w:t>
            </w:r>
          </w:p>
        </w:tc>
      </w:tr>
      <w:tr>
        <w:tc>
          <w:tcPr>
            <w:tcW w:type="dxa" w:w="1417"/>
            <w:shd w:fill="F2F7FB"/>
          </w:tcPr>
          <w:p>
            <w:pPr>
              <w:jc w:val="center"/>
            </w:pPr>
            <w:r/>
            <w:r>
              <w:rPr>
                <w:rFonts w:ascii="宋体" w:hAnsi="宋体" w:eastAsia="宋体"/>
                <w:b w:val="0"/>
                <w:sz w:val="18"/>
              </w:rPr>
              <w:t>代码质量</w:t>
            </w:r>
          </w:p>
        </w:tc>
        <w:tc>
          <w:tcPr>
            <w:tcW w:type="dxa" w:w="3118"/>
            <w:shd w:fill="F2F7FB"/>
          </w:tcPr>
          <w:p>
            <w:pPr>
              <w:jc w:val="center"/>
            </w:pPr>
            <w:r/>
            <w:r>
              <w:rPr>
                <w:rFonts w:ascii="宋体" w:hAnsi="宋体" w:eastAsia="宋体"/>
                <w:b w:val="0"/>
                <w:sz w:val="18"/>
              </w:rPr>
              <w:t>ruff + mypy + bandit + pre-commit</w:t>
            </w:r>
          </w:p>
        </w:tc>
        <w:tc>
          <w:tcPr>
            <w:tcW w:type="dxa" w:w="3118"/>
            <w:shd w:fill="F2F7FB"/>
          </w:tcPr>
          <w:p>
            <w:pPr>
              <w:jc w:val="center"/>
            </w:pPr>
            <w:r/>
            <w:r>
              <w:rPr>
                <w:rFonts w:ascii="宋体" w:hAnsi="宋体" w:eastAsia="宋体"/>
                <w:b w:val="0"/>
                <w:sz w:val="18"/>
              </w:rPr>
              <w:t>v1技术提升方案</w:t>
            </w:r>
          </w:p>
        </w:tc>
      </w:tr>
    </w:tbl>
    <w:p/>
    <w:p>
      <w:pPr>
        <w:pStyle w:val="Heading2"/>
      </w:pPr>
      <w:r>
        <w:rPr>
          <w:rFonts w:ascii="黑体" w:hAnsi="黑体" w:eastAsia="黑体"/>
        </w:rPr>
        <w:t>3.3  数据流</w:t>
      </w:r>
    </w:p>
    <w:p>
      <w:pPr>
        <w:spacing w:after="120"/>
        <w:ind w:firstLine="420"/>
      </w:pPr>
      <w:r>
        <w:rPr>
          <w:rFonts w:ascii="宋体" w:hAnsi="宋体" w:eastAsia="宋体"/>
          <w:b w:val="0"/>
          <w:sz w:val="21"/>
        </w:rPr>
        <w:t>调度数据流如下：QASM电路文件 → 任务解析器（13维特征提取）→ RL环境（14维状态）→ PPO智能体（动作选择：经典/量子/混合）→ 天衍云API（真机提交）→ 结果回写 → 奖励信号 → 策略网络更新。量子退火模块异步运行，定期将策略网络head层权重映射为QUBO矩阵并求解，结果写入策略网络实现热启动。</w:t>
      </w:r>
    </w:p>
    <w:p>
      <w:pPr>
        <w:pStyle w:val="Heading1"/>
      </w:pPr>
      <w:r>
        <w:rPr>
          <w:rFonts w:ascii="黑体" w:hAnsi="黑体" w:eastAsia="黑体"/>
        </w:rPr>
        <w:t>4  RL调度引擎</w:t>
      </w:r>
    </w:p>
    <w:p>
      <w:pPr>
        <w:pStyle w:val="Heading2"/>
      </w:pPr>
      <w:r>
        <w:rPr>
          <w:rFonts w:ascii="黑体" w:hAnsi="黑体" w:eastAsia="黑体"/>
        </w:rPr>
        <w:t>4.1  调度环境建模</w:t>
      </w:r>
    </w:p>
    <w:p>
      <w:pPr>
        <w:spacing w:after="120"/>
        <w:ind w:firstLine="420"/>
      </w:pPr>
      <w:r>
        <w:rPr>
          <w:rFonts w:ascii="宋体" w:hAnsi="宋体" w:eastAsia="宋体"/>
          <w:b w:val="0"/>
          <w:sz w:val="21"/>
        </w:rPr>
        <w:t>调度环境基于Gymnasium框架构建，定义为一个马尔可夫决策过程（MDP）。每个episode包含200个异质化量子-经典混合任务。环境在每个时间步接收PPO智能体的动作，返回新的观测、奖励和终止标志。任务到达遵循泊松分布（λ=0.5），类型包括纯量子任务、纯经典任务和量子-经典混合任务。</w:t>
      </w:r>
    </w:p>
    <w:p>
      <w:pPr>
        <w:pStyle w:val="Heading2"/>
      </w:pPr>
      <w:r>
        <w:rPr>
          <w:rFonts w:ascii="黑体" w:hAnsi="黑体" w:eastAsia="黑体"/>
        </w:rPr>
        <w:t>4.2  状态空间（14维）</w:t>
      </w:r>
    </w:p>
    <w:p>
      <w:pPr>
        <w:spacing w:after="120"/>
        <w:ind w:firstLine="420"/>
      </w:pPr>
      <w:r>
        <w:rPr>
          <w:rFonts w:ascii="宋体" w:hAnsi="宋体" w:eastAsia="宋体"/>
          <w:b w:val="0"/>
          <w:sz w:val="21"/>
        </w:rPr>
        <w:t>状态空间设计为14维向量，覆盖量子硬件状态、经典硬件状态、任务队列状态和任务特征四大类信息：</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850"/>
            <w:shd w:fill="1F4E79"/>
          </w:tcPr>
          <w:p>
            <w:pPr>
              <w:jc w:val="center"/>
            </w:pPr>
            <w:r>
              <w:rPr>
                <w:color w:val="FFFFFF"/>
              </w:rPr>
            </w:r>
            <w:r>
              <w:rPr>
                <w:rFonts w:ascii="黑体" w:hAnsi="黑体" w:eastAsia="黑体"/>
                <w:b/>
                <w:color w:val="FFFFFF"/>
                <w:sz w:val="18"/>
              </w:rPr>
              <w:t>维度</w:t>
            </w:r>
          </w:p>
        </w:tc>
        <w:tc>
          <w:tcPr>
            <w:tcW w:type="dxa" w:w="2551"/>
            <w:shd w:fill="1F4E79"/>
          </w:tcPr>
          <w:p>
            <w:pPr>
              <w:jc w:val="center"/>
            </w:pPr>
            <w:r>
              <w:rPr>
                <w:color w:val="FFFFFF"/>
              </w:rPr>
            </w:r>
            <w:r>
              <w:rPr>
                <w:rFonts w:ascii="黑体" w:hAnsi="黑体" w:eastAsia="黑体"/>
                <w:b/>
                <w:color w:val="FFFFFF"/>
                <w:sz w:val="18"/>
              </w:rPr>
              <w:t>特征名称</w:t>
            </w:r>
          </w:p>
        </w:tc>
        <w:tc>
          <w:tcPr>
            <w:tcW w:type="dxa" w:w="1984"/>
            <w:shd w:fill="1F4E79"/>
          </w:tcPr>
          <w:p>
            <w:pPr>
              <w:jc w:val="center"/>
            </w:pPr>
            <w:r>
              <w:rPr>
                <w:color w:val="FFFFFF"/>
              </w:rPr>
            </w:r>
            <w:r>
              <w:rPr>
                <w:rFonts w:ascii="黑体" w:hAnsi="黑体" w:eastAsia="黑体"/>
                <w:b/>
                <w:color w:val="FFFFFF"/>
                <w:sz w:val="18"/>
              </w:rPr>
              <w:t>取值范围</w:t>
            </w:r>
          </w:p>
        </w:tc>
        <w:tc>
          <w:tcPr>
            <w:tcW w:type="dxa" w:w="2268"/>
            <w:shd w:fill="1F4E79"/>
          </w:tcPr>
          <w:p>
            <w:pPr>
              <w:jc w:val="center"/>
            </w:pPr>
            <w:r>
              <w:rPr>
                <w:color w:val="FFFFFF"/>
              </w:rPr>
            </w:r>
            <w:r>
              <w:rPr>
                <w:rFonts w:ascii="黑体" w:hAnsi="黑体" w:eastAsia="黑体"/>
                <w:b/>
                <w:color w:val="FFFFFF"/>
                <w:sz w:val="18"/>
              </w:rPr>
              <w:t>说明</w:t>
            </w:r>
          </w:p>
        </w:tc>
      </w:tr>
      <w:tr>
        <w:tc>
          <w:tcPr>
            <w:tcW w:type="dxa" w:w="850"/>
            <w:shd w:fill="F2F7FB"/>
          </w:tcPr>
          <w:p>
            <w:pPr>
              <w:jc w:val="center"/>
            </w:pPr>
            <w:r/>
            <w:r>
              <w:rPr>
                <w:rFonts w:ascii="宋体" w:hAnsi="宋体" w:eastAsia="宋体"/>
                <w:b w:val="0"/>
                <w:sz w:val="18"/>
              </w:rPr>
              <w:t>1-3</w:t>
            </w:r>
          </w:p>
        </w:tc>
        <w:tc>
          <w:tcPr>
            <w:tcW w:type="dxa" w:w="2551"/>
            <w:shd w:fill="F2F7FB"/>
          </w:tcPr>
          <w:p>
            <w:pPr>
              <w:jc w:val="center"/>
            </w:pPr>
            <w:r/>
            <w:r>
              <w:rPr>
                <w:rFonts w:ascii="宋体" w:hAnsi="宋体" w:eastAsia="宋体"/>
                <w:b w:val="0"/>
                <w:sz w:val="18"/>
              </w:rPr>
              <w:t>量子队列/经典队列/混合队列长度</w:t>
            </w:r>
          </w:p>
        </w:tc>
        <w:tc>
          <w:tcPr>
            <w:tcW w:type="dxa" w:w="1984"/>
            <w:shd w:fill="F2F7FB"/>
          </w:tcPr>
          <w:p>
            <w:pPr>
              <w:jc w:val="center"/>
            </w:pPr>
            <w:r/>
            <w:r>
              <w:rPr>
                <w:rFonts w:ascii="宋体" w:hAnsi="宋体" w:eastAsia="宋体"/>
                <w:b w:val="0"/>
                <w:sz w:val="18"/>
              </w:rPr>
              <w:t>[0, MAX_QUEUE_SIZE]</w:t>
            </w:r>
          </w:p>
        </w:tc>
        <w:tc>
          <w:tcPr>
            <w:tcW w:type="dxa" w:w="2268"/>
            <w:shd w:fill="F2F7FB"/>
          </w:tcPr>
          <w:p>
            <w:pPr>
              <w:jc w:val="center"/>
            </w:pPr>
            <w:r/>
            <w:r>
              <w:rPr>
                <w:rFonts w:ascii="宋体" w:hAnsi="宋体" w:eastAsia="宋体"/>
                <w:b w:val="0"/>
                <w:sz w:val="18"/>
              </w:rPr>
              <w:t>反映当前负载</w:t>
            </w:r>
          </w:p>
        </w:tc>
      </w:tr>
      <w:tr>
        <w:tc>
          <w:tcPr>
            <w:tcW w:type="dxa" w:w="850"/>
          </w:tcPr>
          <w:p>
            <w:pPr>
              <w:jc w:val="center"/>
            </w:pPr>
            <w:r/>
            <w:r>
              <w:rPr>
                <w:rFonts w:ascii="宋体" w:hAnsi="宋体" w:eastAsia="宋体"/>
                <w:b w:val="0"/>
                <w:sz w:val="18"/>
              </w:rPr>
              <w:t>4-6</w:t>
            </w:r>
          </w:p>
        </w:tc>
        <w:tc>
          <w:tcPr>
            <w:tcW w:type="dxa" w:w="2551"/>
          </w:tcPr>
          <w:p>
            <w:pPr>
              <w:jc w:val="center"/>
            </w:pPr>
            <w:r/>
            <w:r>
              <w:rPr>
                <w:rFonts w:ascii="宋体" w:hAnsi="宋体" w:eastAsia="宋体"/>
                <w:b w:val="0"/>
                <w:sz w:val="18"/>
              </w:rPr>
              <w:t>量子保真度/噪声水平/拓扑连接度</w:t>
            </w:r>
          </w:p>
        </w:tc>
        <w:tc>
          <w:tcPr>
            <w:tcW w:type="dxa" w:w="1984"/>
          </w:tcPr>
          <w:p>
            <w:pPr>
              <w:jc w:val="center"/>
            </w:pPr>
            <w:r/>
            <w:r>
              <w:rPr>
                <w:rFonts w:ascii="宋体" w:hAnsi="宋体" w:eastAsia="宋体"/>
                <w:b w:val="0"/>
                <w:sz w:val="18"/>
              </w:rPr>
              <w:t>[0, 1]</w:t>
            </w:r>
          </w:p>
        </w:tc>
        <w:tc>
          <w:tcPr>
            <w:tcW w:type="dxa" w:w="2268"/>
          </w:tcPr>
          <w:p>
            <w:pPr>
              <w:jc w:val="center"/>
            </w:pPr>
            <w:r/>
            <w:r>
              <w:rPr>
                <w:rFonts w:ascii="宋体" w:hAnsi="宋体" w:eastAsia="宋体"/>
                <w:b w:val="0"/>
                <w:sz w:val="18"/>
              </w:rPr>
              <w:t>量子硬件状态（v6新增）</w:t>
            </w:r>
          </w:p>
        </w:tc>
      </w:tr>
      <w:tr>
        <w:tc>
          <w:tcPr>
            <w:tcW w:type="dxa" w:w="850"/>
            <w:shd w:fill="F2F7FB"/>
          </w:tcPr>
          <w:p>
            <w:pPr>
              <w:jc w:val="center"/>
            </w:pPr>
            <w:r/>
            <w:r>
              <w:rPr>
                <w:rFonts w:ascii="宋体" w:hAnsi="宋体" w:eastAsia="宋体"/>
                <w:b w:val="0"/>
                <w:sz w:val="18"/>
              </w:rPr>
              <w:t>7-9</w:t>
            </w:r>
          </w:p>
        </w:tc>
        <w:tc>
          <w:tcPr>
            <w:tcW w:type="dxa" w:w="2551"/>
            <w:shd w:fill="F2F7FB"/>
          </w:tcPr>
          <w:p>
            <w:pPr>
              <w:jc w:val="center"/>
            </w:pPr>
            <w:r/>
            <w:r>
              <w:rPr>
                <w:rFonts w:ascii="宋体" w:hAnsi="宋体" w:eastAsia="宋体"/>
                <w:b w:val="0"/>
                <w:sz w:val="18"/>
              </w:rPr>
              <w:t>CPU利用率/内存利用率/I/O等待</w:t>
            </w:r>
          </w:p>
        </w:tc>
        <w:tc>
          <w:tcPr>
            <w:tcW w:type="dxa" w:w="1984"/>
            <w:shd w:fill="F2F7FB"/>
          </w:tcPr>
          <w:p>
            <w:pPr>
              <w:jc w:val="center"/>
            </w:pPr>
            <w:r/>
            <w:r>
              <w:rPr>
                <w:rFonts w:ascii="宋体" w:hAnsi="宋体" w:eastAsia="宋体"/>
                <w:b w:val="0"/>
                <w:sz w:val="18"/>
              </w:rPr>
              <w:t>[0, 100]</w:t>
            </w:r>
          </w:p>
        </w:tc>
        <w:tc>
          <w:tcPr>
            <w:tcW w:type="dxa" w:w="2268"/>
            <w:shd w:fill="F2F7FB"/>
          </w:tcPr>
          <w:p>
            <w:pPr>
              <w:jc w:val="center"/>
            </w:pPr>
            <w:r/>
            <w:r>
              <w:rPr>
                <w:rFonts w:ascii="宋体" w:hAnsi="宋体" w:eastAsia="宋体"/>
                <w:b w:val="0"/>
                <w:sz w:val="18"/>
              </w:rPr>
              <w:t>经典硬件状态</w:t>
            </w:r>
          </w:p>
        </w:tc>
      </w:tr>
      <w:tr>
        <w:tc>
          <w:tcPr>
            <w:tcW w:type="dxa" w:w="850"/>
          </w:tcPr>
          <w:p>
            <w:pPr>
              <w:jc w:val="center"/>
            </w:pPr>
            <w:r/>
            <w:r>
              <w:rPr>
                <w:rFonts w:ascii="宋体" w:hAnsi="宋体" w:eastAsia="宋体"/>
                <w:b w:val="0"/>
                <w:sz w:val="18"/>
              </w:rPr>
              <w:t>10</w:t>
            </w:r>
          </w:p>
        </w:tc>
        <w:tc>
          <w:tcPr>
            <w:tcW w:type="dxa" w:w="2551"/>
          </w:tcPr>
          <w:p>
            <w:pPr>
              <w:jc w:val="center"/>
            </w:pPr>
            <w:r/>
            <w:r>
              <w:rPr>
                <w:rFonts w:ascii="宋体" w:hAnsi="宋体" w:eastAsia="宋体"/>
                <w:b w:val="0"/>
                <w:sz w:val="18"/>
              </w:rPr>
              <w:t>当前任务量子比特需求</w:t>
            </w:r>
          </w:p>
        </w:tc>
        <w:tc>
          <w:tcPr>
            <w:tcW w:type="dxa" w:w="1984"/>
          </w:tcPr>
          <w:p>
            <w:pPr>
              <w:jc w:val="center"/>
            </w:pPr>
            <w:r/>
            <w:r>
              <w:rPr>
                <w:rFonts w:ascii="宋体" w:hAnsi="宋体" w:eastAsia="宋体"/>
                <w:b w:val="0"/>
                <w:sz w:val="18"/>
              </w:rPr>
              <w:t>[1, 100]</w:t>
            </w:r>
          </w:p>
        </w:tc>
        <w:tc>
          <w:tcPr>
            <w:tcW w:type="dxa" w:w="2268"/>
          </w:tcPr>
          <w:p>
            <w:pPr>
              <w:jc w:val="center"/>
            </w:pPr>
            <w:r/>
            <w:r>
              <w:rPr>
                <w:rFonts w:ascii="宋体" w:hAnsi="宋体" w:eastAsia="宋体"/>
                <w:b w:val="0"/>
                <w:sz w:val="18"/>
              </w:rPr>
              <w:t>任务特征</w:t>
            </w:r>
          </w:p>
        </w:tc>
      </w:tr>
      <w:tr>
        <w:tc>
          <w:tcPr>
            <w:tcW w:type="dxa" w:w="850"/>
            <w:shd w:fill="F2F7FB"/>
          </w:tcPr>
          <w:p>
            <w:pPr>
              <w:jc w:val="center"/>
            </w:pPr>
            <w:r/>
            <w:r>
              <w:rPr>
                <w:rFonts w:ascii="宋体" w:hAnsi="宋体" w:eastAsia="宋体"/>
                <w:b w:val="0"/>
                <w:sz w:val="18"/>
              </w:rPr>
              <w:t>11</w:t>
            </w:r>
          </w:p>
        </w:tc>
        <w:tc>
          <w:tcPr>
            <w:tcW w:type="dxa" w:w="2551"/>
            <w:shd w:fill="F2F7FB"/>
          </w:tcPr>
          <w:p>
            <w:pPr>
              <w:jc w:val="center"/>
            </w:pPr>
            <w:r/>
            <w:r>
              <w:rPr>
                <w:rFonts w:ascii="宋体" w:hAnsi="宋体" w:eastAsia="宋体"/>
                <w:b w:val="0"/>
                <w:sz w:val="18"/>
              </w:rPr>
              <w:t>当前任务门数</w:t>
            </w:r>
          </w:p>
        </w:tc>
        <w:tc>
          <w:tcPr>
            <w:tcW w:type="dxa" w:w="1984"/>
            <w:shd w:fill="F2F7FB"/>
          </w:tcPr>
          <w:p>
            <w:pPr>
              <w:jc w:val="center"/>
            </w:pPr>
            <w:r/>
            <w:r>
              <w:rPr>
                <w:rFonts w:ascii="宋体" w:hAnsi="宋体" w:eastAsia="宋体"/>
                <w:b w:val="0"/>
                <w:sz w:val="18"/>
              </w:rPr>
              <w:t>[1, 1000]</w:t>
            </w:r>
          </w:p>
        </w:tc>
        <w:tc>
          <w:tcPr>
            <w:tcW w:type="dxa" w:w="2268"/>
            <w:shd w:fill="F2F7FB"/>
          </w:tcPr>
          <w:p>
            <w:pPr>
              <w:jc w:val="center"/>
            </w:pPr>
            <w:r/>
            <w:r>
              <w:rPr>
                <w:rFonts w:ascii="宋体" w:hAnsi="宋体" w:eastAsia="宋体"/>
                <w:b w:val="0"/>
                <w:sz w:val="18"/>
              </w:rPr>
              <w:t>任务复杂度</w:t>
            </w:r>
          </w:p>
        </w:tc>
      </w:tr>
      <w:tr>
        <w:tc>
          <w:tcPr>
            <w:tcW w:type="dxa" w:w="850"/>
          </w:tcPr>
          <w:p>
            <w:pPr>
              <w:jc w:val="center"/>
            </w:pPr>
            <w:r/>
            <w:r>
              <w:rPr>
                <w:rFonts w:ascii="宋体" w:hAnsi="宋体" w:eastAsia="宋体"/>
                <w:b w:val="0"/>
                <w:sz w:val="18"/>
              </w:rPr>
              <w:t>12</w:t>
            </w:r>
          </w:p>
        </w:tc>
        <w:tc>
          <w:tcPr>
            <w:tcW w:type="dxa" w:w="2551"/>
          </w:tcPr>
          <w:p>
            <w:pPr>
              <w:jc w:val="center"/>
            </w:pPr>
            <w:r/>
            <w:r>
              <w:rPr>
                <w:rFonts w:ascii="宋体" w:hAnsi="宋体" w:eastAsia="宋体"/>
                <w:b w:val="0"/>
                <w:sz w:val="18"/>
              </w:rPr>
              <w:t>当前任务预估量子耗时</w:t>
            </w:r>
          </w:p>
        </w:tc>
        <w:tc>
          <w:tcPr>
            <w:tcW w:type="dxa" w:w="1984"/>
          </w:tcPr>
          <w:p>
            <w:pPr>
              <w:jc w:val="center"/>
            </w:pPr>
            <w:r/>
            <w:r>
              <w:rPr>
                <w:rFonts w:ascii="宋体" w:hAnsi="宋体" w:eastAsia="宋体"/>
                <w:b w:val="0"/>
                <w:sz w:val="18"/>
              </w:rPr>
              <w:t>[0, 500]</w:t>
            </w:r>
          </w:p>
        </w:tc>
        <w:tc>
          <w:tcPr>
            <w:tcW w:type="dxa" w:w="2268"/>
          </w:tcPr>
          <w:p>
            <w:pPr>
              <w:jc w:val="center"/>
            </w:pPr>
            <w:r/>
            <w:r>
              <w:rPr>
                <w:rFonts w:ascii="宋体" w:hAnsi="宋体" w:eastAsia="宋体"/>
                <w:b w:val="0"/>
                <w:sz w:val="18"/>
              </w:rPr>
              <w:t>任务耗时</w:t>
            </w:r>
          </w:p>
        </w:tc>
      </w:tr>
      <w:tr>
        <w:tc>
          <w:tcPr>
            <w:tcW w:type="dxa" w:w="850"/>
            <w:shd w:fill="F2F7FB"/>
          </w:tcPr>
          <w:p>
            <w:pPr>
              <w:jc w:val="center"/>
            </w:pPr>
            <w:r/>
            <w:r>
              <w:rPr>
                <w:rFonts w:ascii="宋体" w:hAnsi="宋体" w:eastAsia="宋体"/>
                <w:b w:val="0"/>
                <w:sz w:val="18"/>
              </w:rPr>
              <w:t>13</w:t>
            </w:r>
          </w:p>
        </w:tc>
        <w:tc>
          <w:tcPr>
            <w:tcW w:type="dxa" w:w="2551"/>
            <w:shd w:fill="F2F7FB"/>
          </w:tcPr>
          <w:p>
            <w:pPr>
              <w:jc w:val="center"/>
            </w:pPr>
            <w:r/>
            <w:r>
              <w:rPr>
                <w:rFonts w:ascii="宋体" w:hAnsi="宋体" w:eastAsia="宋体"/>
                <w:b w:val="0"/>
                <w:sz w:val="18"/>
              </w:rPr>
              <w:t>当前任务等待时间</w:t>
            </w:r>
          </w:p>
        </w:tc>
        <w:tc>
          <w:tcPr>
            <w:tcW w:type="dxa" w:w="1984"/>
            <w:shd w:fill="F2F7FB"/>
          </w:tcPr>
          <w:p>
            <w:pPr>
              <w:jc w:val="center"/>
            </w:pPr>
            <w:r/>
            <w:r>
              <w:rPr>
                <w:rFonts w:ascii="宋体" w:hAnsi="宋体" w:eastAsia="宋体"/>
                <w:b w:val="0"/>
                <w:sz w:val="18"/>
              </w:rPr>
              <w:t>[0, MAX_STEPS]</w:t>
            </w:r>
          </w:p>
        </w:tc>
        <w:tc>
          <w:tcPr>
            <w:tcW w:type="dxa" w:w="2268"/>
            <w:shd w:fill="F2F7FB"/>
          </w:tcPr>
          <w:p>
            <w:pPr>
              <w:jc w:val="center"/>
            </w:pPr>
            <w:r/>
            <w:r>
              <w:rPr>
                <w:rFonts w:ascii="宋体" w:hAnsi="宋体" w:eastAsia="宋体"/>
                <w:b w:val="0"/>
                <w:sz w:val="18"/>
              </w:rPr>
              <w:t>饥饿风险</w:t>
            </w:r>
          </w:p>
        </w:tc>
      </w:tr>
      <w:tr>
        <w:tc>
          <w:tcPr>
            <w:tcW w:type="dxa" w:w="850"/>
          </w:tcPr>
          <w:p>
            <w:pPr>
              <w:jc w:val="center"/>
            </w:pPr>
            <w:r/>
            <w:r>
              <w:rPr>
                <w:rFonts w:ascii="宋体" w:hAnsi="宋体" w:eastAsia="宋体"/>
                <w:b w:val="0"/>
                <w:sz w:val="18"/>
              </w:rPr>
              <w:t>14</w:t>
            </w:r>
          </w:p>
        </w:tc>
        <w:tc>
          <w:tcPr>
            <w:tcW w:type="dxa" w:w="2551"/>
          </w:tcPr>
          <w:p>
            <w:pPr>
              <w:jc w:val="center"/>
            </w:pPr>
            <w:r/>
            <w:r>
              <w:rPr>
                <w:rFonts w:ascii="宋体" w:hAnsi="宋体" w:eastAsia="宋体"/>
                <w:b w:val="0"/>
                <w:sz w:val="18"/>
              </w:rPr>
              <w:t>当前任务优先级</w:t>
            </w:r>
          </w:p>
        </w:tc>
        <w:tc>
          <w:tcPr>
            <w:tcW w:type="dxa" w:w="1984"/>
          </w:tcPr>
          <w:p>
            <w:pPr>
              <w:jc w:val="center"/>
            </w:pPr>
            <w:r/>
            <w:r>
              <w:rPr>
                <w:rFonts w:ascii="宋体" w:hAnsi="宋体" w:eastAsia="宋体"/>
                <w:b w:val="0"/>
                <w:sz w:val="18"/>
              </w:rPr>
              <w:t>[0, 10]</w:t>
            </w:r>
          </w:p>
        </w:tc>
        <w:tc>
          <w:tcPr>
            <w:tcW w:type="dxa" w:w="2268"/>
          </w:tcPr>
          <w:p>
            <w:pPr>
              <w:jc w:val="center"/>
            </w:pPr>
            <w:r/>
            <w:r>
              <w:rPr>
                <w:rFonts w:ascii="宋体" w:hAnsi="宋体" w:eastAsia="宋体"/>
                <w:b w:val="0"/>
                <w:sz w:val="18"/>
              </w:rPr>
              <w:t>任务紧急度</w:t>
            </w:r>
          </w:p>
        </w:tc>
      </w:tr>
    </w:tbl>
    <w:p/>
    <w:p>
      <w:pPr>
        <w:spacing w:after="120"/>
        <w:ind w:firstLine="420"/>
      </w:pPr>
      <w:r>
        <w:rPr>
          <w:rFonts w:ascii="宋体" w:hAnsi="宋体" w:eastAsia="宋体"/>
          <w:b w:val="0"/>
          <w:sz w:val="18"/>
        </w:rPr>
        <w:t>注：维度4-6为v6版本新增的量子硬件特征（噪声水平、拓扑连接度），将状态空间从10维扩展至14维，使PPO奖励提升2.1%（D2消融实验）。维度7-9的经典硬件状态为v6新增。</w:t>
      </w:r>
    </w:p>
    <w:p>
      <w:pPr>
        <w:pStyle w:val="Heading2"/>
      </w:pPr>
      <w:r>
        <w:rPr>
          <w:rFonts w:ascii="黑体" w:hAnsi="黑体" w:eastAsia="黑体"/>
        </w:rPr>
        <w:t>4.3  动作空间与奖励函数</w:t>
      </w:r>
    </w:p>
    <w:p>
      <w:pPr>
        <w:spacing w:after="120"/>
        <w:ind w:firstLine="420"/>
      </w:pPr>
      <w:r>
        <w:rPr>
          <w:rFonts w:ascii="宋体" w:hAnsi="宋体" w:eastAsia="宋体"/>
          <w:b w:val="0"/>
          <w:sz w:val="21"/>
        </w:rPr>
        <w:t>动作空间包含3个离散动作：动作0（经典执行）、动作1（量子执行）、动作2（混合执行）。单次决策延迟&lt;10ms，满足实时调度需求。</w:t>
      </w:r>
    </w:p>
    <w:p>
      <w:pPr>
        <w:spacing w:after="120"/>
      </w:pPr>
      <w:r>
        <w:rPr>
          <w:rFonts w:ascii="宋体" w:hAnsi="宋体" w:eastAsia="宋体"/>
          <w:b w:val="0"/>
          <w:sz w:val="21"/>
        </w:rPr>
        <w:t>奖励函数设计为四层结构，层层递进：</w:t>
      </w:r>
    </w:p>
    <w:p>
      <w:pPr>
        <w:pStyle w:val="ListBullet"/>
      </w:pPr>
      <w:r>
        <w:rPr>
          <w:rFonts w:ascii="宋体" w:hAnsi="宋体" w:eastAsia="宋体"/>
          <w:sz w:val="21"/>
        </w:rPr>
        <w:t>第一层——兼容性约束：量子任务分配给经典资源或经典任务分配给量子资源时 -2.0 惩罚；</w:t>
      </w:r>
    </w:p>
    <w:p>
      <w:pPr>
        <w:pStyle w:val="ListBullet"/>
      </w:pPr>
      <w:r>
        <w:rPr>
          <w:rFonts w:ascii="宋体" w:hAnsi="宋体" w:eastAsia="宋体"/>
          <w:sz w:val="21"/>
        </w:rPr>
        <w:t>第二层——执行收益：量子任务完成 +10.0 × 加速比（2.0–5.0，基于环境和任务动态采样）；</w:t>
      </w:r>
    </w:p>
    <w:p>
      <w:pPr>
        <w:pStyle w:val="ListBullet"/>
      </w:pPr>
      <w:r>
        <w:rPr>
          <w:rFonts w:ascii="宋体" w:hAnsi="宋体" w:eastAsia="宋体"/>
          <w:sz w:val="21"/>
        </w:rPr>
        <w:t>第三层——等待惩罚：队列中任务每等待超过50步，累积 -0.02/步 惩罚；</w:t>
      </w:r>
    </w:p>
    <w:p>
      <w:pPr>
        <w:pStyle w:val="ListBullet"/>
      </w:pPr>
      <w:r>
        <w:rPr>
          <w:rFonts w:ascii="宋体" w:hAnsi="宋体" w:eastAsia="宋体"/>
          <w:sz w:val="21"/>
        </w:rPr>
        <w:t>第四层——利用率惩罚：量子资源闲置超过10步时 -1.0 惩罚。</w:t>
      </w:r>
    </w:p>
    <w:p>
      <w:pPr>
        <w:pStyle w:val="Heading2"/>
      </w:pPr>
      <w:r>
        <w:rPr>
          <w:rFonts w:ascii="黑体" w:hAnsi="黑体" w:eastAsia="黑体"/>
        </w:rPr>
        <w:t>4.4  PPO策略网络</w:t>
      </w:r>
    </w:p>
    <w:p>
      <w:pPr>
        <w:spacing w:after="120"/>
        <w:ind w:firstLine="420"/>
      </w:pPr>
      <w:r>
        <w:rPr>
          <w:rFonts w:ascii="宋体" w:hAnsi="宋体" w:eastAsia="宋体"/>
          <w:b w:val="0"/>
          <w:sz w:val="21"/>
        </w:rPr>
        <w:t>PPO策略网络采用三层全连接架构（256→128→64），使用tanh激活函数。训练超参数：学习率3e-4，clip范围0.2，GAE λ=0.95，折扣因子γ=0.99，每episode 1024步收集后进行4轮策略更新。支持LSTM变体（use_lstm=True）以捕获时间序列依赖。14维PPO模型为当前主力调度策略，多seed验证（N=50）下平均奖励约2990，相比FCFS基线（~1478）提升102.3%，统计显著性p&lt;0.001（Welch t检验），效应量Cohen's d=-1.70（大效应量）。</w:t>
      </w:r>
    </w:p>
    <w:p>
      <w:pPr>
        <w:pStyle w:val="Heading2"/>
      </w:pPr>
      <w:r>
        <w:rPr>
          <w:rFonts w:ascii="黑体" w:hAnsi="黑体" w:eastAsia="黑体"/>
        </w:rPr>
        <w:t>4.5  多智能体MAPPO扩展</w:t>
      </w:r>
    </w:p>
    <w:p>
      <w:pPr>
        <w:spacing w:after="120"/>
        <w:ind w:firstLine="420"/>
      </w:pPr>
      <w:r>
        <w:rPr>
          <w:rFonts w:ascii="宋体" w:hAnsi="宋体" w:eastAsia="宋体"/>
          <w:b w:val="0"/>
          <w:sz w:val="21"/>
        </w:rPr>
        <w:t>针对多台量子计算机协同调度场景，系统实现了MAPPO（Multi-Agent PPO）架构。核心设计理念是Centralized Training with Decentralized Execution（CTDE）：训练阶段使用全局critic评估联合价值，执行阶段各agent独立决策。关键实现创新在于obs/action空间与单智能体PPO完全一致，通过启发式机器选择策略实现零成本复用——无需重新设计状态或动作空间，单PPO模型可直接部署于多机器环境。3台机器协同调度时，单智能体奖励从约2305提升至4294，增益+86.3%，负载变异系数CV=0.246（良好均衡）。三台机器负载分布：tianyan_s 30.3%、tianyan_sw 25.2%、tianyan_tn 44.5%。</w:t>
      </w:r>
    </w:p>
    <w:p>
      <w:pPr>
        <w:pStyle w:val="Heading1"/>
      </w:pPr>
      <w:r>
        <w:rPr>
          <w:rFonts w:ascii="黑体" w:hAnsi="黑体" w:eastAsia="黑体"/>
        </w:rPr>
        <w:t>5  量子退火加速模块</w:t>
      </w:r>
    </w:p>
    <w:p>
      <w:pPr>
        <w:pStyle w:val="Heading2"/>
      </w:pPr>
      <w:r>
        <w:rPr>
          <w:rFonts w:ascii="黑体" w:hAnsi="黑体" w:eastAsia="黑体"/>
        </w:rPr>
        <w:t>5.1  QUBO映射原理（head_only模式）</w:t>
      </w:r>
    </w:p>
    <w:p>
      <w:pPr>
        <w:spacing w:after="120"/>
        <w:ind w:firstLine="420"/>
      </w:pPr>
      <w:r>
        <w:rPr>
          <w:rFonts w:ascii="宋体" w:hAnsi="宋体" w:eastAsia="宋体"/>
          <w:b w:val="0"/>
          <w:sz w:val="21"/>
        </w:rPr>
        <w:t>量子退火加速的核心思路是将PPO策略网络的参数优化问题转化为QUBO问题。本系统采用head_only模式：仅将策略网络最后一层（输出头，action_net + value_net，约260个参数）编码为QUBO矩阵，而非全量参数。具体映射过程：（1）提取策略网络头部关键参数张量；（2）对相邻参数进行差分编码，将连续参数二值化；（3）构建QUBO矩阵，目标函数为最小化策略损失；（4）提交量子退火器求解全局最优权重配置。head_only模式相比full模式大幅降低QUBO矩阵维度，在保持优化效果（+6.4%）的同时将退火求解时间控制在可接受范围。</w:t>
      </w:r>
    </w:p>
    <w:p>
      <w:pPr>
        <w:pStyle w:val="Heading2"/>
      </w:pPr>
      <w:r>
        <w:rPr>
          <w:rFonts w:ascii="黑体" w:hAnsi="黑体" w:eastAsia="黑体"/>
        </w:rPr>
        <w:t>5.2  求解策略</w:t>
      </w:r>
    </w:p>
    <w:p>
      <w:pPr>
        <w:spacing w:after="120"/>
      </w:pPr>
      <w:r>
        <w:rPr>
          <w:rFonts w:ascii="宋体" w:hAnsi="宋体" w:eastAsia="宋体"/>
          <w:b w:val="0"/>
          <w:sz w:val="21"/>
        </w:rPr>
        <w:t>系统支持三层求解策略，按优先级自动切换：</w:t>
      </w:r>
    </w:p>
    <w:p>
      <w:pPr>
        <w:pStyle w:val="ListBullet"/>
      </w:pPr>
      <w:r>
        <w:rPr>
          <w:rFonts w:ascii="宋体" w:hAnsi="宋体" w:eastAsia="宋体"/>
          <w:sz w:val="21"/>
        </w:rPr>
        <w:t>真机退火（tianyan_s）：提交天衍云量子退火接口，利用量子隧道效应求解；</w:t>
      </w:r>
    </w:p>
    <w:p>
      <w:pPr>
        <w:pStyle w:val="ListBullet"/>
      </w:pPr>
      <w:r>
        <w:rPr>
          <w:rFonts w:ascii="宋体" w:hAnsi="宋体" w:eastAsia="宋体"/>
          <w:sz w:val="21"/>
        </w:rPr>
        <w:t>模拟退火（Simulated Annealing）：真机不可用时的降级方案，基于Metropolis准则；</w:t>
      </w:r>
    </w:p>
    <w:p>
      <w:pPr>
        <w:pStyle w:val="ListBullet"/>
      </w:pPr>
      <w:r>
        <w:rPr>
          <w:rFonts w:ascii="宋体" w:hAnsi="宋体" w:eastAsia="宋体"/>
          <w:sz w:val="21"/>
        </w:rPr>
        <w:t>跳过退火（Skip）：退火频率过高时（频率自适应机制）直接跳过本轮优化。</w:t>
      </w:r>
    </w:p>
    <w:p>
      <w:pPr>
        <w:pStyle w:val="Heading2"/>
      </w:pPr>
      <w:r>
        <w:rPr>
          <w:rFonts w:ascii="黑体" w:hAnsi="黑体" w:eastAsia="黑体"/>
        </w:rPr>
        <w:t>5.3  异步退火闭环与消融结果</w:t>
      </w:r>
    </w:p>
    <w:p>
      <w:pPr>
        <w:spacing w:after="120"/>
        <w:ind w:firstLine="420"/>
      </w:pPr>
      <w:r>
        <w:rPr>
          <w:rFonts w:ascii="宋体" w:hAnsi="宋体" w:eastAsia="宋体"/>
          <w:b w:val="0"/>
          <w:sz w:val="21"/>
        </w:rPr>
        <w:t>由于真机退火延迟约75秒（H门93.4s，H2门57.3s），系统采用生产者-消费者异步模式。RL训练（生产者）持续运行，退火任务（消费者）异步提交，结果回写策略网络不阻塞主训练循环。频率自适应机制根据历史效果动态调整退火间隔。</w:t>
      </w:r>
    </w:p>
    <w:p>
      <w:pPr>
        <w:spacing w:after="120"/>
        <w:ind w:firstLine="420"/>
      </w:pPr>
      <w:r>
        <w:rPr>
          <w:rFonts w:ascii="宋体" w:hAnsi="宋体" w:eastAsia="宋体"/>
          <w:b w:val="0"/>
          <w:sz w:val="21"/>
        </w:rPr>
        <w:t>5 Seed消融实验结果（50k步）：无退火PPO平均奖励1558.86，有退火（head_only）PPO平均奖励1659.01，退火贡献+6.4%。训练时间方面，无退火单seed平均54.97s，有退火95.89s，时间开销+74.5%。退火在35k步时达到最大提升+8.4%。性价比评估：若训练时间不是瓶颈，退火可带来稳定但modest的收益；若需快速迭代，纯PPO更优。</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417"/>
            <w:shd w:fill="1F4E79"/>
          </w:tcPr>
          <w:p>
            <w:pPr>
              <w:jc w:val="center"/>
            </w:pPr>
            <w:r>
              <w:rPr>
                <w:color w:val="FFFFFF"/>
              </w:rPr>
            </w:r>
            <w:r>
              <w:rPr>
                <w:rFonts w:ascii="黑体" w:hAnsi="黑体" w:eastAsia="黑体"/>
                <w:b/>
                <w:color w:val="FFFFFF"/>
                <w:sz w:val="18"/>
              </w:rPr>
              <w:t>检查点</w:t>
            </w:r>
          </w:p>
        </w:tc>
        <w:tc>
          <w:tcPr>
            <w:tcW w:type="dxa" w:w="1984"/>
            <w:shd w:fill="1F4E79"/>
          </w:tcPr>
          <w:p>
            <w:pPr>
              <w:jc w:val="center"/>
            </w:pPr>
            <w:r>
              <w:rPr>
                <w:color w:val="FFFFFF"/>
              </w:rPr>
            </w:r>
            <w:r>
              <w:rPr>
                <w:rFonts w:ascii="黑体" w:hAnsi="黑体" w:eastAsia="黑体"/>
                <w:b/>
                <w:color w:val="FFFFFF"/>
                <w:sz w:val="18"/>
              </w:rPr>
              <w:t>无退火 (PPO)</w:t>
            </w:r>
          </w:p>
        </w:tc>
        <w:tc>
          <w:tcPr>
            <w:tcW w:type="dxa" w:w="1984"/>
            <w:shd w:fill="1F4E79"/>
          </w:tcPr>
          <w:p>
            <w:pPr>
              <w:jc w:val="center"/>
            </w:pPr>
            <w:r>
              <w:rPr>
                <w:color w:val="FFFFFF"/>
              </w:rPr>
            </w:r>
            <w:r>
              <w:rPr>
                <w:rFonts w:ascii="黑体" w:hAnsi="黑体" w:eastAsia="黑体"/>
                <w:b/>
                <w:color w:val="FFFFFF"/>
                <w:sz w:val="18"/>
              </w:rPr>
              <w:t>有退火 (PPO+QA)</w:t>
            </w:r>
          </w:p>
        </w:tc>
        <w:tc>
          <w:tcPr>
            <w:tcW w:type="dxa" w:w="1134"/>
            <w:shd w:fill="1F4E79"/>
          </w:tcPr>
          <w:p>
            <w:pPr>
              <w:jc w:val="center"/>
            </w:pPr>
            <w:r>
              <w:rPr>
                <w:color w:val="FFFFFF"/>
              </w:rPr>
            </w:r>
            <w:r>
              <w:rPr>
                <w:rFonts w:ascii="黑体" w:hAnsi="黑体" w:eastAsia="黑体"/>
                <w:b/>
                <w:color w:val="FFFFFF"/>
                <w:sz w:val="18"/>
              </w:rPr>
              <w:t>差异</w:t>
            </w:r>
          </w:p>
        </w:tc>
        <w:tc>
          <w:tcPr>
            <w:tcW w:type="dxa" w:w="1134"/>
            <w:shd w:fill="1F4E79"/>
          </w:tcPr>
          <w:p>
            <w:pPr>
              <w:jc w:val="center"/>
            </w:pPr>
            <w:r>
              <w:rPr>
                <w:color w:val="FFFFFF"/>
              </w:rPr>
            </w:r>
            <w:r>
              <w:rPr>
                <w:rFonts w:ascii="黑体" w:hAnsi="黑体" w:eastAsia="黑体"/>
                <w:b/>
                <w:color w:val="FFFFFF"/>
                <w:sz w:val="18"/>
              </w:rPr>
              <w:t>百分比</w:t>
            </w:r>
          </w:p>
        </w:tc>
      </w:tr>
      <w:tr>
        <w:tc>
          <w:tcPr>
            <w:tcW w:type="dxa" w:w="1417"/>
            <w:shd w:fill="F2F7FB"/>
          </w:tcPr>
          <w:p>
            <w:pPr>
              <w:jc w:val="center"/>
            </w:pPr>
            <w:r/>
            <w:r>
              <w:rPr>
                <w:rFonts w:ascii="宋体" w:hAnsi="宋体" w:eastAsia="宋体"/>
                <w:b w:val="0"/>
                <w:sz w:val="18"/>
              </w:rPr>
              <w:t>10k</w:t>
            </w:r>
          </w:p>
        </w:tc>
        <w:tc>
          <w:tcPr>
            <w:tcW w:type="dxa" w:w="1984"/>
            <w:shd w:fill="F2F7FB"/>
          </w:tcPr>
          <w:p>
            <w:pPr>
              <w:jc w:val="center"/>
            </w:pPr>
            <w:r/>
            <w:r>
              <w:rPr>
                <w:rFonts w:ascii="宋体" w:hAnsi="宋体" w:eastAsia="宋体"/>
                <w:b w:val="0"/>
                <w:sz w:val="18"/>
              </w:rPr>
              <w:t>687.78 ± 535.81</w:t>
            </w:r>
          </w:p>
        </w:tc>
        <w:tc>
          <w:tcPr>
            <w:tcW w:type="dxa" w:w="1984"/>
            <w:shd w:fill="F2F7FB"/>
          </w:tcPr>
          <w:p>
            <w:pPr>
              <w:jc w:val="center"/>
            </w:pPr>
            <w:r/>
            <w:r>
              <w:rPr>
                <w:rFonts w:ascii="宋体" w:hAnsi="宋体" w:eastAsia="宋体"/>
                <w:b w:val="0"/>
                <w:sz w:val="18"/>
              </w:rPr>
              <w:t>816.08 ± 865.15</w:t>
            </w:r>
          </w:p>
        </w:tc>
        <w:tc>
          <w:tcPr>
            <w:tcW w:type="dxa" w:w="1134"/>
            <w:shd w:fill="F2F7FB"/>
          </w:tcPr>
          <w:p>
            <w:pPr>
              <w:jc w:val="center"/>
            </w:pPr>
            <w:r/>
            <w:r>
              <w:rPr>
                <w:rFonts w:ascii="宋体" w:hAnsi="宋体" w:eastAsia="宋体"/>
                <w:b w:val="0"/>
                <w:sz w:val="18"/>
              </w:rPr>
              <w:t>+128.30</w:t>
            </w:r>
          </w:p>
        </w:tc>
        <w:tc>
          <w:tcPr>
            <w:tcW w:type="dxa" w:w="1134"/>
            <w:shd w:fill="F2F7FB"/>
          </w:tcPr>
          <w:p>
            <w:pPr>
              <w:jc w:val="center"/>
            </w:pPr>
            <w:r/>
            <w:r>
              <w:rPr>
                <w:rFonts w:ascii="宋体" w:hAnsi="宋体" w:eastAsia="宋体"/>
                <w:b w:val="0"/>
                <w:sz w:val="18"/>
              </w:rPr>
              <w:t>+18.7%</w:t>
            </w:r>
          </w:p>
        </w:tc>
      </w:tr>
      <w:tr>
        <w:tc>
          <w:tcPr>
            <w:tcW w:type="dxa" w:w="1417"/>
          </w:tcPr>
          <w:p>
            <w:pPr>
              <w:jc w:val="center"/>
            </w:pPr>
            <w:r/>
            <w:r>
              <w:rPr>
                <w:rFonts w:ascii="宋体" w:hAnsi="宋体" w:eastAsia="宋体"/>
                <w:b w:val="0"/>
                <w:sz w:val="18"/>
              </w:rPr>
              <w:t>20k</w:t>
            </w:r>
          </w:p>
        </w:tc>
        <w:tc>
          <w:tcPr>
            <w:tcW w:type="dxa" w:w="1984"/>
          </w:tcPr>
          <w:p>
            <w:pPr>
              <w:jc w:val="center"/>
            </w:pPr>
            <w:r/>
            <w:r>
              <w:rPr>
                <w:rFonts w:ascii="宋体" w:hAnsi="宋体" w:eastAsia="宋体"/>
                <w:b w:val="0"/>
                <w:sz w:val="18"/>
              </w:rPr>
              <w:t>1699.14 ± 165.14</w:t>
            </w:r>
          </w:p>
        </w:tc>
        <w:tc>
          <w:tcPr>
            <w:tcW w:type="dxa" w:w="1984"/>
          </w:tcPr>
          <w:p>
            <w:pPr>
              <w:jc w:val="center"/>
            </w:pPr>
            <w:r/>
            <w:r>
              <w:rPr>
                <w:rFonts w:ascii="宋体" w:hAnsi="宋体" w:eastAsia="宋体"/>
                <w:b w:val="0"/>
                <w:sz w:val="18"/>
              </w:rPr>
              <w:t>1468.01 ± 418.64</w:t>
            </w:r>
          </w:p>
        </w:tc>
        <w:tc>
          <w:tcPr>
            <w:tcW w:type="dxa" w:w="1134"/>
          </w:tcPr>
          <w:p>
            <w:pPr>
              <w:jc w:val="center"/>
            </w:pPr>
            <w:r/>
            <w:r>
              <w:rPr>
                <w:rFonts w:ascii="宋体" w:hAnsi="宋体" w:eastAsia="宋体"/>
                <w:b w:val="0"/>
                <w:sz w:val="18"/>
              </w:rPr>
              <w:t>-231.13</w:t>
            </w:r>
          </w:p>
        </w:tc>
        <w:tc>
          <w:tcPr>
            <w:tcW w:type="dxa" w:w="1134"/>
          </w:tcPr>
          <w:p>
            <w:pPr>
              <w:jc w:val="center"/>
            </w:pPr>
            <w:r/>
            <w:r>
              <w:rPr>
                <w:rFonts w:ascii="宋体" w:hAnsi="宋体" w:eastAsia="宋体"/>
                <w:b w:val="0"/>
                <w:sz w:val="18"/>
              </w:rPr>
              <w:t>-13.6%</w:t>
            </w:r>
          </w:p>
        </w:tc>
      </w:tr>
      <w:tr>
        <w:tc>
          <w:tcPr>
            <w:tcW w:type="dxa" w:w="1417"/>
            <w:shd w:fill="F2F7FB"/>
          </w:tcPr>
          <w:p>
            <w:pPr>
              <w:jc w:val="center"/>
            </w:pPr>
            <w:r/>
            <w:r>
              <w:rPr>
                <w:rFonts w:ascii="宋体" w:hAnsi="宋体" w:eastAsia="宋体"/>
                <w:b w:val="0"/>
                <w:sz w:val="18"/>
              </w:rPr>
              <w:t>30k</w:t>
            </w:r>
          </w:p>
        </w:tc>
        <w:tc>
          <w:tcPr>
            <w:tcW w:type="dxa" w:w="1984"/>
            <w:shd w:fill="F2F7FB"/>
          </w:tcPr>
          <w:p>
            <w:pPr>
              <w:jc w:val="center"/>
            </w:pPr>
            <w:r/>
            <w:r>
              <w:rPr>
                <w:rFonts w:ascii="宋体" w:hAnsi="宋体" w:eastAsia="宋体"/>
                <w:b w:val="0"/>
                <w:sz w:val="18"/>
              </w:rPr>
              <w:t>1649.91 ± 314.61</w:t>
            </w:r>
          </w:p>
        </w:tc>
        <w:tc>
          <w:tcPr>
            <w:tcW w:type="dxa" w:w="1984"/>
            <w:shd w:fill="F2F7FB"/>
          </w:tcPr>
          <w:p>
            <w:pPr>
              <w:jc w:val="center"/>
            </w:pPr>
            <w:r/>
            <w:r>
              <w:rPr>
                <w:rFonts w:ascii="宋体" w:hAnsi="宋体" w:eastAsia="宋体"/>
                <w:b w:val="0"/>
                <w:sz w:val="18"/>
              </w:rPr>
              <w:t>1593.61 ± 310.42</w:t>
            </w:r>
          </w:p>
        </w:tc>
        <w:tc>
          <w:tcPr>
            <w:tcW w:type="dxa" w:w="1134"/>
            <w:shd w:fill="F2F7FB"/>
          </w:tcPr>
          <w:p>
            <w:pPr>
              <w:jc w:val="center"/>
            </w:pPr>
            <w:r/>
            <w:r>
              <w:rPr>
                <w:rFonts w:ascii="宋体" w:hAnsi="宋体" w:eastAsia="宋体"/>
                <w:b w:val="0"/>
                <w:sz w:val="18"/>
              </w:rPr>
              <w:t>-56.30</w:t>
            </w:r>
          </w:p>
        </w:tc>
        <w:tc>
          <w:tcPr>
            <w:tcW w:type="dxa" w:w="1134"/>
            <w:shd w:fill="F2F7FB"/>
          </w:tcPr>
          <w:p>
            <w:pPr>
              <w:jc w:val="center"/>
            </w:pPr>
            <w:r/>
            <w:r>
              <w:rPr>
                <w:rFonts w:ascii="宋体" w:hAnsi="宋体" w:eastAsia="宋体"/>
                <w:b w:val="0"/>
                <w:sz w:val="18"/>
              </w:rPr>
              <w:t>-3.4%</w:t>
            </w:r>
          </w:p>
        </w:tc>
      </w:tr>
      <w:tr>
        <w:tc>
          <w:tcPr>
            <w:tcW w:type="dxa" w:w="1417"/>
          </w:tcPr>
          <w:p>
            <w:pPr>
              <w:jc w:val="center"/>
            </w:pPr>
            <w:r/>
            <w:r>
              <w:rPr>
                <w:rFonts w:ascii="宋体" w:hAnsi="宋体" w:eastAsia="宋体"/>
                <w:b w:val="0"/>
                <w:sz w:val="18"/>
              </w:rPr>
              <w:t>35k</w:t>
            </w:r>
          </w:p>
        </w:tc>
        <w:tc>
          <w:tcPr>
            <w:tcW w:type="dxa" w:w="1984"/>
          </w:tcPr>
          <w:p>
            <w:pPr>
              <w:jc w:val="center"/>
            </w:pPr>
            <w:r/>
            <w:r>
              <w:rPr>
                <w:rFonts w:ascii="宋体" w:hAnsi="宋体" w:eastAsia="宋体"/>
                <w:b w:val="0"/>
                <w:sz w:val="18"/>
              </w:rPr>
              <w:t>1558.41 ± 321.64</w:t>
            </w:r>
          </w:p>
        </w:tc>
        <w:tc>
          <w:tcPr>
            <w:tcW w:type="dxa" w:w="1984"/>
          </w:tcPr>
          <w:p>
            <w:pPr>
              <w:jc w:val="center"/>
            </w:pPr>
            <w:r/>
            <w:r>
              <w:rPr>
                <w:rFonts w:ascii="宋体" w:hAnsi="宋体" w:eastAsia="宋体"/>
                <w:b w:val="0"/>
                <w:sz w:val="18"/>
              </w:rPr>
              <w:t>1688.82 ± 290.26</w:t>
            </w:r>
          </w:p>
        </w:tc>
        <w:tc>
          <w:tcPr>
            <w:tcW w:type="dxa" w:w="1134"/>
          </w:tcPr>
          <w:p>
            <w:pPr>
              <w:jc w:val="center"/>
            </w:pPr>
            <w:r/>
            <w:r>
              <w:rPr>
                <w:rFonts w:ascii="宋体" w:hAnsi="宋体" w:eastAsia="宋体"/>
                <w:b w:val="0"/>
                <w:sz w:val="18"/>
              </w:rPr>
              <w:t>+130.41</w:t>
            </w:r>
          </w:p>
        </w:tc>
        <w:tc>
          <w:tcPr>
            <w:tcW w:type="dxa" w:w="1134"/>
          </w:tcPr>
          <w:p>
            <w:pPr>
              <w:jc w:val="center"/>
            </w:pPr>
            <w:r/>
            <w:r>
              <w:rPr>
                <w:rFonts w:ascii="宋体" w:hAnsi="宋体" w:eastAsia="宋体"/>
                <w:b w:val="0"/>
                <w:sz w:val="18"/>
              </w:rPr>
              <w:t>+8.4%</w:t>
            </w:r>
          </w:p>
        </w:tc>
      </w:tr>
      <w:tr>
        <w:tc>
          <w:tcPr>
            <w:tcW w:type="dxa" w:w="1417"/>
            <w:shd w:fill="F2F7FB"/>
          </w:tcPr>
          <w:p>
            <w:pPr>
              <w:jc w:val="center"/>
            </w:pPr>
            <w:r/>
            <w:r>
              <w:rPr>
                <w:rFonts w:ascii="宋体" w:hAnsi="宋体" w:eastAsia="宋体"/>
                <w:b w:val="0"/>
                <w:sz w:val="18"/>
              </w:rPr>
              <w:t>40k</w:t>
            </w:r>
          </w:p>
        </w:tc>
        <w:tc>
          <w:tcPr>
            <w:tcW w:type="dxa" w:w="1984"/>
            <w:shd w:fill="F2F7FB"/>
          </w:tcPr>
          <w:p>
            <w:pPr>
              <w:jc w:val="center"/>
            </w:pPr>
            <w:r/>
            <w:r>
              <w:rPr>
                <w:rFonts w:ascii="宋体" w:hAnsi="宋体" w:eastAsia="宋体"/>
                <w:b w:val="0"/>
                <w:sz w:val="18"/>
              </w:rPr>
              <w:t>1541.22 ± 204.18</w:t>
            </w:r>
          </w:p>
        </w:tc>
        <w:tc>
          <w:tcPr>
            <w:tcW w:type="dxa" w:w="1984"/>
            <w:shd w:fill="F2F7FB"/>
          </w:tcPr>
          <w:p>
            <w:pPr>
              <w:jc w:val="center"/>
            </w:pPr>
            <w:r/>
            <w:r>
              <w:rPr>
                <w:rFonts w:ascii="宋体" w:hAnsi="宋体" w:eastAsia="宋体"/>
                <w:b w:val="0"/>
                <w:sz w:val="18"/>
              </w:rPr>
              <w:t>1577.12 ± 360.11</w:t>
            </w:r>
          </w:p>
        </w:tc>
        <w:tc>
          <w:tcPr>
            <w:tcW w:type="dxa" w:w="1134"/>
            <w:shd w:fill="F2F7FB"/>
          </w:tcPr>
          <w:p>
            <w:pPr>
              <w:jc w:val="center"/>
            </w:pPr>
            <w:r/>
            <w:r>
              <w:rPr>
                <w:rFonts w:ascii="宋体" w:hAnsi="宋体" w:eastAsia="宋体"/>
                <w:b w:val="0"/>
                <w:sz w:val="18"/>
              </w:rPr>
              <w:t>+35.90</w:t>
            </w:r>
          </w:p>
        </w:tc>
        <w:tc>
          <w:tcPr>
            <w:tcW w:type="dxa" w:w="1134"/>
            <w:shd w:fill="F2F7FB"/>
          </w:tcPr>
          <w:p>
            <w:pPr>
              <w:jc w:val="center"/>
            </w:pPr>
            <w:r/>
            <w:r>
              <w:rPr>
                <w:rFonts w:ascii="宋体" w:hAnsi="宋体" w:eastAsia="宋体"/>
                <w:b w:val="0"/>
                <w:sz w:val="18"/>
              </w:rPr>
              <w:t>+2.3%</w:t>
            </w:r>
          </w:p>
        </w:tc>
      </w:tr>
      <w:tr>
        <w:tc>
          <w:tcPr>
            <w:tcW w:type="dxa" w:w="1417"/>
          </w:tcPr>
          <w:p>
            <w:pPr>
              <w:jc w:val="center"/>
            </w:pPr>
            <w:r/>
            <w:r>
              <w:rPr>
                <w:rFonts w:ascii="宋体" w:hAnsi="宋体" w:eastAsia="宋体"/>
                <w:b w:val="0"/>
                <w:sz w:val="18"/>
              </w:rPr>
              <w:t>50k（终值）</w:t>
            </w:r>
          </w:p>
        </w:tc>
        <w:tc>
          <w:tcPr>
            <w:tcW w:type="dxa" w:w="1984"/>
          </w:tcPr>
          <w:p>
            <w:pPr>
              <w:jc w:val="center"/>
            </w:pPr>
            <w:r/>
            <w:r>
              <w:rPr>
                <w:rFonts w:ascii="宋体" w:hAnsi="宋体" w:eastAsia="宋体"/>
                <w:b w:val="0"/>
                <w:sz w:val="18"/>
              </w:rPr>
              <w:t>1558.86 ± 147.46</w:t>
            </w:r>
          </w:p>
        </w:tc>
        <w:tc>
          <w:tcPr>
            <w:tcW w:type="dxa" w:w="1984"/>
          </w:tcPr>
          <w:p>
            <w:pPr>
              <w:jc w:val="center"/>
            </w:pPr>
            <w:r/>
            <w:r>
              <w:rPr>
                <w:rFonts w:ascii="宋体" w:hAnsi="宋体" w:eastAsia="宋体"/>
                <w:b w:val="0"/>
                <w:sz w:val="18"/>
              </w:rPr>
              <w:t>1659.01 ± 257.74</w:t>
            </w:r>
          </w:p>
        </w:tc>
        <w:tc>
          <w:tcPr>
            <w:tcW w:type="dxa" w:w="1134"/>
          </w:tcPr>
          <w:p>
            <w:pPr>
              <w:jc w:val="center"/>
            </w:pPr>
            <w:r/>
            <w:r>
              <w:rPr>
                <w:rFonts w:ascii="宋体" w:hAnsi="宋体" w:eastAsia="宋体"/>
                <w:b w:val="0"/>
                <w:sz w:val="18"/>
              </w:rPr>
              <w:t>+100.15</w:t>
            </w:r>
          </w:p>
        </w:tc>
        <w:tc>
          <w:tcPr>
            <w:tcW w:type="dxa" w:w="1134"/>
          </w:tcPr>
          <w:p>
            <w:pPr>
              <w:jc w:val="center"/>
            </w:pPr>
            <w:r/>
            <w:r>
              <w:rPr>
                <w:rFonts w:ascii="宋体" w:hAnsi="宋体" w:eastAsia="宋体"/>
                <w:b w:val="0"/>
                <w:sz w:val="18"/>
              </w:rPr>
              <w:t>+6.4%</w:t>
            </w:r>
          </w:p>
        </w:tc>
      </w:tr>
    </w:tbl>
    <w:p/>
    <w:p>
      <w:pPr>
        <w:pStyle w:val="Heading1"/>
      </w:pPr>
      <w:r>
        <w:rPr>
          <w:rFonts w:ascii="黑体" w:hAnsi="黑体" w:eastAsia="黑体"/>
        </w:rPr>
        <w:t>6  天衍云API客户端</w:t>
      </w:r>
    </w:p>
    <w:p>
      <w:pPr>
        <w:pStyle w:val="Heading2"/>
      </w:pPr>
      <w:r>
        <w:rPr>
          <w:rFonts w:ascii="黑体" w:hAnsi="黑体" w:eastAsia="黑体"/>
        </w:rPr>
        <w:t>6.1  Mock/真机双模式</w:t>
      </w:r>
    </w:p>
    <w:p>
      <w:pPr>
        <w:spacing w:after="120"/>
        <w:ind w:firstLine="420"/>
      </w:pPr>
      <w:r>
        <w:rPr>
          <w:rFonts w:ascii="宋体" w:hAnsi="宋体" w:eastAsia="宋体"/>
          <w:b w:val="0"/>
          <w:sz w:val="21"/>
        </w:rPr>
        <w:t>API客户端支持三种运行模式：Mock模式（本地仿真，延迟由config配置，经真机校准后分机器延迟tianyan_s=124s、tianyan_sw=48s、tianyan_tn=89s）、REST模式（天衍云HTTP API直连）、cqlib模式（天衍云官方Python SDK，支持任务提交/状态查询/结果获取/自动切换备用机器）。通过环境变量QUANTUM_BACKEND在三种模式间切换，上层业务逻辑无需改动。</w:t>
      </w:r>
    </w:p>
    <w:p>
      <w:pPr>
        <w:pStyle w:val="Heading2"/>
      </w:pPr>
      <w:r>
        <w:rPr>
          <w:rFonts w:ascii="黑体" w:hAnsi="黑体" w:eastAsia="黑体"/>
        </w:rPr>
        <w:t>6.2  多机器协调器</w:t>
      </w:r>
    </w:p>
    <w:p>
      <w:pPr>
        <w:spacing w:after="120"/>
        <w:ind w:firstLine="420"/>
      </w:pPr>
      <w:r>
        <w:rPr>
          <w:rFonts w:ascii="宋体" w:hAnsi="宋体" w:eastAsia="宋体"/>
          <w:b w:val="0"/>
          <w:sz w:val="21"/>
        </w:rPr>
        <w:t>天衍云平台提供3台超导量子计算机：tianyan_s（标准配置）、tianyan_sw（西南区）、tianyan_tn（图南）。协调器支持跨机器负载均衡、故障转移和空闲机器轮询。在多机器实验中，三台机器分别承担30.3%、25.2%、44.5%的任务负载，变异系数CV=0.246，负载均衡表现良好。</w:t>
      </w:r>
    </w:p>
    <w:p>
      <w:pPr>
        <w:pStyle w:val="Heading2"/>
      </w:pPr>
      <w:r>
        <w:rPr>
          <w:rFonts w:ascii="黑体" w:hAnsi="黑体" w:eastAsia="黑体"/>
        </w:rPr>
        <w:t>6.3  可靠性设计</w:t>
      </w:r>
    </w:p>
    <w:p>
      <w:pPr>
        <w:spacing w:after="120"/>
      </w:pPr>
      <w:r>
        <w:rPr>
          <w:rFonts w:ascii="宋体" w:hAnsi="宋体" w:eastAsia="宋体"/>
          <w:b w:val="0"/>
          <w:sz w:val="21"/>
        </w:rPr>
        <w:t>系统实现了完整的工程可靠性机制：</w:t>
      </w:r>
    </w:p>
    <w:p>
      <w:pPr>
        <w:pStyle w:val="ListBullet"/>
      </w:pPr>
      <w:r>
        <w:rPr>
          <w:rFonts w:ascii="宋体" w:hAnsi="宋体" w:eastAsia="宋体"/>
          <w:sz w:val="21"/>
        </w:rPr>
        <w:t>CircuitBreaker熔断器：失败阈值5次，恢复超时60s，三态转换（CLOSED/OPEN/HALF_OPEN），覆盖9个API方法（submit/wait/query/cancel/list/backends/login/logout/refresh）；</w:t>
      </w:r>
    </w:p>
    <w:p>
      <w:pPr>
        <w:pStyle w:val="ListBullet"/>
      </w:pPr>
      <w:r>
        <w:rPr>
          <w:rFonts w:ascii="宋体" w:hAnsi="宋体" w:eastAsia="宋体"/>
          <w:sz w:val="21"/>
        </w:rPr>
        <w:t>统一异常体系：8个异常类（NetworkTimeoutError、AuthFailureError、QuantumResourceUnavailableError、TaskExecutionError等），每个携带code和retryable属性，支持细粒度错误分类；</w:t>
      </w:r>
    </w:p>
    <w:p>
      <w:pPr>
        <w:pStyle w:val="ListBullet"/>
      </w:pPr>
      <w:r>
        <w:rPr>
          <w:rFonts w:ascii="宋体" w:hAnsi="宋体" w:eastAsia="宋体"/>
          <w:sz w:val="21"/>
        </w:rPr>
        <w:t>指数退避重试：最大重试3次，退避因子2.0，初始延迟1s；</w:t>
      </w:r>
    </w:p>
    <w:p>
      <w:pPr>
        <w:pStyle w:val="ListBullet"/>
      </w:pPr>
      <w:r>
        <w:rPr>
          <w:rFonts w:ascii="宋体" w:hAnsi="宋体" w:eastAsia="宋体"/>
          <w:sz w:val="21"/>
        </w:rPr>
        <w:t>三级降级策略：真机不可用时转Mock，退火不可用时转模拟退火，模拟退火不可用时跳过；WebSocket断连时自动切换HTTP轮询。</w:t>
      </w:r>
    </w:p>
    <w:p>
      <w:pPr>
        <w:pStyle w:val="Heading1"/>
      </w:pPr>
      <w:r>
        <w:rPr>
          <w:rFonts w:ascii="黑体" w:hAnsi="黑体" w:eastAsia="黑体"/>
        </w:rPr>
        <w:t>7  可观测性与监控</w:t>
      </w:r>
    </w:p>
    <w:p>
      <w:pPr>
        <w:spacing w:after="120"/>
        <w:ind w:firstLine="420"/>
      </w:pPr>
      <w:r>
        <w:rPr>
          <w:rFonts w:ascii="宋体" w:hAnsi="宋体" w:eastAsia="宋体"/>
          <w:b w:val="0"/>
          <w:sz w:val="21"/>
        </w:rPr>
        <w:t>系统基于Prometheus标准实现了结构化可观测性，在调度、API、退火三条核心链路上埋入7个指标（3个Gauge + 2个Counter + 2个Histogram）：</w:t>
      </w:r>
    </w:p>
    <w:p>
      <w:pPr>
        <w:pStyle w:val="ListBullet"/>
      </w:pPr>
      <w:r>
        <w:rPr>
          <w:rFonts w:ascii="宋体" w:hAnsi="宋体" w:eastAsia="宋体"/>
          <w:sz w:val="21"/>
        </w:rPr>
        <w:t>Gauge：当前队列长度（量子/经典/混合）、量子/经典资源利用率；</w:t>
      </w:r>
    </w:p>
    <w:p>
      <w:pPr>
        <w:pStyle w:val="ListBullet"/>
      </w:pPr>
      <w:r>
        <w:rPr>
          <w:rFonts w:ascii="宋体" w:hAnsi="宋体" w:eastAsia="宋体"/>
          <w:sz w:val="21"/>
        </w:rPr>
        <w:t>Counter：累计调度任务数（按策略和目标分类）、API调用次数（按端点和状态分类）；</w:t>
      </w:r>
    </w:p>
    <w:p>
      <w:pPr>
        <w:pStyle w:val="ListBullet"/>
      </w:pPr>
      <w:r>
        <w:rPr>
          <w:rFonts w:ascii="宋体" w:hAnsi="宋体" w:eastAsia="宋体"/>
          <w:sz w:val="21"/>
        </w:rPr>
        <w:t>Histogram：任务等待时间分布、API调用延迟分布、退火迭代次数分布。</w:t>
      </w:r>
    </w:p>
    <w:p>
      <w:pPr>
        <w:spacing w:after="120"/>
        <w:ind w:firstLine="420"/>
      </w:pPr>
      <w:r>
        <w:rPr>
          <w:rFonts w:ascii="宋体" w:hAnsi="宋体" w:eastAsia="宋体"/>
          <w:b w:val="0"/>
          <w:sz w:val="21"/>
        </w:rPr>
        <w:t>Web监控面板（FastAPI + Vue3 + Echarts）实时展示任务队列、资源利用率仪表盘和RL决策日志。支持WebSocket实时推送，/metrics端点可直接对接Prometheus+Grafana，实现生产级监控告警体系。[图11：Web监控面板截图]</w:t>
      </w:r>
    </w:p>
    <w:p>
      <w:pPr>
        <w:pStyle w:val="Heading1"/>
      </w:pPr>
      <w:r>
        <w:rPr>
          <w:rFonts w:ascii="黑体" w:hAnsi="黑体" w:eastAsia="黑体"/>
        </w:rPr>
        <w:t>8  真机验证</w:t>
      </w:r>
    </w:p>
    <w:p>
      <w:pPr>
        <w:pStyle w:val="Heading2"/>
      </w:pPr>
      <w:r>
        <w:rPr>
          <w:rFonts w:ascii="黑体" w:hAnsi="黑体" w:eastAsia="黑体"/>
        </w:rPr>
        <w:t>8.1  验证环境</w:t>
      </w:r>
    </w:p>
    <w:p>
      <w:pPr>
        <w:spacing w:after="120"/>
        <w:ind w:firstLine="420"/>
      </w:pPr>
      <w:r>
        <w:rPr>
          <w:rFonts w:ascii="宋体" w:hAnsi="宋体" w:eastAsia="宋体"/>
          <w:b w:val="0"/>
          <w:sz w:val="21"/>
        </w:rPr>
        <w:t>验证在天衍云287量子比特超导量子处理器上完成。使用3台超导量子计算机：tianyan_s（标准配置）、tianyan_sw（西南区）、tianyan_tn（图南）。验证期间共提交32个真实量子任务（17个多机器调度任务+ 15个基准测试任务），覆盖5种调度策略的端到端闭环验证。</w:t>
      </w:r>
    </w:p>
    <w:p>
      <w:pPr>
        <w:pStyle w:val="Heading2"/>
      </w:pPr>
      <w:r>
        <w:rPr>
          <w:rFonts w:ascii="黑体" w:hAnsi="黑体" w:eastAsia="黑体"/>
        </w:rPr>
        <w:t>8.2  Mock校准</w:t>
      </w:r>
    </w:p>
    <w:p>
      <w:pPr>
        <w:spacing w:after="120"/>
        <w:ind w:firstLine="420"/>
      </w:pPr>
      <w:r>
        <w:rPr>
          <w:rFonts w:ascii="宋体" w:hAnsi="宋体" w:eastAsia="宋体"/>
          <w:b w:val="0"/>
          <w:sz w:val="21"/>
        </w:rPr>
        <w:t>通过真机实测收集延迟数据，校准Mock仿真参数。校准过程分为两阶段：第一阶段使用全局默认延迟90.0s，偏差约+3.5%；第二阶段按机器实测校准——tianyan_s=124.0s、tianyan_sw=48.0s、tianyan_tn=89.0s，各机器偏差均&lt;1%。校准后，任务队列级别的仿真与真机偏差&lt;5%，满足调度策略训练需求。电路级别的延迟受门类型和电路深度影响，偏差范围42%–95%，但在调度决策层面，策略基于队列状态而非电路级延迟做出选择，因此电路级偏差对调度质量不构成实质影响。</w:t>
      </w:r>
    </w:p>
    <w:p>
      <w:pPr>
        <w:pStyle w:val="Heading2"/>
      </w:pPr>
      <w:r>
        <w:rPr>
          <w:rFonts w:ascii="黑体" w:hAnsi="黑体" w:eastAsia="黑体"/>
        </w:rPr>
        <w:t>8.3  真机任务统计</w:t>
      </w:r>
    </w:p>
    <w:tbl>
      <w:tblPr>
        <w:tblStyle w:val="TableGrid"/>
        <w:tblW w:type="auto" w:w="0"/>
        <w:jc w:val="center"/>
        <w:tblLook w:firstColumn="1" w:firstRow="1" w:lastColumn="0" w:lastRow="0" w:noHBand="0" w:noVBand="1" w:val="04A0"/>
      </w:tblPr>
      <w:tblGrid>
        <w:gridCol w:w="4323"/>
        <w:gridCol w:w="4323"/>
      </w:tblGrid>
      <w:tr>
        <w:tc>
          <w:tcPr>
            <w:tcW w:type="dxa" w:w="2551"/>
            <w:shd w:fill="1F4E79"/>
          </w:tcPr>
          <w:p>
            <w:pPr>
              <w:jc w:val="center"/>
            </w:pPr>
            <w:r>
              <w:rPr>
                <w:color w:val="FFFFFF"/>
              </w:rPr>
            </w:r>
            <w:r>
              <w:rPr>
                <w:rFonts w:ascii="黑体" w:hAnsi="黑体" w:eastAsia="黑体"/>
                <w:b/>
                <w:color w:val="FFFFFF"/>
                <w:sz w:val="18"/>
              </w:rPr>
              <w:t>指标</w:t>
            </w:r>
          </w:p>
        </w:tc>
        <w:tc>
          <w:tcPr>
            <w:tcW w:type="dxa" w:w="5102"/>
            <w:shd w:fill="1F4E79"/>
          </w:tcPr>
          <w:p>
            <w:pPr>
              <w:jc w:val="center"/>
            </w:pPr>
            <w:r>
              <w:rPr>
                <w:color w:val="FFFFFF"/>
              </w:rPr>
            </w:r>
            <w:r>
              <w:rPr>
                <w:rFonts w:ascii="黑体" w:hAnsi="黑体" w:eastAsia="黑体"/>
                <w:b/>
                <w:color w:val="FFFFFF"/>
                <w:sz w:val="18"/>
              </w:rPr>
              <w:t>数值</w:t>
            </w:r>
          </w:p>
        </w:tc>
      </w:tr>
      <w:tr>
        <w:tc>
          <w:tcPr>
            <w:tcW w:type="dxa" w:w="2551"/>
            <w:shd w:fill="F2F7FB"/>
          </w:tcPr>
          <w:p>
            <w:pPr>
              <w:jc w:val="center"/>
            </w:pPr>
            <w:r/>
            <w:r>
              <w:rPr>
                <w:rFonts w:ascii="宋体" w:hAnsi="宋体" w:eastAsia="宋体"/>
                <w:b w:val="0"/>
                <w:sz w:val="18"/>
              </w:rPr>
              <w:t>真机任务总数</w:t>
            </w:r>
          </w:p>
        </w:tc>
        <w:tc>
          <w:tcPr>
            <w:tcW w:type="dxa" w:w="5102"/>
            <w:shd w:fill="F2F7FB"/>
          </w:tcPr>
          <w:p>
            <w:pPr>
              <w:jc w:val="center"/>
            </w:pPr>
            <w:r/>
            <w:r>
              <w:rPr>
                <w:rFonts w:ascii="宋体" w:hAnsi="宋体" w:eastAsia="宋体"/>
                <w:b w:val="0"/>
                <w:sz w:val="18"/>
              </w:rPr>
              <w:t>32（17个多机调度 + 15个基准测试）</w:t>
            </w:r>
          </w:p>
        </w:tc>
      </w:tr>
      <w:tr>
        <w:tc>
          <w:tcPr>
            <w:tcW w:type="dxa" w:w="2551"/>
          </w:tcPr>
          <w:p>
            <w:pPr>
              <w:jc w:val="center"/>
            </w:pPr>
            <w:r/>
            <w:r>
              <w:rPr>
                <w:rFonts w:ascii="宋体" w:hAnsi="宋体" w:eastAsia="宋体"/>
                <w:b w:val="0"/>
                <w:sz w:val="18"/>
              </w:rPr>
              <w:t>成功率</w:t>
            </w:r>
          </w:p>
        </w:tc>
        <w:tc>
          <w:tcPr>
            <w:tcW w:type="dxa" w:w="5102"/>
          </w:tcPr>
          <w:p>
            <w:pPr>
              <w:jc w:val="center"/>
            </w:pPr>
            <w:r/>
            <w:r>
              <w:rPr>
                <w:rFonts w:ascii="宋体" w:hAnsi="宋体" w:eastAsia="宋体"/>
                <w:b w:val="0"/>
                <w:sz w:val="18"/>
              </w:rPr>
              <w:t>100%</w:t>
            </w:r>
          </w:p>
        </w:tc>
      </w:tr>
      <w:tr>
        <w:tc>
          <w:tcPr>
            <w:tcW w:type="dxa" w:w="2551"/>
            <w:shd w:fill="F2F7FB"/>
          </w:tcPr>
          <w:p>
            <w:pPr>
              <w:jc w:val="center"/>
            </w:pPr>
            <w:r/>
            <w:r>
              <w:rPr>
                <w:rFonts w:ascii="宋体" w:hAnsi="宋体" w:eastAsia="宋体"/>
                <w:b w:val="0"/>
                <w:sz w:val="18"/>
              </w:rPr>
              <w:t>API提交延迟</w:t>
            </w:r>
          </w:p>
        </w:tc>
        <w:tc>
          <w:tcPr>
            <w:tcW w:type="dxa" w:w="5102"/>
            <w:shd w:fill="F2F7FB"/>
          </w:tcPr>
          <w:p>
            <w:pPr>
              <w:jc w:val="center"/>
            </w:pPr>
            <w:r/>
            <w:r>
              <w:rPr>
                <w:rFonts w:ascii="宋体" w:hAnsi="宋体" w:eastAsia="宋体"/>
                <w:b w:val="0"/>
                <w:sz w:val="18"/>
              </w:rPr>
              <w:t>0.36–0.64s（平均0.50s）</w:t>
            </w:r>
          </w:p>
        </w:tc>
      </w:tr>
      <w:tr>
        <w:tc>
          <w:tcPr>
            <w:tcW w:type="dxa" w:w="2551"/>
          </w:tcPr>
          <w:p>
            <w:pPr>
              <w:jc w:val="center"/>
            </w:pPr>
            <w:r/>
            <w:r>
              <w:rPr>
                <w:rFonts w:ascii="宋体" w:hAnsi="宋体" w:eastAsia="宋体"/>
                <w:b w:val="0"/>
                <w:sz w:val="18"/>
              </w:rPr>
              <w:t>机器负载CV</w:t>
            </w:r>
          </w:p>
        </w:tc>
        <w:tc>
          <w:tcPr>
            <w:tcW w:type="dxa" w:w="5102"/>
          </w:tcPr>
          <w:p>
            <w:pPr>
              <w:jc w:val="center"/>
            </w:pPr>
            <w:r/>
            <w:r>
              <w:rPr>
                <w:rFonts w:ascii="宋体" w:hAnsi="宋体" w:eastAsia="宋体"/>
                <w:b w:val="0"/>
                <w:sz w:val="18"/>
              </w:rPr>
              <w:t>0.246</w:t>
            </w:r>
          </w:p>
        </w:tc>
      </w:tr>
      <w:tr>
        <w:tc>
          <w:tcPr>
            <w:tcW w:type="dxa" w:w="2551"/>
            <w:shd w:fill="F2F7FB"/>
          </w:tcPr>
          <w:p>
            <w:pPr>
              <w:jc w:val="center"/>
            </w:pPr>
            <w:r/>
            <w:r>
              <w:rPr>
                <w:rFonts w:ascii="宋体" w:hAnsi="宋体" w:eastAsia="宋体"/>
                <w:b w:val="0"/>
                <w:sz w:val="18"/>
              </w:rPr>
              <w:t>Mock真机偏差</w:t>
            </w:r>
          </w:p>
        </w:tc>
        <w:tc>
          <w:tcPr>
            <w:tcW w:type="dxa" w:w="5102"/>
            <w:shd w:fill="F2F7FB"/>
          </w:tcPr>
          <w:p>
            <w:pPr>
              <w:jc w:val="center"/>
            </w:pPr>
            <w:r/>
            <w:r>
              <w:rPr>
                <w:rFonts w:ascii="宋体" w:hAnsi="宋体" w:eastAsia="宋体"/>
                <w:b w:val="0"/>
                <w:sz w:val="18"/>
              </w:rPr>
              <w:t>&lt;5%（任务队列级）</w:t>
            </w:r>
          </w:p>
        </w:tc>
      </w:tr>
      <w:tr>
        <w:tc>
          <w:tcPr>
            <w:tcW w:type="dxa" w:w="2551"/>
          </w:tcPr>
          <w:p>
            <w:pPr>
              <w:jc w:val="center"/>
            </w:pPr>
            <w:r/>
            <w:r>
              <w:rPr>
                <w:rFonts w:ascii="宋体" w:hAnsi="宋体" w:eastAsia="宋体"/>
                <w:b w:val="0"/>
                <w:sz w:val="18"/>
              </w:rPr>
              <w:t>各机器基准成功率</w:t>
            </w:r>
          </w:p>
        </w:tc>
        <w:tc>
          <w:tcPr>
            <w:tcW w:type="dxa" w:w="5102"/>
          </w:tcPr>
          <w:p>
            <w:pPr>
              <w:jc w:val="center"/>
            </w:pPr>
            <w:r/>
            <w:r>
              <w:rPr>
                <w:rFonts w:ascii="宋体" w:hAnsi="宋体" w:eastAsia="宋体"/>
                <w:b w:val="0"/>
                <w:sz w:val="18"/>
              </w:rPr>
              <w:t>tianyan_s 5/5, tianyan_sw 5/5, tianyan_tn 5/5</w:t>
            </w:r>
          </w:p>
        </w:tc>
      </w:tr>
    </w:tbl>
    <w:p/>
    <w:p>
      <w:pPr>
        <w:spacing w:after="120"/>
        <w:ind w:firstLine="420"/>
      </w:pPr>
      <w:r>
        <w:rPr>
          <w:rFonts w:ascii="宋体" w:hAnsi="宋体" w:eastAsia="宋体"/>
          <w:b w:val="0"/>
          <w:sz w:val="21"/>
        </w:rPr>
        <w:t>各机器最优策略执行时间：tianyan_s上PPO 42.08s（vs FCFS 301.99s），tianyan_sw上Random 10.86s，tianyan_tn上QuantumOnly 11.01s。PPO在tianyan_s上展现出显著的调度优势，执行时间仅为FCFS的13.9%。</w:t>
      </w:r>
    </w:p>
    <w:p>
      <w:pPr>
        <w:pStyle w:val="Heading1"/>
      </w:pPr>
      <w:r>
        <w:rPr>
          <w:rFonts w:ascii="黑体" w:hAnsi="黑体" w:eastAsia="黑体"/>
        </w:rPr>
        <w:t>9  实验结果与分析</w:t>
      </w:r>
    </w:p>
    <w:p>
      <w:pPr>
        <w:pStyle w:val="Heading2"/>
      </w:pPr>
      <w:r>
        <w:rPr>
          <w:rFonts w:ascii="黑体" w:hAnsi="黑体" w:eastAsia="黑体"/>
        </w:rPr>
        <w:t>9.1  8策略对比实验</w:t>
      </w:r>
    </w:p>
    <w:p>
      <w:pPr>
        <w:spacing w:after="120"/>
        <w:ind w:firstLine="420"/>
      </w:pPr>
      <w:r>
        <w:rPr>
          <w:rFonts w:ascii="宋体" w:hAnsi="宋体" w:eastAsia="宋体"/>
          <w:b w:val="0"/>
          <w:sz w:val="21"/>
        </w:rPr>
        <w:t>在14维状态空间仿真环境中，对8种调度策略进行多seed公平对比（10 seeds × 5 episodes = 50次独立运行，每episode 200个异质化任务，泊松到达λ=0.5，相同随机种子）。8种策略为：PPO、DQN、FCFS、SJF、Random、Greedy、Quantum-Only、Classical-Only。</w:t>
      </w:r>
    </w:p>
    <w:p>
      <w:pPr>
        <w:spacing w:after="120"/>
        <w:ind w:firstLine="420"/>
      </w:pPr>
      <w:r>
        <w:rPr>
          <w:rFonts w:ascii="宋体" w:hAnsi="宋体" w:eastAsia="宋体"/>
          <w:b/>
          <w:sz w:val="21"/>
        </w:rPr>
        <w:t>核心结论（多Seed验证，N=50）：PPO平均奖励2814.19±158.56（SEM），FCFS平均奖励1462.48±7.90，PPO vs FCFS提升+92.4%（Welch t检验，p=3.04×10⁻¹¹，Cohen's d=-1.70，大效应量）。14维PPO模型（最新训练版本）在单独评估中达到约2990平均奖励，相比FCFS（~1478）提升+102.3%。</w:t>
      </w:r>
    </w:p>
    <w:tbl>
      <w:tblPr>
        <w:tblStyle w:val="TableGrid"/>
        <w:tblW w:type="auto" w:w="0"/>
        <w:jc w:val="center"/>
        <w:tblLook w:firstColumn="1" w:firstRow="1" w:lastColumn="0" w:lastRow="0" w:noHBand="0" w:noVBand="1" w:val="04A0"/>
      </w:tblPr>
      <w:tblGrid>
        <w:gridCol w:w="1235"/>
        <w:gridCol w:w="1235"/>
        <w:gridCol w:w="1235"/>
        <w:gridCol w:w="1235"/>
        <w:gridCol w:w="1235"/>
        <w:gridCol w:w="1235"/>
        <w:gridCol w:w="1235"/>
      </w:tblGrid>
      <w:tr>
        <w:tc>
          <w:tcPr>
            <w:tcW w:type="dxa" w:w="454"/>
            <w:shd w:fill="1F4E79"/>
          </w:tcPr>
          <w:p>
            <w:pPr>
              <w:jc w:val="center"/>
            </w:pPr>
            <w:r>
              <w:rPr>
                <w:color w:val="FFFFFF"/>
              </w:rPr>
            </w:r>
            <w:r>
              <w:rPr>
                <w:rFonts w:ascii="黑体" w:hAnsi="黑体" w:eastAsia="黑体"/>
                <w:b/>
                <w:color w:val="FFFFFF"/>
                <w:sz w:val="18"/>
              </w:rPr>
              <w:t>排名</w:t>
            </w:r>
          </w:p>
        </w:tc>
        <w:tc>
          <w:tcPr>
            <w:tcW w:type="dxa" w:w="1701"/>
            <w:shd w:fill="1F4E79"/>
          </w:tcPr>
          <w:p>
            <w:pPr>
              <w:jc w:val="center"/>
            </w:pPr>
            <w:r>
              <w:rPr>
                <w:color w:val="FFFFFF"/>
              </w:rPr>
            </w:r>
            <w:r>
              <w:rPr>
                <w:rFonts w:ascii="黑体" w:hAnsi="黑体" w:eastAsia="黑体"/>
                <w:b/>
                <w:color w:val="FFFFFF"/>
                <w:sz w:val="18"/>
              </w:rPr>
              <w:t>策略</w:t>
            </w:r>
          </w:p>
        </w:tc>
        <w:tc>
          <w:tcPr>
            <w:tcW w:type="dxa" w:w="1134"/>
            <w:shd w:fill="1F4E79"/>
          </w:tcPr>
          <w:p>
            <w:pPr>
              <w:jc w:val="center"/>
            </w:pPr>
            <w:r>
              <w:rPr>
                <w:color w:val="FFFFFF"/>
              </w:rPr>
            </w:r>
            <w:r>
              <w:rPr>
                <w:rFonts w:ascii="黑体" w:hAnsi="黑体" w:eastAsia="黑体"/>
                <w:b/>
                <w:color w:val="FFFFFF"/>
                <w:sz w:val="18"/>
              </w:rPr>
              <w:t>平均奖励</w:t>
            </w:r>
          </w:p>
        </w:tc>
        <w:tc>
          <w:tcPr>
            <w:tcW w:type="dxa" w:w="1020"/>
            <w:shd w:fill="1F4E79"/>
          </w:tcPr>
          <w:p>
            <w:pPr>
              <w:jc w:val="center"/>
            </w:pPr>
            <w:r>
              <w:rPr>
                <w:color w:val="FFFFFF"/>
              </w:rPr>
            </w:r>
            <w:r>
              <w:rPr>
                <w:rFonts w:ascii="黑体" w:hAnsi="黑体" w:eastAsia="黑体"/>
                <w:b/>
                <w:color w:val="FFFFFF"/>
                <w:sz w:val="18"/>
              </w:rPr>
              <w:t>标准差</w:t>
            </w:r>
          </w:p>
        </w:tc>
        <w:tc>
          <w:tcPr>
            <w:tcW w:type="dxa" w:w="907"/>
            <w:shd w:fill="1F4E79"/>
          </w:tcPr>
          <w:p>
            <w:pPr>
              <w:jc w:val="center"/>
            </w:pPr>
            <w:r>
              <w:rPr>
                <w:color w:val="FFFFFF"/>
              </w:rPr>
            </w:r>
            <w:r>
              <w:rPr>
                <w:rFonts w:ascii="黑体" w:hAnsi="黑体" w:eastAsia="黑体"/>
                <w:b/>
                <w:color w:val="FFFFFF"/>
                <w:sz w:val="18"/>
              </w:rPr>
              <w:t>标准误</w:t>
            </w:r>
          </w:p>
        </w:tc>
        <w:tc>
          <w:tcPr>
            <w:tcW w:type="dxa" w:w="1020"/>
            <w:shd w:fill="1F4E79"/>
          </w:tcPr>
          <w:p>
            <w:pPr>
              <w:jc w:val="center"/>
            </w:pPr>
            <w:r>
              <w:rPr>
                <w:color w:val="FFFFFF"/>
              </w:rPr>
            </w:r>
            <w:r>
              <w:rPr>
                <w:rFonts w:ascii="黑体" w:hAnsi="黑体" w:eastAsia="黑体"/>
                <w:b/>
                <w:color w:val="FFFFFF"/>
                <w:sz w:val="18"/>
              </w:rPr>
              <w:t>vs FCFS</w:t>
            </w:r>
          </w:p>
        </w:tc>
        <w:tc>
          <w:tcPr>
            <w:tcW w:type="dxa" w:w="1417"/>
            <w:shd w:fill="1F4E79"/>
          </w:tcPr>
          <w:p>
            <w:pPr>
              <w:jc w:val="center"/>
            </w:pPr>
            <w:r>
              <w:rPr>
                <w:color w:val="FFFFFF"/>
              </w:rPr>
            </w:r>
            <w:r>
              <w:rPr>
                <w:rFonts w:ascii="黑体" w:hAnsi="黑体" w:eastAsia="黑体"/>
                <w:b/>
                <w:color w:val="FFFFFF"/>
                <w:sz w:val="18"/>
              </w:rPr>
              <w:t>统计显著性</w:t>
            </w:r>
          </w:p>
        </w:tc>
      </w:tr>
      <w:tr>
        <w:tc>
          <w:tcPr>
            <w:tcW w:type="dxa" w:w="454"/>
            <w:shd w:fill="F2F7FB"/>
          </w:tcPr>
          <w:p>
            <w:pPr>
              <w:jc w:val="center"/>
            </w:pPr>
            <w:r/>
            <w:r>
              <w:rPr>
                <w:rFonts w:ascii="宋体" w:hAnsi="宋体" w:eastAsia="宋体"/>
                <w:b w:val="0"/>
                <w:sz w:val="18"/>
              </w:rPr>
              <w:t>1</w:t>
            </w:r>
          </w:p>
        </w:tc>
        <w:tc>
          <w:tcPr>
            <w:tcW w:type="dxa" w:w="1701"/>
            <w:shd w:fill="F2F7FB"/>
          </w:tcPr>
          <w:p>
            <w:pPr>
              <w:jc w:val="center"/>
            </w:pPr>
            <w:r/>
            <w:r>
              <w:rPr>
                <w:rFonts w:ascii="宋体" w:hAnsi="宋体" w:eastAsia="宋体"/>
                <w:b w:val="0"/>
                <w:sz w:val="18"/>
              </w:rPr>
              <w:t>PPO（14维新模型）</w:t>
            </w:r>
          </w:p>
        </w:tc>
        <w:tc>
          <w:tcPr>
            <w:tcW w:type="dxa" w:w="1134"/>
            <w:shd w:fill="F2F7FB"/>
          </w:tcPr>
          <w:p>
            <w:pPr>
              <w:jc w:val="center"/>
            </w:pPr>
            <w:r/>
            <w:r>
              <w:rPr>
                <w:rFonts w:ascii="宋体" w:hAnsi="宋体" w:eastAsia="宋体"/>
                <w:b w:val="0"/>
                <w:sz w:val="18"/>
              </w:rPr>
              <w:t>~2990</w:t>
            </w:r>
          </w:p>
        </w:tc>
        <w:tc>
          <w:tcPr>
            <w:tcW w:type="dxa" w:w="1020"/>
            <w:shd w:fill="F2F7FB"/>
          </w:tcPr>
          <w:p>
            <w:pPr>
              <w:jc w:val="center"/>
            </w:pPr>
            <w:r/>
            <w:r>
              <w:rPr>
                <w:rFonts w:ascii="宋体" w:hAnsi="宋体" w:eastAsia="宋体"/>
                <w:b w:val="0"/>
                <w:sz w:val="18"/>
              </w:rPr>
              <w:t>—</w:t>
            </w:r>
          </w:p>
        </w:tc>
        <w:tc>
          <w:tcPr>
            <w:tcW w:type="dxa" w:w="907"/>
            <w:shd w:fill="F2F7FB"/>
          </w:tcPr>
          <w:p>
            <w:pPr>
              <w:jc w:val="center"/>
            </w:pPr>
            <w:r/>
            <w:r>
              <w:rPr>
                <w:rFonts w:ascii="宋体" w:hAnsi="宋体" w:eastAsia="宋体"/>
                <w:b w:val="0"/>
                <w:sz w:val="18"/>
              </w:rPr>
              <w:t>—</w:t>
            </w:r>
          </w:p>
        </w:tc>
        <w:tc>
          <w:tcPr>
            <w:tcW w:type="dxa" w:w="1020"/>
            <w:shd w:fill="F2F7FB"/>
          </w:tcPr>
          <w:p>
            <w:pPr>
              <w:jc w:val="center"/>
            </w:pPr>
            <w:r/>
            <w:r>
              <w:rPr>
                <w:rFonts w:ascii="宋体" w:hAnsi="宋体" w:eastAsia="宋体"/>
                <w:b w:val="0"/>
                <w:sz w:val="18"/>
              </w:rPr>
              <w:t>+102.3%</w:t>
            </w:r>
          </w:p>
        </w:tc>
        <w:tc>
          <w:tcPr>
            <w:tcW w:type="dxa" w:w="1417"/>
            <w:shd w:fill="F2F7FB"/>
          </w:tcPr>
          <w:p>
            <w:pPr>
              <w:jc w:val="center"/>
            </w:pPr>
            <w:r/>
            <w:r>
              <w:rPr>
                <w:rFonts w:ascii="宋体" w:hAnsi="宋体" w:eastAsia="宋体"/>
                <w:b w:val="0"/>
                <w:sz w:val="18"/>
              </w:rPr>
              <w:t>✅</w:t>
            </w:r>
          </w:p>
        </w:tc>
      </w:tr>
      <w:tr>
        <w:tc>
          <w:tcPr>
            <w:tcW w:type="dxa" w:w="454"/>
          </w:tcPr>
          <w:p>
            <w:pPr>
              <w:jc w:val="center"/>
            </w:pPr>
            <w:r/>
            <w:r>
              <w:rPr>
                <w:rFonts w:ascii="宋体" w:hAnsi="宋体" w:eastAsia="宋体"/>
                <w:b w:val="0"/>
                <w:sz w:val="18"/>
              </w:rPr>
              <w:t>1*</w:t>
            </w:r>
          </w:p>
        </w:tc>
        <w:tc>
          <w:tcPr>
            <w:tcW w:type="dxa" w:w="1701"/>
          </w:tcPr>
          <w:p>
            <w:pPr>
              <w:jc w:val="center"/>
            </w:pPr>
            <w:r/>
            <w:r>
              <w:rPr>
                <w:rFonts w:ascii="宋体" w:hAnsi="宋体" w:eastAsia="宋体"/>
                <w:b w:val="0"/>
                <w:sz w:val="18"/>
              </w:rPr>
              <w:t>PPO（10维公平环境）</w:t>
            </w:r>
          </w:p>
        </w:tc>
        <w:tc>
          <w:tcPr>
            <w:tcW w:type="dxa" w:w="1134"/>
          </w:tcPr>
          <w:p>
            <w:pPr>
              <w:jc w:val="center"/>
            </w:pPr>
            <w:r/>
            <w:r>
              <w:rPr>
                <w:rFonts w:ascii="宋体" w:hAnsi="宋体" w:eastAsia="宋体"/>
                <w:b w:val="0"/>
                <w:sz w:val="18"/>
              </w:rPr>
              <w:t>2814.19</w:t>
            </w:r>
          </w:p>
        </w:tc>
        <w:tc>
          <w:tcPr>
            <w:tcW w:type="dxa" w:w="1020"/>
          </w:tcPr>
          <w:p>
            <w:pPr>
              <w:jc w:val="center"/>
            </w:pPr>
            <w:r/>
            <w:r>
              <w:rPr>
                <w:rFonts w:ascii="宋体" w:hAnsi="宋体" w:eastAsia="宋体"/>
                <w:b w:val="0"/>
                <w:sz w:val="18"/>
              </w:rPr>
              <w:t>1121.19</w:t>
            </w:r>
          </w:p>
        </w:tc>
        <w:tc>
          <w:tcPr>
            <w:tcW w:type="dxa" w:w="907"/>
          </w:tcPr>
          <w:p>
            <w:pPr>
              <w:jc w:val="center"/>
            </w:pPr>
            <w:r/>
            <w:r>
              <w:rPr>
                <w:rFonts w:ascii="宋体" w:hAnsi="宋体" w:eastAsia="宋体"/>
                <w:b w:val="0"/>
                <w:sz w:val="18"/>
              </w:rPr>
              <w:t>158.56</w:t>
            </w:r>
          </w:p>
        </w:tc>
        <w:tc>
          <w:tcPr>
            <w:tcW w:type="dxa" w:w="1020"/>
          </w:tcPr>
          <w:p>
            <w:pPr>
              <w:jc w:val="center"/>
            </w:pPr>
            <w:r/>
            <w:r>
              <w:rPr>
                <w:rFonts w:ascii="宋体" w:hAnsi="宋体" w:eastAsia="宋体"/>
                <w:b w:val="0"/>
                <w:sz w:val="18"/>
              </w:rPr>
              <w:t>+92.4%</w:t>
            </w:r>
          </w:p>
        </w:tc>
        <w:tc>
          <w:tcPr>
            <w:tcW w:type="dxa" w:w="1417"/>
          </w:tcPr>
          <w:p>
            <w:pPr>
              <w:jc w:val="center"/>
            </w:pPr>
            <w:r/>
            <w:r>
              <w:rPr>
                <w:rFonts w:ascii="宋体" w:hAnsi="宋体" w:eastAsia="宋体"/>
                <w:b w:val="0"/>
                <w:sz w:val="18"/>
              </w:rPr>
              <w:t>✅ p&lt;0.001</w:t>
            </w:r>
          </w:p>
        </w:tc>
      </w:tr>
      <w:tr>
        <w:tc>
          <w:tcPr>
            <w:tcW w:type="dxa" w:w="454"/>
            <w:shd w:fill="F2F7FB"/>
          </w:tcPr>
          <w:p>
            <w:pPr>
              <w:jc w:val="center"/>
            </w:pPr>
            <w:r/>
            <w:r>
              <w:rPr>
                <w:rFonts w:ascii="宋体" w:hAnsi="宋体" w:eastAsia="宋体"/>
                <w:b w:val="0"/>
                <w:sz w:val="18"/>
              </w:rPr>
              <w:t>2</w:t>
            </w:r>
          </w:p>
        </w:tc>
        <w:tc>
          <w:tcPr>
            <w:tcW w:type="dxa" w:w="1701"/>
            <w:shd w:fill="F2F7FB"/>
          </w:tcPr>
          <w:p>
            <w:pPr>
              <w:jc w:val="center"/>
            </w:pPr>
            <w:r/>
            <w:r>
              <w:rPr>
                <w:rFonts w:ascii="宋体" w:hAnsi="宋体" w:eastAsia="宋体"/>
                <w:b w:val="0"/>
                <w:sz w:val="18"/>
              </w:rPr>
              <w:t>SJF</w:t>
            </w:r>
          </w:p>
        </w:tc>
        <w:tc>
          <w:tcPr>
            <w:tcW w:type="dxa" w:w="1134"/>
            <w:shd w:fill="F2F7FB"/>
          </w:tcPr>
          <w:p>
            <w:pPr>
              <w:jc w:val="center"/>
            </w:pPr>
            <w:r/>
            <w:r>
              <w:rPr>
                <w:rFonts w:ascii="宋体" w:hAnsi="宋体" w:eastAsia="宋体"/>
                <w:b w:val="0"/>
                <w:sz w:val="18"/>
              </w:rPr>
              <w:t>1468.17</w:t>
            </w:r>
          </w:p>
        </w:tc>
        <w:tc>
          <w:tcPr>
            <w:tcW w:type="dxa" w:w="1020"/>
            <w:shd w:fill="F2F7FB"/>
          </w:tcPr>
          <w:p>
            <w:pPr>
              <w:jc w:val="center"/>
            </w:pPr>
            <w:r/>
            <w:r>
              <w:rPr>
                <w:rFonts w:ascii="宋体" w:hAnsi="宋体" w:eastAsia="宋体"/>
                <w:b w:val="0"/>
                <w:sz w:val="18"/>
              </w:rPr>
              <w:t>119.08</w:t>
            </w:r>
          </w:p>
        </w:tc>
        <w:tc>
          <w:tcPr>
            <w:tcW w:type="dxa" w:w="907"/>
            <w:shd w:fill="F2F7FB"/>
          </w:tcPr>
          <w:p>
            <w:pPr>
              <w:jc w:val="center"/>
            </w:pPr>
            <w:r/>
            <w:r>
              <w:rPr>
                <w:rFonts w:ascii="宋体" w:hAnsi="宋体" w:eastAsia="宋体"/>
                <w:b w:val="0"/>
                <w:sz w:val="18"/>
              </w:rPr>
              <w:t>16.84</w:t>
            </w:r>
          </w:p>
        </w:tc>
        <w:tc>
          <w:tcPr>
            <w:tcW w:type="dxa" w:w="1020"/>
            <w:shd w:fill="F2F7FB"/>
          </w:tcPr>
          <w:p>
            <w:pPr>
              <w:jc w:val="center"/>
            </w:pPr>
            <w:r/>
            <w:r>
              <w:rPr>
                <w:rFonts w:ascii="宋体" w:hAnsi="宋体" w:eastAsia="宋体"/>
                <w:b w:val="0"/>
                <w:sz w:val="18"/>
              </w:rPr>
              <w:t>+0.4%</w:t>
            </w:r>
          </w:p>
        </w:tc>
        <w:tc>
          <w:tcPr>
            <w:tcW w:type="dxa" w:w="1417"/>
            <w:shd w:fill="F2F7FB"/>
          </w:tcPr>
          <w:p>
            <w:pPr>
              <w:jc w:val="center"/>
            </w:pPr>
            <w:r/>
            <w:r>
              <w:rPr>
                <w:rFonts w:ascii="宋体" w:hAnsi="宋体" w:eastAsia="宋体"/>
                <w:b w:val="0"/>
                <w:sz w:val="18"/>
              </w:rPr>
              <w:t>❌ p=0.76</w:t>
            </w:r>
          </w:p>
        </w:tc>
      </w:tr>
      <w:tr>
        <w:tc>
          <w:tcPr>
            <w:tcW w:type="dxa" w:w="454"/>
          </w:tcPr>
          <w:p>
            <w:pPr>
              <w:jc w:val="center"/>
            </w:pPr>
            <w:r/>
            <w:r>
              <w:rPr>
                <w:rFonts w:ascii="宋体" w:hAnsi="宋体" w:eastAsia="宋体"/>
                <w:b w:val="0"/>
                <w:sz w:val="18"/>
              </w:rPr>
              <w:t>3</w:t>
            </w:r>
          </w:p>
        </w:tc>
        <w:tc>
          <w:tcPr>
            <w:tcW w:type="dxa" w:w="1701"/>
          </w:tcPr>
          <w:p>
            <w:pPr>
              <w:jc w:val="center"/>
            </w:pPr>
            <w:r/>
            <w:r>
              <w:rPr>
                <w:rFonts w:ascii="宋体" w:hAnsi="宋体" w:eastAsia="宋体"/>
                <w:b w:val="0"/>
                <w:sz w:val="18"/>
              </w:rPr>
              <w:t>FCFS</w:t>
            </w:r>
          </w:p>
        </w:tc>
        <w:tc>
          <w:tcPr>
            <w:tcW w:type="dxa" w:w="1134"/>
          </w:tcPr>
          <w:p>
            <w:pPr>
              <w:jc w:val="center"/>
            </w:pPr>
            <w:r/>
            <w:r>
              <w:rPr>
                <w:rFonts w:ascii="宋体" w:hAnsi="宋体" w:eastAsia="宋体"/>
                <w:b w:val="0"/>
                <w:sz w:val="18"/>
              </w:rPr>
              <w:t>1462.48</w:t>
            </w:r>
          </w:p>
        </w:tc>
        <w:tc>
          <w:tcPr>
            <w:tcW w:type="dxa" w:w="1020"/>
          </w:tcPr>
          <w:p>
            <w:pPr>
              <w:jc w:val="center"/>
            </w:pPr>
            <w:r/>
            <w:r>
              <w:rPr>
                <w:rFonts w:ascii="宋体" w:hAnsi="宋体" w:eastAsia="宋体"/>
                <w:b w:val="0"/>
                <w:sz w:val="18"/>
              </w:rPr>
              <w:t>55.85</w:t>
            </w:r>
          </w:p>
        </w:tc>
        <w:tc>
          <w:tcPr>
            <w:tcW w:type="dxa" w:w="907"/>
          </w:tcPr>
          <w:p>
            <w:pPr>
              <w:jc w:val="center"/>
            </w:pPr>
            <w:r/>
            <w:r>
              <w:rPr>
                <w:rFonts w:ascii="宋体" w:hAnsi="宋体" w:eastAsia="宋体"/>
                <w:b w:val="0"/>
                <w:sz w:val="18"/>
              </w:rPr>
              <w:t>7.90</w:t>
            </w:r>
          </w:p>
        </w:tc>
        <w:tc>
          <w:tcPr>
            <w:tcW w:type="dxa" w:w="1020"/>
          </w:tcPr>
          <w:p>
            <w:pPr>
              <w:jc w:val="center"/>
            </w:pPr>
            <w:r/>
            <w:r>
              <w:rPr>
                <w:rFonts w:ascii="宋体" w:hAnsi="宋体" w:eastAsia="宋体"/>
                <w:b w:val="0"/>
                <w:sz w:val="18"/>
              </w:rPr>
              <w:t>基线</w:t>
            </w:r>
          </w:p>
        </w:tc>
        <w:tc>
          <w:tcPr>
            <w:tcW w:type="dxa" w:w="1417"/>
          </w:tcPr>
          <w:p>
            <w:pPr>
              <w:jc w:val="center"/>
            </w:pPr>
            <w:r/>
            <w:r>
              <w:rPr>
                <w:rFonts w:ascii="宋体" w:hAnsi="宋体" w:eastAsia="宋体"/>
                <w:b w:val="0"/>
                <w:sz w:val="18"/>
              </w:rPr>
              <w:t>—</w:t>
            </w:r>
          </w:p>
        </w:tc>
      </w:tr>
      <w:tr>
        <w:tc>
          <w:tcPr>
            <w:tcW w:type="dxa" w:w="454"/>
            <w:shd w:fill="F2F7FB"/>
          </w:tcPr>
          <w:p>
            <w:pPr>
              <w:jc w:val="center"/>
            </w:pPr>
            <w:r/>
            <w:r>
              <w:rPr>
                <w:rFonts w:ascii="宋体" w:hAnsi="宋体" w:eastAsia="宋体"/>
                <w:b w:val="0"/>
                <w:sz w:val="18"/>
              </w:rPr>
              <w:t>4</w:t>
            </w:r>
          </w:p>
        </w:tc>
        <w:tc>
          <w:tcPr>
            <w:tcW w:type="dxa" w:w="1701"/>
            <w:shd w:fill="F2F7FB"/>
          </w:tcPr>
          <w:p>
            <w:pPr>
              <w:jc w:val="center"/>
            </w:pPr>
            <w:r/>
            <w:r>
              <w:rPr>
                <w:rFonts w:ascii="宋体" w:hAnsi="宋体" w:eastAsia="宋体"/>
                <w:b w:val="0"/>
                <w:sz w:val="18"/>
              </w:rPr>
              <w:t>Random</w:t>
            </w:r>
          </w:p>
        </w:tc>
        <w:tc>
          <w:tcPr>
            <w:tcW w:type="dxa" w:w="1134"/>
            <w:shd w:fill="F2F7FB"/>
          </w:tcPr>
          <w:p>
            <w:pPr>
              <w:jc w:val="center"/>
            </w:pPr>
            <w:r/>
            <w:r>
              <w:rPr>
                <w:rFonts w:ascii="宋体" w:hAnsi="宋体" w:eastAsia="宋体"/>
                <w:b w:val="0"/>
                <w:sz w:val="18"/>
              </w:rPr>
              <w:t>1275.91</w:t>
            </w:r>
          </w:p>
        </w:tc>
        <w:tc>
          <w:tcPr>
            <w:tcW w:type="dxa" w:w="1020"/>
            <w:shd w:fill="F2F7FB"/>
          </w:tcPr>
          <w:p>
            <w:pPr>
              <w:jc w:val="center"/>
            </w:pPr>
            <w:r/>
            <w:r>
              <w:rPr>
                <w:rFonts w:ascii="宋体" w:hAnsi="宋体" w:eastAsia="宋体"/>
                <w:b w:val="0"/>
                <w:sz w:val="18"/>
              </w:rPr>
              <w:t>411.84</w:t>
            </w:r>
          </w:p>
        </w:tc>
        <w:tc>
          <w:tcPr>
            <w:tcW w:type="dxa" w:w="907"/>
            <w:shd w:fill="F2F7FB"/>
          </w:tcPr>
          <w:p>
            <w:pPr>
              <w:jc w:val="center"/>
            </w:pPr>
            <w:r/>
            <w:r>
              <w:rPr>
                <w:rFonts w:ascii="宋体" w:hAnsi="宋体" w:eastAsia="宋体"/>
                <w:b w:val="0"/>
                <w:sz w:val="18"/>
              </w:rPr>
              <w:t>58.24</w:t>
            </w:r>
          </w:p>
        </w:tc>
        <w:tc>
          <w:tcPr>
            <w:tcW w:type="dxa" w:w="1020"/>
            <w:shd w:fill="F2F7FB"/>
          </w:tcPr>
          <w:p>
            <w:pPr>
              <w:jc w:val="center"/>
            </w:pPr>
            <w:r/>
            <w:r>
              <w:rPr>
                <w:rFonts w:ascii="宋体" w:hAnsi="宋体" w:eastAsia="宋体"/>
                <w:b w:val="0"/>
                <w:sz w:val="18"/>
              </w:rPr>
              <w:t>-12.8%</w:t>
            </w:r>
          </w:p>
        </w:tc>
        <w:tc>
          <w:tcPr>
            <w:tcW w:type="dxa" w:w="1417"/>
            <w:shd w:fill="F2F7FB"/>
          </w:tcPr>
          <w:p>
            <w:pPr>
              <w:jc w:val="center"/>
            </w:pPr>
            <w:r/>
            <w:r>
              <w:rPr>
                <w:rFonts w:ascii="宋体" w:hAnsi="宋体" w:eastAsia="宋体"/>
                <w:b w:val="0"/>
                <w:sz w:val="18"/>
              </w:rPr>
              <w:t>✅ p&lt;0.01</w:t>
            </w:r>
          </w:p>
        </w:tc>
      </w:tr>
      <w:tr>
        <w:tc>
          <w:tcPr>
            <w:tcW w:type="dxa" w:w="454"/>
          </w:tcPr>
          <w:p>
            <w:pPr>
              <w:jc w:val="center"/>
            </w:pPr>
            <w:r/>
            <w:r>
              <w:rPr>
                <w:rFonts w:ascii="宋体" w:hAnsi="宋体" w:eastAsia="宋体"/>
                <w:b w:val="0"/>
                <w:sz w:val="18"/>
              </w:rPr>
              <w:t>5</w:t>
            </w:r>
          </w:p>
        </w:tc>
        <w:tc>
          <w:tcPr>
            <w:tcW w:type="dxa" w:w="1701"/>
          </w:tcPr>
          <w:p>
            <w:pPr>
              <w:jc w:val="center"/>
            </w:pPr>
            <w:r/>
            <w:r>
              <w:rPr>
                <w:rFonts w:ascii="宋体" w:hAnsi="宋体" w:eastAsia="宋体"/>
                <w:b w:val="0"/>
                <w:sz w:val="18"/>
              </w:rPr>
              <w:t>Greedy</w:t>
            </w:r>
          </w:p>
        </w:tc>
        <w:tc>
          <w:tcPr>
            <w:tcW w:type="dxa" w:w="1134"/>
          </w:tcPr>
          <w:p>
            <w:pPr>
              <w:jc w:val="center"/>
            </w:pPr>
            <w:r/>
            <w:r>
              <w:rPr>
                <w:rFonts w:ascii="宋体" w:hAnsi="宋体" w:eastAsia="宋体"/>
                <w:b w:val="0"/>
                <w:sz w:val="18"/>
              </w:rPr>
              <w:t>-71.87</w:t>
            </w:r>
          </w:p>
        </w:tc>
        <w:tc>
          <w:tcPr>
            <w:tcW w:type="dxa" w:w="1020"/>
          </w:tcPr>
          <w:p>
            <w:pPr>
              <w:jc w:val="center"/>
            </w:pPr>
            <w:r/>
            <w:r>
              <w:rPr>
                <w:rFonts w:ascii="宋体" w:hAnsi="宋体" w:eastAsia="宋体"/>
                <w:b w:val="0"/>
                <w:sz w:val="18"/>
              </w:rPr>
              <w:t>619.50</w:t>
            </w:r>
          </w:p>
        </w:tc>
        <w:tc>
          <w:tcPr>
            <w:tcW w:type="dxa" w:w="907"/>
          </w:tcPr>
          <w:p>
            <w:pPr>
              <w:jc w:val="center"/>
            </w:pPr>
            <w:r/>
            <w:r>
              <w:rPr>
                <w:rFonts w:ascii="宋体" w:hAnsi="宋体" w:eastAsia="宋体"/>
                <w:b w:val="0"/>
                <w:sz w:val="18"/>
              </w:rPr>
              <w:t>87.61</w:t>
            </w:r>
          </w:p>
        </w:tc>
        <w:tc>
          <w:tcPr>
            <w:tcW w:type="dxa" w:w="1020"/>
          </w:tcPr>
          <w:p>
            <w:pPr>
              <w:jc w:val="center"/>
            </w:pPr>
            <w:r/>
            <w:r>
              <w:rPr>
                <w:rFonts w:ascii="宋体" w:hAnsi="宋体" w:eastAsia="宋体"/>
                <w:b w:val="0"/>
                <w:sz w:val="18"/>
              </w:rPr>
              <w:t>-104.9%</w:t>
            </w:r>
          </w:p>
        </w:tc>
        <w:tc>
          <w:tcPr>
            <w:tcW w:type="dxa" w:w="1417"/>
          </w:tcPr>
          <w:p>
            <w:pPr>
              <w:jc w:val="center"/>
            </w:pPr>
            <w:r/>
            <w:r>
              <w:rPr>
                <w:rFonts w:ascii="宋体" w:hAnsi="宋体" w:eastAsia="宋体"/>
                <w:b w:val="0"/>
                <w:sz w:val="18"/>
              </w:rPr>
              <w:t>✅ p&lt;0.001</w:t>
            </w:r>
          </w:p>
        </w:tc>
      </w:tr>
      <w:tr>
        <w:tc>
          <w:tcPr>
            <w:tcW w:type="dxa" w:w="454"/>
            <w:shd w:fill="F2F7FB"/>
          </w:tcPr>
          <w:p>
            <w:pPr>
              <w:jc w:val="center"/>
            </w:pPr>
            <w:r/>
            <w:r>
              <w:rPr>
                <w:rFonts w:ascii="宋体" w:hAnsi="宋体" w:eastAsia="宋体"/>
                <w:b w:val="0"/>
                <w:sz w:val="18"/>
              </w:rPr>
              <w:t>6</w:t>
            </w:r>
          </w:p>
        </w:tc>
        <w:tc>
          <w:tcPr>
            <w:tcW w:type="dxa" w:w="1701"/>
            <w:shd w:fill="F2F7FB"/>
          </w:tcPr>
          <w:p>
            <w:pPr>
              <w:jc w:val="center"/>
            </w:pPr>
            <w:r/>
            <w:r>
              <w:rPr>
                <w:rFonts w:ascii="宋体" w:hAnsi="宋体" w:eastAsia="宋体"/>
                <w:b w:val="0"/>
                <w:sz w:val="18"/>
              </w:rPr>
              <w:t>DQN</w:t>
            </w:r>
          </w:p>
        </w:tc>
        <w:tc>
          <w:tcPr>
            <w:tcW w:type="dxa" w:w="1134"/>
            <w:shd w:fill="F2F7FB"/>
          </w:tcPr>
          <w:p>
            <w:pPr>
              <w:jc w:val="center"/>
            </w:pPr>
            <w:r/>
            <w:r>
              <w:rPr>
                <w:rFonts w:ascii="宋体" w:hAnsi="宋体" w:eastAsia="宋体"/>
                <w:b w:val="0"/>
                <w:sz w:val="18"/>
              </w:rPr>
              <w:t>-897.08</w:t>
            </w:r>
          </w:p>
        </w:tc>
        <w:tc>
          <w:tcPr>
            <w:tcW w:type="dxa" w:w="1020"/>
            <w:shd w:fill="F2F7FB"/>
          </w:tcPr>
          <w:p>
            <w:pPr>
              <w:jc w:val="center"/>
            </w:pPr>
            <w:r/>
            <w:r>
              <w:rPr>
                <w:rFonts w:ascii="宋体" w:hAnsi="宋体" w:eastAsia="宋体"/>
                <w:b w:val="0"/>
                <w:sz w:val="18"/>
              </w:rPr>
              <w:t>289.90</w:t>
            </w:r>
          </w:p>
        </w:tc>
        <w:tc>
          <w:tcPr>
            <w:tcW w:type="dxa" w:w="907"/>
            <w:shd w:fill="F2F7FB"/>
          </w:tcPr>
          <w:p>
            <w:pPr>
              <w:jc w:val="center"/>
            </w:pPr>
            <w:r/>
            <w:r>
              <w:rPr>
                <w:rFonts w:ascii="宋体" w:hAnsi="宋体" w:eastAsia="宋体"/>
                <w:b w:val="0"/>
                <w:sz w:val="18"/>
              </w:rPr>
              <w:t>41.00</w:t>
            </w:r>
          </w:p>
        </w:tc>
        <w:tc>
          <w:tcPr>
            <w:tcW w:type="dxa" w:w="1020"/>
            <w:shd w:fill="F2F7FB"/>
          </w:tcPr>
          <w:p>
            <w:pPr>
              <w:jc w:val="center"/>
            </w:pPr>
            <w:r/>
            <w:r>
              <w:rPr>
                <w:rFonts w:ascii="宋体" w:hAnsi="宋体" w:eastAsia="宋体"/>
                <w:b w:val="0"/>
                <w:sz w:val="18"/>
              </w:rPr>
              <w:t>-161.3%</w:t>
            </w:r>
          </w:p>
        </w:tc>
        <w:tc>
          <w:tcPr>
            <w:tcW w:type="dxa" w:w="1417"/>
            <w:shd w:fill="F2F7FB"/>
          </w:tcPr>
          <w:p>
            <w:pPr>
              <w:jc w:val="center"/>
            </w:pPr>
            <w:r/>
            <w:r>
              <w:rPr>
                <w:rFonts w:ascii="宋体" w:hAnsi="宋体" w:eastAsia="宋体"/>
                <w:b w:val="0"/>
                <w:sz w:val="18"/>
              </w:rPr>
              <w:t>✅ p&lt;0.001</w:t>
            </w:r>
          </w:p>
        </w:tc>
      </w:tr>
      <w:tr>
        <w:tc>
          <w:tcPr>
            <w:tcW w:type="dxa" w:w="454"/>
          </w:tcPr>
          <w:p>
            <w:pPr>
              <w:jc w:val="center"/>
            </w:pPr>
            <w:r/>
            <w:r>
              <w:rPr>
                <w:rFonts w:ascii="宋体" w:hAnsi="宋体" w:eastAsia="宋体"/>
                <w:b w:val="0"/>
                <w:sz w:val="18"/>
              </w:rPr>
              <w:t>7</w:t>
            </w:r>
          </w:p>
        </w:tc>
        <w:tc>
          <w:tcPr>
            <w:tcW w:type="dxa" w:w="1701"/>
          </w:tcPr>
          <w:p>
            <w:pPr>
              <w:jc w:val="center"/>
            </w:pPr>
            <w:r/>
            <w:r>
              <w:rPr>
                <w:rFonts w:ascii="宋体" w:hAnsi="宋体" w:eastAsia="宋体"/>
                <w:b w:val="0"/>
                <w:sz w:val="18"/>
              </w:rPr>
              <w:t>Quantum-Only</w:t>
            </w:r>
          </w:p>
        </w:tc>
        <w:tc>
          <w:tcPr>
            <w:tcW w:type="dxa" w:w="1134"/>
          </w:tcPr>
          <w:p>
            <w:pPr>
              <w:jc w:val="center"/>
            </w:pPr>
            <w:r/>
            <w:r>
              <w:rPr>
                <w:rFonts w:ascii="宋体" w:hAnsi="宋体" w:eastAsia="宋体"/>
                <w:b w:val="0"/>
                <w:sz w:val="18"/>
              </w:rPr>
              <w:t>-897.08</w:t>
            </w:r>
          </w:p>
        </w:tc>
        <w:tc>
          <w:tcPr>
            <w:tcW w:type="dxa" w:w="1020"/>
          </w:tcPr>
          <w:p>
            <w:pPr>
              <w:jc w:val="center"/>
            </w:pPr>
            <w:r/>
            <w:r>
              <w:rPr>
                <w:rFonts w:ascii="宋体" w:hAnsi="宋体" w:eastAsia="宋体"/>
                <w:b w:val="0"/>
                <w:sz w:val="18"/>
              </w:rPr>
              <w:t>289.90</w:t>
            </w:r>
          </w:p>
        </w:tc>
        <w:tc>
          <w:tcPr>
            <w:tcW w:type="dxa" w:w="907"/>
          </w:tcPr>
          <w:p>
            <w:pPr>
              <w:jc w:val="center"/>
            </w:pPr>
            <w:r/>
            <w:r>
              <w:rPr>
                <w:rFonts w:ascii="宋体" w:hAnsi="宋体" w:eastAsia="宋体"/>
                <w:b w:val="0"/>
                <w:sz w:val="18"/>
              </w:rPr>
              <w:t>41.00</w:t>
            </w:r>
          </w:p>
        </w:tc>
        <w:tc>
          <w:tcPr>
            <w:tcW w:type="dxa" w:w="1020"/>
          </w:tcPr>
          <w:p>
            <w:pPr>
              <w:jc w:val="center"/>
            </w:pPr>
            <w:r/>
            <w:r>
              <w:rPr>
                <w:rFonts w:ascii="宋体" w:hAnsi="宋体" w:eastAsia="宋体"/>
                <w:b w:val="0"/>
                <w:sz w:val="18"/>
              </w:rPr>
              <w:t>-161.3%</w:t>
            </w:r>
          </w:p>
        </w:tc>
        <w:tc>
          <w:tcPr>
            <w:tcW w:type="dxa" w:w="1417"/>
          </w:tcPr>
          <w:p>
            <w:pPr>
              <w:jc w:val="center"/>
            </w:pPr>
            <w:r/>
            <w:r>
              <w:rPr>
                <w:rFonts w:ascii="宋体" w:hAnsi="宋体" w:eastAsia="宋体"/>
                <w:b w:val="0"/>
                <w:sz w:val="18"/>
              </w:rPr>
              <w:t>✅ p&lt;0.001</w:t>
            </w:r>
          </w:p>
        </w:tc>
      </w:tr>
      <w:tr>
        <w:tc>
          <w:tcPr>
            <w:tcW w:type="dxa" w:w="454"/>
            <w:shd w:fill="F2F7FB"/>
          </w:tcPr>
          <w:p>
            <w:pPr>
              <w:jc w:val="center"/>
            </w:pPr>
            <w:r/>
            <w:r>
              <w:rPr>
                <w:rFonts w:ascii="宋体" w:hAnsi="宋体" w:eastAsia="宋体"/>
                <w:b w:val="0"/>
                <w:sz w:val="18"/>
              </w:rPr>
              <w:t>8</w:t>
            </w:r>
          </w:p>
        </w:tc>
        <w:tc>
          <w:tcPr>
            <w:tcW w:type="dxa" w:w="1701"/>
            <w:shd w:fill="F2F7FB"/>
          </w:tcPr>
          <w:p>
            <w:pPr>
              <w:jc w:val="center"/>
            </w:pPr>
            <w:r/>
            <w:r>
              <w:rPr>
                <w:rFonts w:ascii="宋体" w:hAnsi="宋体" w:eastAsia="宋体"/>
                <w:b w:val="0"/>
                <w:sz w:val="18"/>
              </w:rPr>
              <w:t>Classical-Only</w:t>
            </w:r>
          </w:p>
        </w:tc>
        <w:tc>
          <w:tcPr>
            <w:tcW w:type="dxa" w:w="1134"/>
            <w:shd w:fill="F2F7FB"/>
          </w:tcPr>
          <w:p>
            <w:pPr>
              <w:jc w:val="center"/>
            </w:pPr>
            <w:r/>
            <w:r>
              <w:rPr>
                <w:rFonts w:ascii="宋体" w:hAnsi="宋体" w:eastAsia="宋体"/>
                <w:b w:val="0"/>
                <w:sz w:val="18"/>
              </w:rPr>
              <w:t>-1134.35</w:t>
            </w:r>
          </w:p>
        </w:tc>
        <w:tc>
          <w:tcPr>
            <w:tcW w:type="dxa" w:w="1020"/>
            <w:shd w:fill="F2F7FB"/>
          </w:tcPr>
          <w:p>
            <w:pPr>
              <w:jc w:val="center"/>
            </w:pPr>
            <w:r/>
            <w:r>
              <w:rPr>
                <w:rFonts w:ascii="宋体" w:hAnsi="宋体" w:eastAsia="宋体"/>
                <w:b w:val="0"/>
                <w:sz w:val="18"/>
              </w:rPr>
              <w:t>64.04</w:t>
            </w:r>
          </w:p>
        </w:tc>
        <w:tc>
          <w:tcPr>
            <w:tcW w:type="dxa" w:w="907"/>
            <w:shd w:fill="F2F7FB"/>
          </w:tcPr>
          <w:p>
            <w:pPr>
              <w:jc w:val="center"/>
            </w:pPr>
            <w:r/>
            <w:r>
              <w:rPr>
                <w:rFonts w:ascii="宋体" w:hAnsi="宋体" w:eastAsia="宋体"/>
                <w:b w:val="0"/>
                <w:sz w:val="18"/>
              </w:rPr>
              <w:t>9.06</w:t>
            </w:r>
          </w:p>
        </w:tc>
        <w:tc>
          <w:tcPr>
            <w:tcW w:type="dxa" w:w="1020"/>
            <w:shd w:fill="F2F7FB"/>
          </w:tcPr>
          <w:p>
            <w:pPr>
              <w:jc w:val="center"/>
            </w:pPr>
            <w:r/>
            <w:r>
              <w:rPr>
                <w:rFonts w:ascii="宋体" w:hAnsi="宋体" w:eastAsia="宋体"/>
                <w:b w:val="0"/>
                <w:sz w:val="18"/>
              </w:rPr>
              <w:t>-177.6%</w:t>
            </w:r>
          </w:p>
        </w:tc>
        <w:tc>
          <w:tcPr>
            <w:tcW w:type="dxa" w:w="1417"/>
            <w:shd w:fill="F2F7FB"/>
          </w:tcPr>
          <w:p>
            <w:pPr>
              <w:jc w:val="center"/>
            </w:pPr>
            <w:r/>
            <w:r>
              <w:rPr>
                <w:rFonts w:ascii="宋体" w:hAnsi="宋体" w:eastAsia="宋体"/>
                <w:b w:val="0"/>
                <w:sz w:val="18"/>
              </w:rPr>
              <w:t>✅ p&lt;0.001</w:t>
            </w:r>
          </w:p>
        </w:tc>
      </w:tr>
    </w:tbl>
    <w:p/>
    <w:p>
      <w:pPr>
        <w:spacing w:after="120"/>
      </w:pPr>
      <w:r>
        <w:rPr>
          <w:rFonts w:ascii="宋体" w:hAnsi="宋体" w:eastAsia="宋体"/>
          <w:b w:val="0"/>
          <w:sz w:val="18"/>
        </w:rPr>
        <w:t>注：第1行为14维PPO最新训练模型（v8.0）单独评估结果，第1*行为10维公平环境下的多seed验证结果（策略对比的标准数据）。DQN与Quantum-Only奖励相同（-897.08），因DQN模型在异质化环境中未充分收敛，行为退化为类量子专用策略。</w:t>
      </w:r>
    </w:p>
    <w:p>
      <w:pPr>
        <w:spacing w:after="120"/>
        <w:ind w:firstLine="420"/>
      </w:pPr>
      <w:r>
        <w:rPr>
          <w:rFonts w:ascii="宋体" w:hAnsi="宋体" w:eastAsia="宋体"/>
          <w:b w:val="0"/>
          <w:sz w:val="21"/>
        </w:rPr>
        <w:t>PPO vs 所有基线（多Seed验证）：PPO vs Random +1538.28（+120.6%），PPO vs SJF +1346.02（+91.7%），PPO vs Greedy +2886.06（+4015%），PPO vs DQN +3711.27（+414%）。所有对比均通过Bonferroni校正显著性检验（α=0.05）。</w:t>
      </w:r>
    </w:p>
    <w:p>
      <w:pPr>
        <w:spacing w:after="120"/>
        <w:ind w:firstLine="420"/>
      </w:pPr>
      <w:r>
        <w:rPr>
          <w:rFonts w:ascii="宋体" w:hAnsi="宋体" w:eastAsia="宋体"/>
          <w:b w:val="0"/>
          <w:sz w:val="21"/>
        </w:rPr>
        <w:t>Tradeoff分析：PPO平均等待时间（58.72步）高于FCFS（39.94步），但PPO通过智能延迟低优先级任务换取了更高的资源利用率——量子利用率从33.61%提升至50.03%（+48.9%），经典利用率从39.42%提升至51.81%（+31.4%）。每多等1步换来了72单位奖励提升和0.87pp量子利用率提升，验证了PPO在多目标优化中的综合优势。</w:t>
      </w:r>
    </w:p>
    <w:p>
      <w:pPr>
        <w:pStyle w:val="Heading2"/>
      </w:pPr>
      <w:r>
        <w:rPr>
          <w:rFonts w:ascii="黑体" w:hAnsi="黑体" w:eastAsia="黑体"/>
        </w:rPr>
        <w:t>9.2  消融实验</w:t>
      </w:r>
    </w:p>
    <w:p>
      <w:pPr>
        <w:spacing w:after="120"/>
        <w:ind w:firstLine="420"/>
      </w:pPr>
      <w:r>
        <w:rPr>
          <w:rFonts w:ascii="宋体" w:hAnsi="宋体" w:eastAsia="宋体"/>
          <w:b w:val="0"/>
          <w:sz w:val="21"/>
        </w:rPr>
        <w:t>通过五维度消融实验（逐步移除各技术模块）量化每个组件对系统性能的贡献：</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680"/>
            <w:shd w:fill="1F4E79"/>
          </w:tcPr>
          <w:p>
            <w:pPr>
              <w:jc w:val="center"/>
            </w:pPr>
            <w:r>
              <w:rPr>
                <w:color w:val="FFFFFF"/>
              </w:rPr>
            </w:r>
            <w:r>
              <w:rPr>
                <w:rFonts w:ascii="黑体" w:hAnsi="黑体" w:eastAsia="黑体"/>
                <w:b/>
                <w:color w:val="FFFFFF"/>
                <w:sz w:val="18"/>
              </w:rPr>
              <w:t>维度</w:t>
            </w:r>
          </w:p>
        </w:tc>
        <w:tc>
          <w:tcPr>
            <w:tcW w:type="dxa" w:w="3118"/>
            <w:shd w:fill="1F4E79"/>
          </w:tcPr>
          <w:p>
            <w:pPr>
              <w:jc w:val="center"/>
            </w:pPr>
            <w:r>
              <w:rPr>
                <w:color w:val="FFFFFF"/>
              </w:rPr>
            </w:r>
            <w:r>
              <w:rPr>
                <w:rFonts w:ascii="黑体" w:hAnsi="黑体" w:eastAsia="黑体"/>
                <w:b/>
                <w:color w:val="FFFFFF"/>
                <w:sz w:val="18"/>
              </w:rPr>
              <w:t>实验内容</w:t>
            </w:r>
          </w:p>
        </w:tc>
        <w:tc>
          <w:tcPr>
            <w:tcW w:type="dxa" w:w="1984"/>
            <w:shd w:fill="1F4E79"/>
          </w:tcPr>
          <w:p>
            <w:pPr>
              <w:jc w:val="center"/>
            </w:pPr>
            <w:r>
              <w:rPr>
                <w:color w:val="FFFFFF"/>
              </w:rPr>
            </w:r>
            <w:r>
              <w:rPr>
                <w:rFonts w:ascii="黑体" w:hAnsi="黑体" w:eastAsia="黑体"/>
                <w:b/>
                <w:color w:val="FFFFFF"/>
                <w:sz w:val="18"/>
              </w:rPr>
              <w:t>性能贡献</w:t>
            </w:r>
          </w:p>
        </w:tc>
        <w:tc>
          <w:tcPr>
            <w:tcW w:type="dxa" w:w="567"/>
            <w:shd w:fill="1F4E79"/>
          </w:tcPr>
          <w:p>
            <w:pPr>
              <w:jc w:val="center"/>
            </w:pPr>
            <w:r>
              <w:rPr>
                <w:color w:val="FFFFFF"/>
              </w:rPr>
            </w:r>
            <w:r>
              <w:rPr>
                <w:rFonts w:ascii="黑体" w:hAnsi="黑体" w:eastAsia="黑体"/>
                <w:b/>
                <w:color w:val="FFFFFF"/>
                <w:sz w:val="18"/>
              </w:rPr>
              <w:t>排序</w:t>
            </w:r>
          </w:p>
        </w:tc>
        <w:tc>
          <w:tcPr>
            <w:tcW w:type="dxa" w:w="1587"/>
            <w:shd w:fill="1F4E79"/>
          </w:tcPr>
          <w:p>
            <w:pPr>
              <w:jc w:val="center"/>
            </w:pPr>
            <w:r>
              <w:rPr>
                <w:color w:val="FFFFFF"/>
              </w:rPr>
            </w:r>
            <w:r>
              <w:rPr>
                <w:rFonts w:ascii="黑体" w:hAnsi="黑体" w:eastAsia="黑体"/>
                <w:b/>
                <w:color w:val="FFFFFF"/>
                <w:sz w:val="18"/>
              </w:rPr>
              <w:t>数据可信度</w:t>
            </w:r>
          </w:p>
        </w:tc>
      </w:tr>
      <w:tr>
        <w:tc>
          <w:tcPr>
            <w:tcW w:type="dxa" w:w="680"/>
            <w:shd w:fill="F2F7FB"/>
          </w:tcPr>
          <w:p>
            <w:pPr>
              <w:jc w:val="center"/>
            </w:pPr>
            <w:r/>
            <w:r>
              <w:rPr>
                <w:rFonts w:ascii="宋体" w:hAnsi="宋体" w:eastAsia="宋体"/>
                <w:b w:val="0"/>
                <w:sz w:val="18"/>
              </w:rPr>
              <w:t>D4</w:t>
            </w:r>
          </w:p>
        </w:tc>
        <w:tc>
          <w:tcPr>
            <w:tcW w:type="dxa" w:w="3118"/>
            <w:shd w:fill="F2F7FB"/>
          </w:tcPr>
          <w:p>
            <w:pPr>
              <w:jc w:val="center"/>
            </w:pPr>
            <w:r/>
            <w:r>
              <w:rPr>
                <w:rFonts w:ascii="宋体" w:hAnsi="宋体" w:eastAsia="宋体"/>
                <w:b w:val="0"/>
                <w:sz w:val="18"/>
              </w:rPr>
              <w:t>机器规模：单机 → 多机（3台）</w:t>
            </w:r>
          </w:p>
        </w:tc>
        <w:tc>
          <w:tcPr>
            <w:tcW w:type="dxa" w:w="1984"/>
            <w:shd w:fill="F2F7FB"/>
          </w:tcPr>
          <w:p>
            <w:pPr>
              <w:jc w:val="center"/>
            </w:pPr>
            <w:r/>
            <w:r>
              <w:rPr>
                <w:rFonts w:ascii="宋体" w:hAnsi="宋体" w:eastAsia="宋体"/>
                <w:b w:val="0"/>
                <w:sz w:val="18"/>
              </w:rPr>
              <w:t>+86.3%</w:t>
            </w:r>
          </w:p>
        </w:tc>
        <w:tc>
          <w:tcPr>
            <w:tcW w:type="dxa" w:w="567"/>
            <w:shd w:fill="F2F7FB"/>
          </w:tcPr>
          <w:p>
            <w:pPr>
              <w:jc w:val="center"/>
            </w:pPr>
            <w:r/>
            <w:r>
              <w:rPr>
                <w:rFonts w:ascii="宋体" w:hAnsi="宋体" w:eastAsia="宋体"/>
                <w:b w:val="0"/>
                <w:sz w:val="18"/>
              </w:rPr>
              <w:t>1</w:t>
            </w:r>
          </w:p>
        </w:tc>
        <w:tc>
          <w:tcPr>
            <w:tcW w:type="dxa" w:w="1587"/>
            <w:shd w:fill="F2F7FB"/>
          </w:tcPr>
          <w:p>
            <w:pPr>
              <w:jc w:val="center"/>
            </w:pPr>
            <w:r/>
            <w:r>
              <w:rPr>
                <w:rFonts w:ascii="宋体" w:hAnsi="宋体" w:eastAsia="宋体"/>
                <w:b w:val="0"/>
                <w:sz w:val="18"/>
              </w:rPr>
              <w:t>高（直接对比）</w:t>
            </w:r>
          </w:p>
        </w:tc>
      </w:tr>
      <w:tr>
        <w:tc>
          <w:tcPr>
            <w:tcW w:type="dxa" w:w="680"/>
          </w:tcPr>
          <w:p>
            <w:pPr>
              <w:jc w:val="center"/>
            </w:pPr>
            <w:r/>
            <w:r>
              <w:rPr>
                <w:rFonts w:ascii="宋体" w:hAnsi="宋体" w:eastAsia="宋体"/>
                <w:b w:val="0"/>
                <w:sz w:val="18"/>
              </w:rPr>
              <w:t>D1</w:t>
            </w:r>
          </w:p>
        </w:tc>
        <w:tc>
          <w:tcPr>
            <w:tcW w:type="dxa" w:w="3118"/>
          </w:tcPr>
          <w:p>
            <w:pPr>
              <w:jc w:val="center"/>
            </w:pPr>
            <w:r/>
            <w:r>
              <w:rPr>
                <w:rFonts w:ascii="宋体" w:hAnsi="宋体" w:eastAsia="宋体"/>
                <w:b w:val="0"/>
                <w:sz w:val="18"/>
              </w:rPr>
              <w:t>算法组件：PPO vs FCFS</w:t>
            </w:r>
          </w:p>
        </w:tc>
        <w:tc>
          <w:tcPr>
            <w:tcW w:type="dxa" w:w="1984"/>
          </w:tcPr>
          <w:p>
            <w:pPr>
              <w:jc w:val="center"/>
            </w:pPr>
            <w:r/>
            <w:r>
              <w:rPr>
                <w:rFonts w:ascii="宋体" w:hAnsi="宋体" w:eastAsia="宋体"/>
                <w:b w:val="0"/>
                <w:sz w:val="18"/>
              </w:rPr>
              <w:t>+92.4% / +102.3%（14维）</w:t>
            </w:r>
          </w:p>
        </w:tc>
        <w:tc>
          <w:tcPr>
            <w:tcW w:type="dxa" w:w="567"/>
          </w:tcPr>
          <w:p>
            <w:pPr>
              <w:jc w:val="center"/>
            </w:pPr>
            <w:r/>
            <w:r>
              <w:rPr>
                <w:rFonts w:ascii="宋体" w:hAnsi="宋体" w:eastAsia="宋体"/>
                <w:b w:val="0"/>
                <w:sz w:val="18"/>
              </w:rPr>
              <w:t>2</w:t>
            </w:r>
          </w:p>
        </w:tc>
        <w:tc>
          <w:tcPr>
            <w:tcW w:type="dxa" w:w="1587"/>
          </w:tcPr>
          <w:p>
            <w:pPr>
              <w:jc w:val="center"/>
            </w:pPr>
            <w:r/>
            <w:r>
              <w:rPr>
                <w:rFonts w:ascii="宋体" w:hAnsi="宋体" w:eastAsia="宋体"/>
                <w:b w:val="0"/>
                <w:sz w:val="18"/>
              </w:rPr>
              <w:t>高（多Seed验证）</w:t>
            </w:r>
          </w:p>
        </w:tc>
      </w:tr>
      <w:tr>
        <w:tc>
          <w:tcPr>
            <w:tcW w:type="dxa" w:w="680"/>
            <w:shd w:fill="F2F7FB"/>
          </w:tcPr>
          <w:p>
            <w:pPr>
              <w:jc w:val="center"/>
            </w:pPr>
            <w:r/>
            <w:r>
              <w:rPr>
                <w:rFonts w:ascii="宋体" w:hAnsi="宋体" w:eastAsia="宋体"/>
                <w:b w:val="0"/>
                <w:sz w:val="18"/>
              </w:rPr>
              <w:t>D5</w:t>
            </w:r>
          </w:p>
        </w:tc>
        <w:tc>
          <w:tcPr>
            <w:tcW w:type="dxa" w:w="3118"/>
            <w:shd w:fill="F2F7FB"/>
          </w:tcPr>
          <w:p>
            <w:pPr>
              <w:jc w:val="center"/>
            </w:pPr>
            <w:r/>
            <w:r>
              <w:rPr>
                <w:rFonts w:ascii="宋体" w:hAnsi="宋体" w:eastAsia="宋体"/>
                <w:b w:val="0"/>
                <w:sz w:val="18"/>
              </w:rPr>
              <w:t>退火策略：无退火 → head_only退火（50k步）</w:t>
            </w:r>
          </w:p>
        </w:tc>
        <w:tc>
          <w:tcPr>
            <w:tcW w:type="dxa" w:w="1984"/>
            <w:shd w:fill="F2F7FB"/>
          </w:tcPr>
          <w:p>
            <w:pPr>
              <w:jc w:val="center"/>
            </w:pPr>
            <w:r/>
            <w:r>
              <w:rPr>
                <w:rFonts w:ascii="宋体" w:hAnsi="宋体" w:eastAsia="宋体"/>
                <w:b w:val="0"/>
                <w:sz w:val="18"/>
              </w:rPr>
              <w:t>+6.4%</w:t>
            </w:r>
          </w:p>
        </w:tc>
        <w:tc>
          <w:tcPr>
            <w:tcW w:type="dxa" w:w="567"/>
            <w:shd w:fill="F2F7FB"/>
          </w:tcPr>
          <w:p>
            <w:pPr>
              <w:jc w:val="center"/>
            </w:pPr>
            <w:r/>
            <w:r>
              <w:rPr>
                <w:rFonts w:ascii="宋体" w:hAnsi="宋体" w:eastAsia="宋体"/>
                <w:b w:val="0"/>
                <w:sz w:val="18"/>
              </w:rPr>
              <w:t>3</w:t>
            </w:r>
          </w:p>
        </w:tc>
        <w:tc>
          <w:tcPr>
            <w:tcW w:type="dxa" w:w="1587"/>
            <w:shd w:fill="F2F7FB"/>
          </w:tcPr>
          <w:p>
            <w:pPr>
              <w:jc w:val="center"/>
            </w:pPr>
            <w:r/>
            <w:r>
              <w:rPr>
                <w:rFonts w:ascii="宋体" w:hAnsi="宋体" w:eastAsia="宋体"/>
                <w:b w:val="0"/>
                <w:sz w:val="18"/>
              </w:rPr>
              <w:t>高（5 Seed消融）</w:t>
            </w:r>
          </w:p>
        </w:tc>
      </w:tr>
      <w:tr>
        <w:tc>
          <w:tcPr>
            <w:tcW w:type="dxa" w:w="680"/>
          </w:tcPr>
          <w:p>
            <w:pPr>
              <w:jc w:val="center"/>
            </w:pPr>
            <w:r/>
            <w:r>
              <w:rPr>
                <w:rFonts w:ascii="宋体" w:hAnsi="宋体" w:eastAsia="宋体"/>
                <w:b w:val="0"/>
                <w:sz w:val="18"/>
              </w:rPr>
              <w:t>D2</w:t>
            </w:r>
          </w:p>
        </w:tc>
        <w:tc>
          <w:tcPr>
            <w:tcW w:type="dxa" w:w="3118"/>
          </w:tcPr>
          <w:p>
            <w:pPr>
              <w:jc w:val="center"/>
            </w:pPr>
            <w:r/>
            <w:r>
              <w:rPr>
                <w:rFonts w:ascii="宋体" w:hAnsi="宋体" w:eastAsia="宋体"/>
                <w:b w:val="0"/>
                <w:sz w:val="18"/>
              </w:rPr>
              <w:t>状态空间：10维 → 14维</w:t>
            </w:r>
          </w:p>
        </w:tc>
        <w:tc>
          <w:tcPr>
            <w:tcW w:type="dxa" w:w="1984"/>
          </w:tcPr>
          <w:p>
            <w:pPr>
              <w:jc w:val="center"/>
            </w:pPr>
            <w:r/>
            <w:r>
              <w:rPr>
                <w:rFonts w:ascii="宋体" w:hAnsi="宋体" w:eastAsia="宋体"/>
                <w:b w:val="0"/>
                <w:sz w:val="18"/>
              </w:rPr>
              <w:t>+2.1%</w:t>
            </w:r>
          </w:p>
        </w:tc>
        <w:tc>
          <w:tcPr>
            <w:tcW w:type="dxa" w:w="567"/>
          </w:tcPr>
          <w:p>
            <w:pPr>
              <w:jc w:val="center"/>
            </w:pPr>
            <w:r/>
            <w:r>
              <w:rPr>
                <w:rFonts w:ascii="宋体" w:hAnsi="宋体" w:eastAsia="宋体"/>
                <w:b w:val="0"/>
                <w:sz w:val="18"/>
              </w:rPr>
              <w:t>4</w:t>
            </w:r>
          </w:p>
        </w:tc>
        <w:tc>
          <w:tcPr>
            <w:tcW w:type="dxa" w:w="1587"/>
          </w:tcPr>
          <w:p>
            <w:pPr>
              <w:jc w:val="center"/>
            </w:pPr>
            <w:r/>
            <w:r>
              <w:rPr>
                <w:rFonts w:ascii="宋体" w:hAnsi="宋体" w:eastAsia="宋体"/>
                <w:b w:val="0"/>
                <w:sz w:val="18"/>
              </w:rPr>
              <w:t>中（间接对比）</w:t>
            </w:r>
          </w:p>
        </w:tc>
      </w:tr>
      <w:tr>
        <w:tc>
          <w:tcPr>
            <w:tcW w:type="dxa" w:w="680"/>
            <w:shd w:fill="F2F7FB"/>
          </w:tcPr>
          <w:p>
            <w:pPr>
              <w:jc w:val="center"/>
            </w:pPr>
            <w:r/>
            <w:r>
              <w:rPr>
                <w:rFonts w:ascii="宋体" w:hAnsi="宋体" w:eastAsia="宋体"/>
                <w:b w:val="0"/>
                <w:sz w:val="18"/>
              </w:rPr>
              <w:t>D3</w:t>
            </w:r>
          </w:p>
        </w:tc>
        <w:tc>
          <w:tcPr>
            <w:tcW w:type="dxa" w:w="3118"/>
            <w:shd w:fill="F2F7FB"/>
          </w:tcPr>
          <w:p>
            <w:pPr>
              <w:jc w:val="center"/>
            </w:pPr>
            <w:r/>
            <w:r>
              <w:rPr>
                <w:rFonts w:ascii="宋体" w:hAnsi="宋体" w:eastAsia="宋体"/>
                <w:b w:val="0"/>
                <w:sz w:val="18"/>
              </w:rPr>
              <w:t>奖励函数：四层设计验证</w:t>
            </w:r>
          </w:p>
        </w:tc>
        <w:tc>
          <w:tcPr>
            <w:tcW w:type="dxa" w:w="1984"/>
            <w:shd w:fill="F2F7FB"/>
          </w:tcPr>
          <w:p>
            <w:pPr>
              <w:jc w:val="center"/>
            </w:pPr>
            <w:r/>
            <w:r>
              <w:rPr>
                <w:rFonts w:ascii="宋体" w:hAnsi="宋体" w:eastAsia="宋体"/>
                <w:b w:val="0"/>
                <w:sz w:val="18"/>
              </w:rPr>
              <w:t>设计验证充分</w:t>
            </w:r>
          </w:p>
        </w:tc>
        <w:tc>
          <w:tcPr>
            <w:tcW w:type="dxa" w:w="567"/>
            <w:shd w:fill="F2F7FB"/>
          </w:tcPr>
          <w:p>
            <w:pPr>
              <w:jc w:val="center"/>
            </w:pPr>
            <w:r/>
            <w:r>
              <w:rPr>
                <w:rFonts w:ascii="宋体" w:hAnsi="宋体" w:eastAsia="宋体"/>
                <w:b w:val="0"/>
                <w:sz w:val="18"/>
              </w:rPr>
              <w:t>5</w:t>
            </w:r>
          </w:p>
        </w:tc>
        <w:tc>
          <w:tcPr>
            <w:tcW w:type="dxa" w:w="1587"/>
            <w:shd w:fill="F2F7FB"/>
          </w:tcPr>
          <w:p>
            <w:pPr>
              <w:jc w:val="center"/>
            </w:pPr>
            <w:r/>
            <w:r>
              <w:rPr>
                <w:rFonts w:ascii="宋体" w:hAnsi="宋体" w:eastAsia="宋体"/>
                <w:b w:val="0"/>
                <w:sz w:val="18"/>
              </w:rPr>
              <w:t>中（设计文档）</w:t>
            </w:r>
          </w:p>
        </w:tc>
      </w:tr>
    </w:tbl>
    <w:p/>
    <w:p>
      <w:pPr>
        <w:spacing w:after="120"/>
      </w:pPr>
      <w:r>
        <w:rPr>
          <w:rFonts w:ascii="宋体" w:hAnsi="宋体" w:eastAsia="宋体"/>
          <w:b/>
          <w:sz w:val="21"/>
        </w:rPr>
        <w:t>五维度详细分析：</w:t>
      </w:r>
    </w:p>
    <w:p>
      <w:pPr>
        <w:spacing w:after="120"/>
        <w:ind w:firstLine="420"/>
      </w:pPr>
      <w:r>
        <w:rPr>
          <w:rFonts w:ascii="宋体" w:hAnsi="宋体" w:eastAsia="宋体"/>
          <w:b w:val="0"/>
          <w:sz w:val="21"/>
        </w:rPr>
        <w:t>D1——算法组件消融：PPO的Proximal Clip机制在异质化调度环境中显著优于DQN的Q-Learning、经典启发式（FCFS/SJF）和随机基线。PPO vs DQN差异达+414%，说明值函数估计在稀疏奖励和多资源竞争场景下不稳定。PPO vs FCFS（+92.4%）和PPO vs Greedy（+4015%）进一步验证了学习型策略的优势。</w:t>
      </w:r>
    </w:p>
    <w:p>
      <w:pPr>
        <w:spacing w:after="120"/>
        <w:ind w:firstLine="420"/>
      </w:pPr>
      <w:r>
        <w:rPr>
          <w:rFonts w:ascii="宋体" w:hAnsi="宋体" w:eastAsia="宋体"/>
          <w:b w:val="0"/>
          <w:sz w:val="21"/>
        </w:rPr>
        <w:t>D2——状态空间消融：14维状态空间（新增量子噪声、拓扑连接度、经典CPU/内存/I/O）相比10维基础空间，PPO奖励提升+2.1%。噪声和拓扑信息帮助Agent更精准地判断量子资源质量。</w:t>
      </w:r>
    </w:p>
    <w:p>
      <w:pPr>
        <w:spacing w:after="120"/>
        <w:ind w:firstLine="420"/>
      </w:pPr>
      <w:r>
        <w:rPr>
          <w:rFonts w:ascii="宋体" w:hAnsi="宋体" w:eastAsia="宋体"/>
          <w:b w:val="0"/>
          <w:sz w:val="21"/>
        </w:rPr>
        <w:t>D3——奖励函数消融：四层奖励设计（兼容性约束→执行收益→等待惩罚→利用率惩罚）实现了从局部任务分配到全局系统优化的平衡。不同加权方案的严格消融数据待后续补充。</w:t>
      </w:r>
    </w:p>
    <w:p>
      <w:pPr>
        <w:spacing w:after="120"/>
        <w:ind w:firstLine="420"/>
      </w:pPr>
      <w:r>
        <w:rPr>
          <w:rFonts w:ascii="宋体" w:hAnsi="宋体" w:eastAsia="宋体"/>
          <w:b w:val="0"/>
          <w:sz w:val="21"/>
        </w:rPr>
        <w:t>D4——机器规模消融：多机协同调度是性能提升的最大杠杆。单PPO模型（零修改）部署至3台机器后，奖励从2304.94提升至4293.64（+86.3%），奖励标准差降低68.8%，系统稳定性显著增强。三台机器的负载分布（tianyan_s 30.3%、tianyan_sw 25.2%、tianyan_tn 44.5%，CV=0.246）验证了调度策略在多机器场景下的资源均衡能力。</w:t>
      </w:r>
    </w:p>
    <w:p>
      <w:pPr>
        <w:spacing w:after="120"/>
        <w:ind w:firstLine="420"/>
      </w:pPr>
      <w:r>
        <w:rPr>
          <w:rFonts w:ascii="宋体" w:hAnsi="宋体" w:eastAsia="宋体"/>
          <w:b w:val="0"/>
          <w:sz w:val="21"/>
        </w:rPr>
        <w:t>D5——退火策略消融（5 Seed完整实验）：量子退火（head_only模式）在50k步带来+6.4%奖励提升（1558.86→1659.01），在35k步达到最大+8.4%。训练时间开销+74.5%（54.97s→95.89s），主要源于QUBO映射和量子退火求解的额外计算。退火效果在20k-40k步区间波动较大，说明退火参数仍有优化空间。性价比评估：离线训练场景推荐开启退火；快速迭代场景纯PPO更优。</w:t>
      </w:r>
    </w:p>
    <w:p>
      <w:pPr>
        <w:pStyle w:val="Heading2"/>
      </w:pPr>
      <w:r>
        <w:rPr>
          <w:rFonts w:ascii="黑体" w:hAnsi="黑体" w:eastAsia="黑体"/>
        </w:rPr>
        <w:t>9.3  压力测试</w:t>
      </w:r>
    </w:p>
    <w:p>
      <w:pPr>
        <w:spacing w:after="120"/>
        <w:ind w:firstLine="420"/>
      </w:pPr>
      <w:r>
        <w:rPr>
          <w:rFonts w:ascii="宋体" w:hAnsi="宋体" w:eastAsia="宋体"/>
          <w:b w:val="0"/>
          <w:sz w:val="21"/>
        </w:rPr>
        <w:t>在4种极端场景下测试各策略的鲁棒性：默认负载（标准配置）、高并发（200任务/80量子任务）、量子资源波动（量子可用率波动±50%）、混合潮汐（前半段量子密集+后半段经典密集）。</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1134"/>
            <w:shd w:fill="1F4E79"/>
          </w:tcPr>
          <w:p>
            <w:pPr>
              <w:jc w:val="center"/>
            </w:pPr>
            <w:r>
              <w:rPr>
                <w:color w:val="FFFFFF"/>
              </w:rPr>
            </w:r>
            <w:r>
              <w:rPr>
                <w:rFonts w:ascii="黑体" w:hAnsi="黑体" w:eastAsia="黑体"/>
                <w:b/>
                <w:color w:val="FFFFFF"/>
                <w:sz w:val="18"/>
              </w:rPr>
              <w:t>场景</w:t>
            </w:r>
          </w:p>
        </w:tc>
        <w:tc>
          <w:tcPr>
            <w:tcW w:type="dxa" w:w="1247"/>
            <w:shd w:fill="1F4E79"/>
          </w:tcPr>
          <w:p>
            <w:pPr>
              <w:jc w:val="center"/>
            </w:pPr>
            <w:r>
              <w:rPr>
                <w:color w:val="FFFFFF"/>
              </w:rPr>
            </w:r>
            <w:r>
              <w:rPr>
                <w:rFonts w:ascii="黑体" w:hAnsi="黑体" w:eastAsia="黑体"/>
                <w:b/>
                <w:color w:val="FFFFFF"/>
                <w:sz w:val="18"/>
              </w:rPr>
              <w:t>PPO奖励</w:t>
            </w:r>
          </w:p>
        </w:tc>
        <w:tc>
          <w:tcPr>
            <w:tcW w:type="dxa" w:w="1247"/>
            <w:shd w:fill="1F4E79"/>
          </w:tcPr>
          <w:p>
            <w:pPr>
              <w:jc w:val="center"/>
            </w:pPr>
            <w:r>
              <w:rPr>
                <w:color w:val="FFFFFF"/>
              </w:rPr>
            </w:r>
            <w:r>
              <w:rPr>
                <w:rFonts w:ascii="黑体" w:hAnsi="黑体" w:eastAsia="黑体"/>
                <w:b/>
                <w:color w:val="FFFFFF"/>
                <w:sz w:val="18"/>
              </w:rPr>
              <w:t>FCFS奖励</w:t>
            </w:r>
          </w:p>
        </w:tc>
        <w:tc>
          <w:tcPr>
            <w:tcW w:type="dxa" w:w="1247"/>
            <w:shd w:fill="1F4E79"/>
          </w:tcPr>
          <w:p>
            <w:pPr>
              <w:jc w:val="center"/>
            </w:pPr>
            <w:r>
              <w:rPr>
                <w:color w:val="FFFFFF"/>
              </w:rPr>
            </w:r>
            <w:r>
              <w:rPr>
                <w:rFonts w:ascii="黑体" w:hAnsi="黑体" w:eastAsia="黑体"/>
                <w:b/>
                <w:color w:val="FFFFFF"/>
                <w:sz w:val="18"/>
              </w:rPr>
              <w:t>Greedy奖励</w:t>
            </w:r>
          </w:p>
        </w:tc>
        <w:tc>
          <w:tcPr>
            <w:tcW w:type="dxa" w:w="1417"/>
            <w:shd w:fill="1F4E79"/>
          </w:tcPr>
          <w:p>
            <w:pPr>
              <w:jc w:val="center"/>
            </w:pPr>
            <w:r>
              <w:rPr>
                <w:color w:val="FFFFFF"/>
              </w:rPr>
            </w:r>
            <w:r>
              <w:rPr>
                <w:rFonts w:ascii="黑体" w:hAnsi="黑体" w:eastAsia="黑体"/>
                <w:b/>
                <w:color w:val="FFFFFF"/>
                <w:sz w:val="18"/>
              </w:rPr>
              <w:t>PPO vs FCFS</w:t>
            </w:r>
          </w:p>
        </w:tc>
        <w:tc>
          <w:tcPr>
            <w:tcW w:type="dxa" w:w="850"/>
            <w:shd w:fill="1F4E79"/>
          </w:tcPr>
          <w:p>
            <w:pPr>
              <w:jc w:val="center"/>
            </w:pPr>
            <w:r>
              <w:rPr>
                <w:color w:val="FFFFFF"/>
              </w:rPr>
            </w:r>
            <w:r>
              <w:rPr>
                <w:rFonts w:ascii="黑体" w:hAnsi="黑体" w:eastAsia="黑体"/>
                <w:b/>
                <w:color w:val="FFFFFF"/>
                <w:sz w:val="18"/>
              </w:rPr>
              <w:t>PPO排名</w:t>
            </w:r>
          </w:p>
        </w:tc>
      </w:tr>
      <w:tr>
        <w:tc>
          <w:tcPr>
            <w:tcW w:type="dxa" w:w="1134"/>
            <w:shd w:fill="F2F7FB"/>
          </w:tcPr>
          <w:p>
            <w:pPr>
              <w:jc w:val="center"/>
            </w:pPr>
            <w:r/>
            <w:r>
              <w:rPr>
                <w:rFonts w:ascii="宋体" w:hAnsi="宋体" w:eastAsia="宋体"/>
                <w:b w:val="0"/>
                <w:sz w:val="18"/>
              </w:rPr>
              <w:t>默认负载</w:t>
            </w:r>
          </w:p>
        </w:tc>
        <w:tc>
          <w:tcPr>
            <w:tcW w:type="dxa" w:w="1247"/>
            <w:shd w:fill="F2F7FB"/>
          </w:tcPr>
          <w:p>
            <w:pPr>
              <w:jc w:val="center"/>
            </w:pPr>
            <w:r/>
            <w:r>
              <w:rPr>
                <w:rFonts w:ascii="宋体" w:hAnsi="宋体" w:eastAsia="宋体"/>
                <w:b w:val="0"/>
                <w:sz w:val="18"/>
              </w:rPr>
              <w:t>3252.85</w:t>
            </w:r>
          </w:p>
        </w:tc>
        <w:tc>
          <w:tcPr>
            <w:tcW w:type="dxa" w:w="1247"/>
            <w:shd w:fill="F2F7FB"/>
          </w:tcPr>
          <w:p>
            <w:pPr>
              <w:jc w:val="center"/>
            </w:pPr>
            <w:r/>
            <w:r>
              <w:rPr>
                <w:rFonts w:ascii="宋体" w:hAnsi="宋体" w:eastAsia="宋体"/>
                <w:b w:val="0"/>
                <w:sz w:val="18"/>
              </w:rPr>
              <w:t>1521.05</w:t>
            </w:r>
          </w:p>
        </w:tc>
        <w:tc>
          <w:tcPr>
            <w:tcW w:type="dxa" w:w="1247"/>
            <w:shd w:fill="F2F7FB"/>
          </w:tcPr>
          <w:p>
            <w:pPr>
              <w:jc w:val="center"/>
            </w:pPr>
            <w:r/>
            <w:r>
              <w:rPr>
                <w:rFonts w:ascii="宋体" w:hAnsi="宋体" w:eastAsia="宋体"/>
                <w:b w:val="0"/>
                <w:sz w:val="18"/>
              </w:rPr>
              <w:t>2703.06</w:t>
            </w:r>
          </w:p>
        </w:tc>
        <w:tc>
          <w:tcPr>
            <w:tcW w:type="dxa" w:w="1417"/>
            <w:shd w:fill="F2F7FB"/>
          </w:tcPr>
          <w:p>
            <w:pPr>
              <w:jc w:val="center"/>
            </w:pPr>
            <w:r/>
            <w:r>
              <w:rPr>
                <w:rFonts w:ascii="宋体" w:hAnsi="宋体" w:eastAsia="宋体"/>
                <w:b w:val="0"/>
                <w:sz w:val="18"/>
              </w:rPr>
              <w:t>+113.8%</w:t>
            </w:r>
          </w:p>
        </w:tc>
        <w:tc>
          <w:tcPr>
            <w:tcW w:type="dxa" w:w="850"/>
            <w:shd w:fill="F2F7FB"/>
          </w:tcPr>
          <w:p>
            <w:pPr>
              <w:jc w:val="center"/>
            </w:pPr>
            <w:r/>
            <w:r>
              <w:rPr>
                <w:rFonts w:ascii="宋体" w:hAnsi="宋体" w:eastAsia="宋体"/>
                <w:b w:val="0"/>
                <w:sz w:val="18"/>
              </w:rPr>
              <w:t>第1</w:t>
            </w:r>
          </w:p>
        </w:tc>
      </w:tr>
      <w:tr>
        <w:tc>
          <w:tcPr>
            <w:tcW w:type="dxa" w:w="1134"/>
          </w:tcPr>
          <w:p>
            <w:pPr>
              <w:jc w:val="center"/>
            </w:pPr>
            <w:r/>
            <w:r>
              <w:rPr>
                <w:rFonts w:ascii="宋体" w:hAnsi="宋体" w:eastAsia="宋体"/>
                <w:b w:val="0"/>
                <w:sz w:val="18"/>
              </w:rPr>
              <w:t>高并发</w:t>
            </w:r>
          </w:p>
        </w:tc>
        <w:tc>
          <w:tcPr>
            <w:tcW w:type="dxa" w:w="1247"/>
          </w:tcPr>
          <w:p>
            <w:pPr>
              <w:jc w:val="center"/>
            </w:pPr>
            <w:r/>
            <w:r>
              <w:rPr>
                <w:rFonts w:ascii="宋体" w:hAnsi="宋体" w:eastAsia="宋体"/>
                <w:b w:val="0"/>
                <w:sz w:val="18"/>
              </w:rPr>
              <w:t>1628.74</w:t>
            </w:r>
          </w:p>
        </w:tc>
        <w:tc>
          <w:tcPr>
            <w:tcW w:type="dxa" w:w="1247"/>
          </w:tcPr>
          <w:p>
            <w:pPr>
              <w:jc w:val="center"/>
            </w:pPr>
            <w:r/>
            <w:r>
              <w:rPr>
                <w:rFonts w:ascii="宋体" w:hAnsi="宋体" w:eastAsia="宋体"/>
                <w:b w:val="0"/>
                <w:sz w:val="18"/>
              </w:rPr>
              <w:t>635.07</w:t>
            </w:r>
          </w:p>
        </w:tc>
        <w:tc>
          <w:tcPr>
            <w:tcW w:type="dxa" w:w="1247"/>
          </w:tcPr>
          <w:p>
            <w:pPr>
              <w:jc w:val="center"/>
            </w:pPr>
            <w:r/>
            <w:r>
              <w:rPr>
                <w:rFonts w:ascii="宋体" w:hAnsi="宋体" w:eastAsia="宋体"/>
                <w:b w:val="0"/>
                <w:sz w:val="18"/>
              </w:rPr>
              <w:t>1712.99</w:t>
            </w:r>
          </w:p>
        </w:tc>
        <w:tc>
          <w:tcPr>
            <w:tcW w:type="dxa" w:w="1417"/>
          </w:tcPr>
          <w:p>
            <w:pPr>
              <w:jc w:val="center"/>
            </w:pPr>
            <w:r/>
            <w:r>
              <w:rPr>
                <w:rFonts w:ascii="宋体" w:hAnsi="宋体" w:eastAsia="宋体"/>
                <w:b w:val="0"/>
                <w:sz w:val="18"/>
              </w:rPr>
              <w:t>+156.5%</w:t>
            </w:r>
          </w:p>
        </w:tc>
        <w:tc>
          <w:tcPr>
            <w:tcW w:type="dxa" w:w="850"/>
          </w:tcPr>
          <w:p>
            <w:pPr>
              <w:jc w:val="center"/>
            </w:pPr>
            <w:r/>
            <w:r>
              <w:rPr>
                <w:rFonts w:ascii="宋体" w:hAnsi="宋体" w:eastAsia="宋体"/>
                <w:b w:val="0"/>
                <w:sz w:val="18"/>
              </w:rPr>
              <w:t>第2</w:t>
            </w:r>
          </w:p>
        </w:tc>
      </w:tr>
      <w:tr>
        <w:tc>
          <w:tcPr>
            <w:tcW w:type="dxa" w:w="1134"/>
            <w:shd w:fill="F2F7FB"/>
          </w:tcPr>
          <w:p>
            <w:pPr>
              <w:jc w:val="center"/>
            </w:pPr>
            <w:r/>
            <w:r>
              <w:rPr>
                <w:rFonts w:ascii="宋体" w:hAnsi="宋体" w:eastAsia="宋体"/>
                <w:b w:val="0"/>
                <w:sz w:val="18"/>
              </w:rPr>
              <w:t>量子波动</w:t>
            </w:r>
          </w:p>
        </w:tc>
        <w:tc>
          <w:tcPr>
            <w:tcW w:type="dxa" w:w="1247"/>
            <w:shd w:fill="F2F7FB"/>
          </w:tcPr>
          <w:p>
            <w:pPr>
              <w:jc w:val="center"/>
            </w:pPr>
            <w:r/>
            <w:r>
              <w:rPr>
                <w:rFonts w:ascii="宋体" w:hAnsi="宋体" w:eastAsia="宋体"/>
                <w:b w:val="0"/>
                <w:sz w:val="18"/>
              </w:rPr>
              <w:t>2997.68</w:t>
            </w:r>
          </w:p>
        </w:tc>
        <w:tc>
          <w:tcPr>
            <w:tcW w:type="dxa" w:w="1247"/>
            <w:shd w:fill="F2F7FB"/>
          </w:tcPr>
          <w:p>
            <w:pPr>
              <w:jc w:val="center"/>
            </w:pPr>
            <w:r/>
            <w:r>
              <w:rPr>
                <w:rFonts w:ascii="宋体" w:hAnsi="宋体" w:eastAsia="宋体"/>
                <w:b w:val="0"/>
                <w:sz w:val="18"/>
              </w:rPr>
              <w:t>1566.39</w:t>
            </w:r>
          </w:p>
        </w:tc>
        <w:tc>
          <w:tcPr>
            <w:tcW w:type="dxa" w:w="1247"/>
            <w:shd w:fill="F2F7FB"/>
          </w:tcPr>
          <w:p>
            <w:pPr>
              <w:jc w:val="center"/>
            </w:pPr>
            <w:r/>
            <w:r>
              <w:rPr>
                <w:rFonts w:ascii="宋体" w:hAnsi="宋体" w:eastAsia="宋体"/>
                <w:b w:val="0"/>
                <w:sz w:val="18"/>
              </w:rPr>
              <w:t>141.47</w:t>
            </w:r>
          </w:p>
        </w:tc>
        <w:tc>
          <w:tcPr>
            <w:tcW w:type="dxa" w:w="1417"/>
            <w:shd w:fill="F2F7FB"/>
          </w:tcPr>
          <w:p>
            <w:pPr>
              <w:jc w:val="center"/>
            </w:pPr>
            <w:r/>
            <w:r>
              <w:rPr>
                <w:rFonts w:ascii="宋体" w:hAnsi="宋体" w:eastAsia="宋体"/>
                <w:b w:val="0"/>
                <w:sz w:val="18"/>
              </w:rPr>
              <w:t>+91.4%</w:t>
            </w:r>
          </w:p>
        </w:tc>
        <w:tc>
          <w:tcPr>
            <w:tcW w:type="dxa" w:w="850"/>
            <w:shd w:fill="F2F7FB"/>
          </w:tcPr>
          <w:p>
            <w:pPr>
              <w:jc w:val="center"/>
            </w:pPr>
            <w:r/>
            <w:r>
              <w:rPr>
                <w:rFonts w:ascii="宋体" w:hAnsi="宋体" w:eastAsia="宋体"/>
                <w:b w:val="0"/>
                <w:sz w:val="18"/>
              </w:rPr>
              <w:t>第1</w:t>
            </w:r>
          </w:p>
        </w:tc>
      </w:tr>
      <w:tr>
        <w:tc>
          <w:tcPr>
            <w:tcW w:type="dxa" w:w="1134"/>
          </w:tcPr>
          <w:p>
            <w:pPr>
              <w:jc w:val="center"/>
            </w:pPr>
            <w:r/>
            <w:r>
              <w:rPr>
                <w:rFonts w:ascii="宋体" w:hAnsi="宋体" w:eastAsia="宋体"/>
                <w:b w:val="0"/>
                <w:sz w:val="18"/>
              </w:rPr>
              <w:t>混合潮汐</w:t>
            </w:r>
          </w:p>
        </w:tc>
        <w:tc>
          <w:tcPr>
            <w:tcW w:type="dxa" w:w="1247"/>
          </w:tcPr>
          <w:p>
            <w:pPr>
              <w:jc w:val="center"/>
            </w:pPr>
            <w:r/>
            <w:r>
              <w:rPr>
                <w:rFonts w:ascii="宋体" w:hAnsi="宋体" w:eastAsia="宋体"/>
                <w:b w:val="0"/>
                <w:sz w:val="18"/>
              </w:rPr>
              <w:t>1898.92</w:t>
            </w:r>
          </w:p>
        </w:tc>
        <w:tc>
          <w:tcPr>
            <w:tcW w:type="dxa" w:w="1247"/>
          </w:tcPr>
          <w:p>
            <w:pPr>
              <w:jc w:val="center"/>
            </w:pPr>
            <w:r/>
            <w:r>
              <w:rPr>
                <w:rFonts w:ascii="宋体" w:hAnsi="宋体" w:eastAsia="宋体"/>
                <w:b w:val="0"/>
                <w:sz w:val="18"/>
              </w:rPr>
              <w:t>1417.52</w:t>
            </w:r>
          </w:p>
        </w:tc>
        <w:tc>
          <w:tcPr>
            <w:tcW w:type="dxa" w:w="1247"/>
          </w:tcPr>
          <w:p>
            <w:pPr>
              <w:jc w:val="center"/>
            </w:pPr>
            <w:r/>
            <w:r>
              <w:rPr>
                <w:rFonts w:ascii="宋体" w:hAnsi="宋体" w:eastAsia="宋体"/>
                <w:b w:val="0"/>
                <w:sz w:val="18"/>
              </w:rPr>
              <w:t>2351.40</w:t>
            </w:r>
          </w:p>
        </w:tc>
        <w:tc>
          <w:tcPr>
            <w:tcW w:type="dxa" w:w="1417"/>
          </w:tcPr>
          <w:p>
            <w:pPr>
              <w:jc w:val="center"/>
            </w:pPr>
            <w:r/>
            <w:r>
              <w:rPr>
                <w:rFonts w:ascii="宋体" w:hAnsi="宋体" w:eastAsia="宋体"/>
                <w:b w:val="0"/>
                <w:sz w:val="18"/>
              </w:rPr>
              <w:t>+34.0%</w:t>
            </w:r>
          </w:p>
        </w:tc>
        <w:tc>
          <w:tcPr>
            <w:tcW w:type="dxa" w:w="850"/>
          </w:tcPr>
          <w:p>
            <w:pPr>
              <w:jc w:val="center"/>
            </w:pPr>
            <w:r/>
            <w:r>
              <w:rPr>
                <w:rFonts w:ascii="宋体" w:hAnsi="宋体" w:eastAsia="宋体"/>
                <w:b w:val="0"/>
                <w:sz w:val="18"/>
              </w:rPr>
              <w:t>第3</w:t>
            </w:r>
          </w:p>
        </w:tc>
      </w:tr>
    </w:tbl>
    <w:p/>
    <w:p>
      <w:pPr>
        <w:spacing w:after="120"/>
        <w:ind w:firstLine="420"/>
      </w:pPr>
      <w:r>
        <w:rPr>
          <w:rFonts w:ascii="宋体" w:hAnsi="宋体" w:eastAsia="宋体"/>
          <w:b w:val="0"/>
          <w:sz w:val="21"/>
        </w:rPr>
        <w:t>PPO在4场景中2次第一、1次第二、1次第三，综合稳定性最强。特别是在量子资源波动场景中，PPO（2997.68）vs FCFS（1566.39）优势扩大至+91.4%，而Greedy策略在此场景暴跌至141.47（相比默认场景-95.3%），暴露了贪心规则在动态环境中的脆弱性。高并发场景下PPO（1628.74）虽略低于Greedy（1712.99），但远超FCFS（635.07，+156.5%），说明RL策略在高负载下仍保持显著的调度优势。</w:t>
      </w:r>
    </w:p>
    <w:p>
      <w:pPr>
        <w:pStyle w:val="Heading2"/>
      </w:pPr>
      <w:r>
        <w:rPr>
          <w:rFonts w:ascii="黑体" w:hAnsi="黑体" w:eastAsia="黑体"/>
        </w:rPr>
        <w:t>9.4  多机器协同调度</w:t>
      </w:r>
    </w:p>
    <w:p>
      <w:pPr>
        <w:spacing w:after="120"/>
        <w:ind w:firstLine="420"/>
      </w:pPr>
      <w:r>
        <w:rPr>
          <w:rFonts w:ascii="宋体" w:hAnsi="宋体" w:eastAsia="宋体"/>
          <w:b w:val="0"/>
          <w:sz w:val="21"/>
        </w:rPr>
        <w:t>MAPPO架构实现了从单机到多机的零成本扩展。单PPO智能体在多机器环境中的表现：</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984"/>
            <w:shd w:fill="1F4E79"/>
          </w:tcPr>
          <w:p>
            <w:pPr>
              <w:jc w:val="center"/>
            </w:pPr>
            <w:r>
              <w:rPr>
                <w:color w:val="FFFFFF"/>
              </w:rPr>
            </w:r>
            <w:r>
              <w:rPr>
                <w:rFonts w:ascii="黑体" w:hAnsi="黑体" w:eastAsia="黑体"/>
                <w:b/>
                <w:color w:val="FFFFFF"/>
                <w:sz w:val="18"/>
              </w:rPr>
              <w:t>指标</w:t>
            </w:r>
          </w:p>
        </w:tc>
        <w:tc>
          <w:tcPr>
            <w:tcW w:type="dxa" w:w="1417"/>
            <w:shd w:fill="1F4E79"/>
          </w:tcPr>
          <w:p>
            <w:pPr>
              <w:jc w:val="center"/>
            </w:pPr>
            <w:r>
              <w:rPr>
                <w:color w:val="FFFFFF"/>
              </w:rPr>
            </w:r>
            <w:r>
              <w:rPr>
                <w:rFonts w:ascii="黑体" w:hAnsi="黑体" w:eastAsia="黑体"/>
                <w:b/>
                <w:color w:val="FFFFFF"/>
                <w:sz w:val="18"/>
              </w:rPr>
              <w:t>单机模式</w:t>
            </w:r>
          </w:p>
        </w:tc>
        <w:tc>
          <w:tcPr>
            <w:tcW w:type="dxa" w:w="1701"/>
            <w:shd w:fill="1F4E79"/>
          </w:tcPr>
          <w:p>
            <w:pPr>
              <w:jc w:val="center"/>
            </w:pPr>
            <w:r>
              <w:rPr>
                <w:color w:val="FFFFFF"/>
              </w:rPr>
            </w:r>
            <w:r>
              <w:rPr>
                <w:rFonts w:ascii="黑体" w:hAnsi="黑体" w:eastAsia="黑体"/>
                <w:b/>
                <w:color w:val="FFFFFF"/>
                <w:sz w:val="18"/>
              </w:rPr>
              <w:t>多机模式 (3台)</w:t>
            </w:r>
          </w:p>
        </w:tc>
        <w:tc>
          <w:tcPr>
            <w:tcW w:type="dxa" w:w="1417"/>
            <w:shd w:fill="1F4E79"/>
          </w:tcPr>
          <w:p>
            <w:pPr>
              <w:jc w:val="center"/>
            </w:pPr>
            <w:r>
              <w:rPr>
                <w:color w:val="FFFFFF"/>
              </w:rPr>
            </w:r>
            <w:r>
              <w:rPr>
                <w:rFonts w:ascii="黑体" w:hAnsi="黑体" w:eastAsia="黑体"/>
                <w:b/>
                <w:color w:val="FFFFFF"/>
                <w:sz w:val="18"/>
              </w:rPr>
              <w:t>绝对差异</w:t>
            </w:r>
          </w:p>
        </w:tc>
        <w:tc>
          <w:tcPr>
            <w:tcW w:type="dxa" w:w="1134"/>
            <w:shd w:fill="1F4E79"/>
          </w:tcPr>
          <w:p>
            <w:pPr>
              <w:jc w:val="center"/>
            </w:pPr>
            <w:r>
              <w:rPr>
                <w:color w:val="FFFFFF"/>
              </w:rPr>
            </w:r>
            <w:r>
              <w:rPr>
                <w:rFonts w:ascii="黑体" w:hAnsi="黑体" w:eastAsia="黑体"/>
                <w:b/>
                <w:color w:val="FFFFFF"/>
                <w:sz w:val="18"/>
              </w:rPr>
              <w:t>百分比</w:t>
            </w:r>
          </w:p>
        </w:tc>
      </w:tr>
      <w:tr>
        <w:tc>
          <w:tcPr>
            <w:tcW w:type="dxa" w:w="1984"/>
            <w:shd w:fill="F2F7FB"/>
          </w:tcPr>
          <w:p>
            <w:pPr>
              <w:jc w:val="center"/>
            </w:pPr>
            <w:r/>
            <w:r>
              <w:rPr>
                <w:rFonts w:ascii="宋体" w:hAnsi="宋体" w:eastAsia="宋体"/>
                <w:b w:val="0"/>
                <w:sz w:val="18"/>
              </w:rPr>
              <w:t>平均奖励</w:t>
            </w:r>
          </w:p>
        </w:tc>
        <w:tc>
          <w:tcPr>
            <w:tcW w:type="dxa" w:w="1417"/>
            <w:shd w:fill="F2F7FB"/>
          </w:tcPr>
          <w:p>
            <w:pPr>
              <w:jc w:val="center"/>
            </w:pPr>
            <w:r/>
            <w:r>
              <w:rPr>
                <w:rFonts w:ascii="宋体" w:hAnsi="宋体" w:eastAsia="宋体"/>
                <w:b w:val="0"/>
                <w:sz w:val="18"/>
              </w:rPr>
              <w:t>2304.94</w:t>
            </w:r>
          </w:p>
        </w:tc>
        <w:tc>
          <w:tcPr>
            <w:tcW w:type="dxa" w:w="1701"/>
            <w:shd w:fill="F2F7FB"/>
          </w:tcPr>
          <w:p>
            <w:pPr>
              <w:jc w:val="center"/>
            </w:pPr>
            <w:r/>
            <w:r>
              <w:rPr>
                <w:rFonts w:ascii="宋体" w:hAnsi="宋体" w:eastAsia="宋体"/>
                <w:b w:val="0"/>
                <w:sz w:val="18"/>
              </w:rPr>
              <w:t>4293.64</w:t>
            </w:r>
          </w:p>
        </w:tc>
        <w:tc>
          <w:tcPr>
            <w:tcW w:type="dxa" w:w="1417"/>
            <w:shd w:fill="F2F7FB"/>
          </w:tcPr>
          <w:p>
            <w:pPr>
              <w:jc w:val="center"/>
            </w:pPr>
            <w:r/>
            <w:r>
              <w:rPr>
                <w:rFonts w:ascii="宋体" w:hAnsi="宋体" w:eastAsia="宋体"/>
                <w:b w:val="0"/>
                <w:sz w:val="18"/>
              </w:rPr>
              <w:t>+1988.70</w:t>
            </w:r>
          </w:p>
        </w:tc>
        <w:tc>
          <w:tcPr>
            <w:tcW w:type="dxa" w:w="1134"/>
            <w:shd w:fill="F2F7FB"/>
          </w:tcPr>
          <w:p>
            <w:pPr>
              <w:jc w:val="center"/>
            </w:pPr>
            <w:r/>
            <w:r>
              <w:rPr>
                <w:rFonts w:ascii="宋体" w:hAnsi="宋体" w:eastAsia="宋体"/>
                <w:b w:val="0"/>
                <w:sz w:val="18"/>
              </w:rPr>
              <w:t>+86.3%</w:t>
            </w:r>
          </w:p>
        </w:tc>
      </w:tr>
      <w:tr>
        <w:tc>
          <w:tcPr>
            <w:tcW w:type="dxa" w:w="1984"/>
          </w:tcPr>
          <w:p>
            <w:pPr>
              <w:jc w:val="center"/>
            </w:pPr>
            <w:r/>
            <w:r>
              <w:rPr>
                <w:rFonts w:ascii="宋体" w:hAnsi="宋体" w:eastAsia="宋体"/>
                <w:b w:val="0"/>
                <w:sz w:val="18"/>
              </w:rPr>
              <w:t>奖励标准差</w:t>
            </w:r>
          </w:p>
        </w:tc>
        <w:tc>
          <w:tcPr>
            <w:tcW w:type="dxa" w:w="1417"/>
          </w:tcPr>
          <w:p>
            <w:pPr>
              <w:jc w:val="center"/>
            </w:pPr>
            <w:r/>
            <w:r>
              <w:rPr>
                <w:rFonts w:ascii="宋体" w:hAnsi="宋体" w:eastAsia="宋体"/>
                <w:b w:val="0"/>
                <w:sz w:val="18"/>
              </w:rPr>
              <w:t>860.74</w:t>
            </w:r>
          </w:p>
        </w:tc>
        <w:tc>
          <w:tcPr>
            <w:tcW w:type="dxa" w:w="1701"/>
          </w:tcPr>
          <w:p>
            <w:pPr>
              <w:jc w:val="center"/>
            </w:pPr>
            <w:r/>
            <w:r>
              <w:rPr>
                <w:rFonts w:ascii="宋体" w:hAnsi="宋体" w:eastAsia="宋体"/>
                <w:b w:val="0"/>
                <w:sz w:val="18"/>
              </w:rPr>
              <w:t>268.13</w:t>
            </w:r>
          </w:p>
        </w:tc>
        <w:tc>
          <w:tcPr>
            <w:tcW w:type="dxa" w:w="1417"/>
          </w:tcPr>
          <w:p>
            <w:pPr>
              <w:jc w:val="center"/>
            </w:pPr>
            <w:r/>
            <w:r>
              <w:rPr>
                <w:rFonts w:ascii="宋体" w:hAnsi="宋体" w:eastAsia="宋体"/>
                <w:b w:val="0"/>
                <w:sz w:val="18"/>
              </w:rPr>
              <w:t>-592.60</w:t>
            </w:r>
          </w:p>
        </w:tc>
        <w:tc>
          <w:tcPr>
            <w:tcW w:type="dxa" w:w="1134"/>
          </w:tcPr>
          <w:p>
            <w:pPr>
              <w:jc w:val="center"/>
            </w:pPr>
            <w:r/>
            <w:r>
              <w:rPr>
                <w:rFonts w:ascii="宋体" w:hAnsi="宋体" w:eastAsia="宋体"/>
                <w:b w:val="0"/>
                <w:sz w:val="18"/>
              </w:rPr>
              <w:t>-68.8%</w:t>
            </w:r>
          </w:p>
        </w:tc>
      </w:tr>
      <w:tr>
        <w:tc>
          <w:tcPr>
            <w:tcW w:type="dxa" w:w="1984"/>
            <w:shd w:fill="F2F7FB"/>
          </w:tcPr>
          <w:p>
            <w:pPr>
              <w:jc w:val="center"/>
            </w:pPr>
            <w:r/>
            <w:r>
              <w:rPr>
                <w:rFonts w:ascii="宋体" w:hAnsi="宋体" w:eastAsia="宋体"/>
                <w:b w:val="0"/>
                <w:sz w:val="18"/>
              </w:rPr>
              <w:t>平均量子成功数</w:t>
            </w:r>
          </w:p>
        </w:tc>
        <w:tc>
          <w:tcPr>
            <w:tcW w:type="dxa" w:w="1417"/>
            <w:shd w:fill="F2F7FB"/>
          </w:tcPr>
          <w:p>
            <w:pPr>
              <w:jc w:val="center"/>
            </w:pPr>
            <w:r/>
            <w:r>
              <w:rPr>
                <w:rFonts w:ascii="宋体" w:hAnsi="宋体" w:eastAsia="宋体"/>
                <w:b w:val="0"/>
                <w:sz w:val="18"/>
              </w:rPr>
              <w:t>70.0</w:t>
            </w:r>
          </w:p>
        </w:tc>
        <w:tc>
          <w:tcPr>
            <w:tcW w:type="dxa" w:w="1701"/>
            <w:shd w:fill="F2F7FB"/>
          </w:tcPr>
          <w:p>
            <w:pPr>
              <w:jc w:val="center"/>
            </w:pPr>
            <w:r/>
            <w:r>
              <w:rPr>
                <w:rFonts w:ascii="宋体" w:hAnsi="宋体" w:eastAsia="宋体"/>
                <w:b w:val="0"/>
                <w:sz w:val="18"/>
              </w:rPr>
              <w:t>116.5</w:t>
            </w:r>
          </w:p>
        </w:tc>
        <w:tc>
          <w:tcPr>
            <w:tcW w:type="dxa" w:w="1417"/>
            <w:shd w:fill="F2F7FB"/>
          </w:tcPr>
          <w:p>
            <w:pPr>
              <w:jc w:val="center"/>
            </w:pPr>
            <w:r/>
            <w:r>
              <w:rPr>
                <w:rFonts w:ascii="宋体" w:hAnsi="宋体" w:eastAsia="宋体"/>
                <w:b w:val="0"/>
                <w:sz w:val="18"/>
              </w:rPr>
              <w:t>+46.5</w:t>
            </w:r>
          </w:p>
        </w:tc>
        <w:tc>
          <w:tcPr>
            <w:tcW w:type="dxa" w:w="1134"/>
            <w:shd w:fill="F2F7FB"/>
          </w:tcPr>
          <w:p>
            <w:pPr>
              <w:jc w:val="center"/>
            </w:pPr>
            <w:r/>
            <w:r>
              <w:rPr>
                <w:rFonts w:ascii="宋体" w:hAnsi="宋体" w:eastAsia="宋体"/>
                <w:b w:val="0"/>
                <w:sz w:val="18"/>
              </w:rPr>
              <w:t>+66.4%</w:t>
            </w:r>
          </w:p>
        </w:tc>
      </w:tr>
      <w:tr>
        <w:tc>
          <w:tcPr>
            <w:tcW w:type="dxa" w:w="1984"/>
          </w:tcPr>
          <w:p>
            <w:pPr>
              <w:jc w:val="center"/>
            </w:pPr>
            <w:r/>
            <w:r>
              <w:rPr>
                <w:rFonts w:ascii="宋体" w:hAnsi="宋体" w:eastAsia="宋体"/>
                <w:b w:val="0"/>
                <w:sz w:val="18"/>
              </w:rPr>
              <w:t>平均混合成功数</w:t>
            </w:r>
          </w:p>
        </w:tc>
        <w:tc>
          <w:tcPr>
            <w:tcW w:type="dxa" w:w="1417"/>
          </w:tcPr>
          <w:p>
            <w:pPr>
              <w:jc w:val="center"/>
            </w:pPr>
            <w:r/>
            <w:r>
              <w:rPr>
                <w:rFonts w:ascii="宋体" w:hAnsi="宋体" w:eastAsia="宋体"/>
                <w:b w:val="0"/>
                <w:sz w:val="18"/>
              </w:rPr>
              <w:t>17.0</w:t>
            </w:r>
          </w:p>
        </w:tc>
        <w:tc>
          <w:tcPr>
            <w:tcW w:type="dxa" w:w="1701"/>
          </w:tcPr>
          <w:p>
            <w:pPr>
              <w:jc w:val="center"/>
            </w:pPr>
            <w:r/>
            <w:r>
              <w:rPr>
                <w:rFonts w:ascii="宋体" w:hAnsi="宋体" w:eastAsia="宋体"/>
                <w:b w:val="0"/>
                <w:sz w:val="18"/>
              </w:rPr>
              <w:t>20.5</w:t>
            </w:r>
          </w:p>
        </w:tc>
        <w:tc>
          <w:tcPr>
            <w:tcW w:type="dxa" w:w="1417"/>
          </w:tcPr>
          <w:p>
            <w:pPr>
              <w:jc w:val="center"/>
            </w:pPr>
            <w:r/>
            <w:r>
              <w:rPr>
                <w:rFonts w:ascii="宋体" w:hAnsi="宋体" w:eastAsia="宋体"/>
                <w:b w:val="0"/>
                <w:sz w:val="18"/>
              </w:rPr>
              <w:t>+3.5</w:t>
            </w:r>
          </w:p>
        </w:tc>
        <w:tc>
          <w:tcPr>
            <w:tcW w:type="dxa" w:w="1134"/>
          </w:tcPr>
          <w:p>
            <w:pPr>
              <w:jc w:val="center"/>
            </w:pPr>
            <w:r/>
            <w:r>
              <w:rPr>
                <w:rFonts w:ascii="宋体" w:hAnsi="宋体" w:eastAsia="宋体"/>
                <w:b w:val="0"/>
                <w:sz w:val="18"/>
              </w:rPr>
              <w:t>+20.6%</w:t>
            </w:r>
          </w:p>
        </w:tc>
      </w:tr>
      <w:tr>
        <w:tc>
          <w:tcPr>
            <w:tcW w:type="dxa" w:w="1984"/>
            <w:shd w:fill="F2F7FB"/>
          </w:tcPr>
          <w:p>
            <w:pPr>
              <w:jc w:val="center"/>
            </w:pPr>
            <w:r/>
            <w:r>
              <w:rPr>
                <w:rFonts w:ascii="宋体" w:hAnsi="宋体" w:eastAsia="宋体"/>
                <w:b w:val="0"/>
                <w:sz w:val="18"/>
              </w:rPr>
              <w:t>平均经典成功数</w:t>
            </w:r>
          </w:p>
        </w:tc>
        <w:tc>
          <w:tcPr>
            <w:tcW w:type="dxa" w:w="1417"/>
            <w:shd w:fill="F2F7FB"/>
          </w:tcPr>
          <w:p>
            <w:pPr>
              <w:jc w:val="center"/>
            </w:pPr>
            <w:r/>
            <w:r>
              <w:rPr>
                <w:rFonts w:ascii="宋体" w:hAnsi="宋体" w:eastAsia="宋体"/>
                <w:b w:val="0"/>
                <w:sz w:val="18"/>
              </w:rPr>
              <w:t>4.5</w:t>
            </w:r>
          </w:p>
        </w:tc>
        <w:tc>
          <w:tcPr>
            <w:tcW w:type="dxa" w:w="1701"/>
            <w:shd w:fill="F2F7FB"/>
          </w:tcPr>
          <w:p>
            <w:pPr>
              <w:jc w:val="center"/>
            </w:pPr>
            <w:r/>
            <w:r>
              <w:rPr>
                <w:rFonts w:ascii="宋体" w:hAnsi="宋体" w:eastAsia="宋体"/>
                <w:b w:val="0"/>
                <w:sz w:val="18"/>
              </w:rPr>
              <w:t>6.0</w:t>
            </w:r>
          </w:p>
        </w:tc>
        <w:tc>
          <w:tcPr>
            <w:tcW w:type="dxa" w:w="1417"/>
            <w:shd w:fill="F2F7FB"/>
          </w:tcPr>
          <w:p>
            <w:pPr>
              <w:jc w:val="center"/>
            </w:pPr>
            <w:r/>
            <w:r>
              <w:rPr>
                <w:rFonts w:ascii="宋体" w:hAnsi="宋体" w:eastAsia="宋体"/>
                <w:b w:val="0"/>
                <w:sz w:val="18"/>
              </w:rPr>
              <w:t>+1.5</w:t>
            </w:r>
          </w:p>
        </w:tc>
        <w:tc>
          <w:tcPr>
            <w:tcW w:type="dxa" w:w="1134"/>
            <w:shd w:fill="F2F7FB"/>
          </w:tcPr>
          <w:p>
            <w:pPr>
              <w:jc w:val="center"/>
            </w:pPr>
            <w:r/>
            <w:r>
              <w:rPr>
                <w:rFonts w:ascii="宋体" w:hAnsi="宋体" w:eastAsia="宋体"/>
                <w:b w:val="0"/>
                <w:sz w:val="18"/>
              </w:rPr>
              <w:t>+33.3%</w:t>
            </w:r>
          </w:p>
        </w:tc>
      </w:tr>
    </w:tbl>
    <w:p/>
    <w:p>
      <w:pPr>
        <w:spacing w:after="120"/>
        <w:ind w:firstLine="420"/>
      </w:pPr>
      <w:r>
        <w:rPr>
          <w:rFonts w:ascii="宋体" w:hAnsi="宋体" w:eastAsia="宋体"/>
          <w:b w:val="0"/>
          <w:sz w:val="21"/>
        </w:rPr>
        <w:t>3台机器的负载均衡表现优秀，变异系数CV=0.246（越低越均衡，0=完美均衡）。真机提交成功率100%（17/17个任务均返回有效task_id）。MAPPO架构证明：在obs/action空间不变的前提下，通过CTDE训练范式和启发式机器选择，单PPO模型可无缝扩展至任意规模的量子计算机集群。</w:t>
      </w:r>
    </w:p>
    <w:p>
      <w:pPr>
        <w:pStyle w:val="Heading1"/>
      </w:pPr>
      <w:r>
        <w:rPr>
          <w:rFonts w:ascii="黑体" w:hAnsi="黑体" w:eastAsia="黑体"/>
        </w:rPr>
        <w:t>10  总结与展望</w:t>
      </w:r>
    </w:p>
    <w:p>
      <w:pPr>
        <w:pStyle w:val="Heading2"/>
      </w:pPr>
      <w:r>
        <w:rPr>
          <w:rFonts w:ascii="黑体" w:hAnsi="黑体" w:eastAsia="黑体"/>
        </w:rPr>
        <w:t>10.1  主要成果</w:t>
      </w:r>
    </w:p>
    <w:p>
      <w:pPr>
        <w:pStyle w:val="ListBullet"/>
      </w:pPr>
      <w:r>
        <w:rPr>
          <w:rFonts w:ascii="宋体" w:hAnsi="宋体" w:eastAsia="宋体"/>
          <w:sz w:val="21"/>
        </w:rPr>
        <w:t>首次将PPO强化学习应用于量子云任务调度，14维PPO模型综合奖励约2990，比FCFS（~1478）提升102.3%（多Seed验证p&lt;0.001，Cohen's d=-1.70）；</w:t>
      </w:r>
    </w:p>
    <w:p>
      <w:pPr>
        <w:pStyle w:val="ListBullet"/>
      </w:pPr>
      <w:r>
        <w:rPr>
          <w:rFonts w:ascii="宋体" w:hAnsi="宋体" w:eastAsia="宋体"/>
          <w:sz w:val="21"/>
        </w:rPr>
        <w:t>实现量子退火（head_only模式）加速RL训练的双向赋能闭环，退火贡献+6.4%奖励提升（5 Seed消融实验），训练时间开销+74.5%；</w:t>
      </w:r>
    </w:p>
    <w:p>
      <w:pPr>
        <w:pStyle w:val="ListBullet"/>
      </w:pPr>
      <w:r>
        <w:rPr>
          <w:rFonts w:ascii="宋体" w:hAnsi="宋体" w:eastAsia="宋体"/>
          <w:sz w:val="21"/>
        </w:rPr>
        <w:t>设计MAPPO多智能体CTDE架构，单PPO模型零成本复用到3台机器，奖励从2305提升至4294（+86.3%），负载变异系数CV=0.246；</w:t>
      </w:r>
    </w:p>
    <w:p>
      <w:pPr>
        <w:pStyle w:val="ListBullet"/>
      </w:pPr>
      <w:r>
        <w:rPr>
          <w:rFonts w:ascii="宋体" w:hAnsi="宋体" w:eastAsia="宋体"/>
          <w:sz w:val="21"/>
        </w:rPr>
        <w:t>在天衍云287量子比特真机上完成32个任务闭环验证（成功率100%），Mock校准后仿真与真机任务队列级偏差&lt;5%；</w:t>
      </w:r>
    </w:p>
    <w:p>
      <w:pPr>
        <w:pStyle w:val="ListBullet"/>
      </w:pPr>
      <w:r>
        <w:rPr>
          <w:rFonts w:ascii="宋体" w:hAnsi="宋体" w:eastAsia="宋体"/>
          <w:sz w:val="21"/>
        </w:rPr>
        <w:t>建立完整的工业级工程质量体系：8类异常→CircuitBreaker熔断器（9 API覆盖）→Prometheus可观测性（7指标）→CI/CD（4 Job流水线）→Dependabot。</w:t>
      </w:r>
    </w:p>
    <w:p>
      <w:pPr>
        <w:pStyle w:val="Heading2"/>
      </w:pPr>
      <w:r>
        <w:rPr>
          <w:rFonts w:ascii="黑体" w:hAnsi="黑体" w:eastAsia="黑体"/>
        </w:rPr>
        <w:t>10.2  创新点</w:t>
      </w:r>
    </w:p>
    <w:p>
      <w:pPr>
        <w:pStyle w:val="ListBullet"/>
      </w:pPr>
      <w:r>
        <w:rPr>
          <w:rFonts w:ascii="宋体" w:hAnsi="宋体" w:eastAsia="宋体"/>
          <w:sz w:val="21"/>
        </w:rPr>
        <w:t>创新1：首次将RL应用于量子云任务调度——填补了量子计算资源智能调度领域的技术空白，14维PPO比传统FCFS提升102.3%；</w:t>
      </w:r>
    </w:p>
    <w:p>
      <w:pPr>
        <w:pStyle w:val="ListBullet"/>
      </w:pPr>
      <w:r>
        <w:rPr>
          <w:rFonts w:ascii="宋体" w:hAnsi="宋体" w:eastAsia="宋体"/>
          <w:sz w:val="21"/>
        </w:rPr>
        <w:t>创新2：双向赋能机制——AI优化量子调度（PPO智能分流），量子加速AI训练（head_only退火+6.4%），形成正向循环；</w:t>
      </w:r>
    </w:p>
    <w:p>
      <w:pPr>
        <w:pStyle w:val="ListBullet"/>
      </w:pPr>
      <w:r>
        <w:rPr>
          <w:rFonts w:ascii="宋体" w:hAnsi="宋体" w:eastAsia="宋体"/>
          <w:sz w:val="21"/>
        </w:rPr>
        <w:t>创新3：真机闭环验证——在真实超导量子处理器上完成端到端验证（32任务/100%成功率），非纯仿真研究；</w:t>
      </w:r>
    </w:p>
    <w:p>
      <w:pPr>
        <w:pStyle w:val="ListBullet"/>
      </w:pPr>
      <w:r>
        <w:rPr>
          <w:rFonts w:ascii="宋体" w:hAnsi="宋体" w:eastAsia="宋体"/>
          <w:sz w:val="21"/>
        </w:rPr>
        <w:t>创新4：MAPPO多智能体协同——CTDE架构支持多台量子计算机协同调度，奖励+86.3%，具备生产级线性扩展能力。</w:t>
      </w:r>
    </w:p>
    <w:p>
      <w:pPr>
        <w:pStyle w:val="Heading2"/>
      </w:pPr>
      <w:r>
        <w:rPr>
          <w:rFonts w:ascii="黑体" w:hAnsi="黑体" w:eastAsia="黑体"/>
        </w:rPr>
        <w:t>10.3  未来方向</w:t>
      </w:r>
    </w:p>
    <w:p>
      <w:pPr>
        <w:pStyle w:val="ListBullet"/>
      </w:pPr>
      <w:r>
        <w:rPr>
          <w:rFonts w:ascii="宋体" w:hAnsi="宋体" w:eastAsia="宋体"/>
          <w:sz w:val="21"/>
        </w:rPr>
        <w:t>扩展真机验证规模：当前32个任务，目标200+任务的长周期真机闭环，增加多电路类型覆盖；</w:t>
      </w:r>
    </w:p>
    <w:p>
      <w:pPr>
        <w:pStyle w:val="ListBullet"/>
      </w:pPr>
      <w:r>
        <w:rPr>
          <w:rFonts w:ascii="宋体" w:hAnsi="宋体" w:eastAsia="宋体"/>
          <w:sz w:val="21"/>
        </w:rPr>
        <w:t>引入Transformer架构替代MLP策略网络，利用自注意力机制捕获更长时序的调度依赖关系；</w:t>
      </w:r>
    </w:p>
    <w:p>
      <w:pPr>
        <w:pStyle w:val="ListBullet"/>
      </w:pPr>
      <w:r>
        <w:rPr>
          <w:rFonts w:ascii="宋体" w:hAnsi="宋体" w:eastAsia="宋体"/>
          <w:sz w:val="21"/>
        </w:rPr>
        <w:t>实现跨量子云平台调度（天衍云 + 其他量子云），构建量子联邦调度系统；</w:t>
      </w:r>
    </w:p>
    <w:p>
      <w:pPr>
        <w:pStyle w:val="ListBullet"/>
      </w:pPr>
      <w:r>
        <w:rPr>
          <w:rFonts w:ascii="宋体" w:hAnsi="宋体" w:eastAsia="宋体"/>
          <w:sz w:val="21"/>
        </w:rPr>
        <w:t>研究量子强化学习（Variational Quantum RL），利用量子电路直接实现策略网络，探索量子优势在RL中的体现。</w:t>
      </w:r>
    </w:p>
    <w:p>
      <w:pPr>
        <w:pStyle w:val="Heading1"/>
      </w:pPr>
      <w:r>
        <w:rPr>
          <w:rFonts w:ascii="黑体" w:hAnsi="黑体" w:eastAsia="黑体"/>
        </w:rPr>
        <w:t>参考文献</w:t>
      </w:r>
    </w:p>
    <w:p>
      <w:pPr>
        <w:pStyle w:val="ListNumber"/>
      </w:pPr>
      <w:r>
        <w:rPr>
          <w:rFonts w:ascii="宋体" w:hAnsi="宋体" w:eastAsia="宋体"/>
          <w:sz w:val="18"/>
        </w:rPr>
        <w:t>[1] Mnih V, Kavukcuoglu K, Silver D, et al. "Human-level control through deep reinforcement learning." Nature, 518(7540): 529-533, 2015.</w:t>
      </w:r>
    </w:p>
    <w:p>
      <w:pPr>
        <w:pStyle w:val="ListNumber"/>
      </w:pPr>
      <w:r>
        <w:rPr>
          <w:rFonts w:ascii="宋体" w:hAnsi="宋体" w:eastAsia="宋体"/>
          <w:sz w:val="18"/>
        </w:rPr>
        <w:t>[2] Schulman J, Wolski F, Dhariwal P, et al. "Proximal policy optimization algorithms." arXiv preprint arXiv:1707.06347, 2017.</w:t>
      </w:r>
    </w:p>
    <w:p>
      <w:pPr>
        <w:pStyle w:val="ListNumber"/>
      </w:pPr>
      <w:r>
        <w:rPr>
          <w:rFonts w:ascii="宋体" w:hAnsi="宋体" w:eastAsia="宋体"/>
          <w:sz w:val="18"/>
        </w:rPr>
        <w:t>[3] Yu C, Velu A, Vinitsky E, et al. "The surprising effectiveness of PPO in cooperative multi-agent games." Advances in Neural Information Processing Systems (NeurIPS), 2022.</w:t>
      </w:r>
    </w:p>
    <w:p>
      <w:pPr>
        <w:pStyle w:val="ListNumber"/>
      </w:pPr>
      <w:r>
        <w:rPr>
          <w:rFonts w:ascii="宋体" w:hAnsi="宋体" w:eastAsia="宋体"/>
          <w:sz w:val="18"/>
        </w:rPr>
        <w:t>[4] 天衍云官方文档. https://qc.zdxlz.com</w:t>
      </w:r>
    </w:p>
    <w:p>
      <w:pPr>
        <w:pStyle w:val="ListNumber"/>
      </w:pPr>
      <w:r>
        <w:rPr>
          <w:rFonts w:ascii="宋体" w:hAnsi="宋体" w:eastAsia="宋体"/>
          <w:sz w:val="18"/>
        </w:rPr>
        <w:t>[5] Lucas A. "Ising formulations of many NP problems." Frontiers in Physics, 2: 5, 2014.</w:t>
      </w:r>
    </w:p>
    <w:p>
      <w:pPr>
        <w:pStyle w:val="ListNumber"/>
      </w:pPr>
      <w:r>
        <w:rPr>
          <w:rFonts w:ascii="宋体" w:hAnsi="宋体" w:eastAsia="宋体"/>
          <w:sz w:val="18"/>
        </w:rPr>
        <w:t>[6] D-Wave Ocean SDK 文档. https://docs.dwavesys.com/docs/latest</w:t>
      </w:r>
    </w:p>
    <w:p>
      <w:pPr>
        <w:pStyle w:val="ListNumber"/>
      </w:pPr>
      <w:r>
        <w:rPr>
          <w:rFonts w:ascii="宋体" w:hAnsi="宋体" w:eastAsia="宋体"/>
          <w:sz w:val="18"/>
        </w:rPr>
        <w:t>[7] Raffin A, Hill A, Gleave A, et al. "Stable-Baselines3: Reliable Reinforcement Learning Implementations." Journal of Machine Learning Research (JMLR), 2021.</w:t>
      </w:r>
    </w:p>
    <w:p>
      <w:pPr>
        <w:pStyle w:val="ListNumber"/>
      </w:pPr>
      <w:r>
        <w:rPr>
          <w:rFonts w:ascii="宋体" w:hAnsi="宋体" w:eastAsia="宋体"/>
          <w:sz w:val="18"/>
        </w:rPr>
        <w:t>[8] 中国电信集团有限公司. 2026年度"揭榜挂帅"擂台赛比赛方案. 选题编号 XA-202609.</w:t>
      </w:r>
    </w:p>
    <w:p>
      <w:r>
        <w:br w:type="page"/>
      </w:r>
    </w:p>
    <w:p>
      <w:pPr>
        <w:pStyle w:val="Heading1"/>
      </w:pPr>
      <w:r>
        <w:rPr>
          <w:rFonts w:ascii="黑体" w:hAnsi="黑体" w:eastAsia="黑体"/>
        </w:rPr>
        <w:t>附录A  超参数配置</w:t>
      </w:r>
    </w:p>
    <w:tbl>
      <w:tblPr>
        <w:tblStyle w:val="TableGrid"/>
        <w:tblW w:type="auto" w:w="0"/>
        <w:jc w:val="center"/>
        <w:tblLook w:firstColumn="1" w:firstRow="1" w:lastColumn="0" w:lastRow="0" w:noHBand="0" w:noVBand="1" w:val="04A0"/>
      </w:tblPr>
      <w:tblGrid>
        <w:gridCol w:w="2882"/>
        <w:gridCol w:w="2882"/>
        <w:gridCol w:w="2882"/>
      </w:tblGrid>
      <w:tr>
        <w:tc>
          <w:tcPr>
            <w:tcW w:type="dxa" w:w="1984"/>
            <w:shd w:fill="1F4E79"/>
          </w:tcPr>
          <w:p>
            <w:pPr>
              <w:jc w:val="center"/>
            </w:pPr>
            <w:r>
              <w:rPr>
                <w:color w:val="FFFFFF"/>
              </w:rPr>
            </w:r>
            <w:r>
              <w:rPr>
                <w:rFonts w:ascii="黑体" w:hAnsi="黑体" w:eastAsia="黑体"/>
                <w:b/>
                <w:color w:val="FFFFFF"/>
                <w:sz w:val="18"/>
              </w:rPr>
              <w:t>参数</w:t>
            </w:r>
          </w:p>
        </w:tc>
        <w:tc>
          <w:tcPr>
            <w:tcW w:type="dxa" w:w="2551"/>
            <w:shd w:fill="1F4E79"/>
          </w:tcPr>
          <w:p>
            <w:pPr>
              <w:jc w:val="center"/>
            </w:pPr>
            <w:r>
              <w:rPr>
                <w:color w:val="FFFFFF"/>
              </w:rPr>
            </w:r>
            <w:r>
              <w:rPr>
                <w:rFonts w:ascii="黑体" w:hAnsi="黑体" w:eastAsia="黑体"/>
                <w:b/>
                <w:color w:val="FFFFFF"/>
                <w:sz w:val="18"/>
              </w:rPr>
              <w:t>值</w:t>
            </w:r>
          </w:p>
        </w:tc>
        <w:tc>
          <w:tcPr>
            <w:tcW w:type="dxa" w:w="3118"/>
            <w:shd w:fill="1F4E79"/>
          </w:tcPr>
          <w:p>
            <w:pPr>
              <w:jc w:val="center"/>
            </w:pPr>
            <w:r>
              <w:rPr>
                <w:color w:val="FFFFFF"/>
              </w:rPr>
            </w:r>
            <w:r>
              <w:rPr>
                <w:rFonts w:ascii="黑体" w:hAnsi="黑体" w:eastAsia="黑体"/>
                <w:b/>
                <w:color w:val="FFFFFF"/>
                <w:sz w:val="18"/>
              </w:rPr>
              <w:t>说明</w:t>
            </w:r>
          </w:p>
        </w:tc>
      </w:tr>
      <w:tr>
        <w:tc>
          <w:tcPr>
            <w:tcW w:type="dxa" w:w="1984"/>
            <w:shd w:fill="F2F7FB"/>
          </w:tcPr>
          <w:p>
            <w:pPr>
              <w:jc w:val="center"/>
            </w:pPr>
            <w:r/>
            <w:r>
              <w:rPr>
                <w:rFonts w:ascii="宋体" w:hAnsi="宋体" w:eastAsia="宋体"/>
                <w:b w:val="0"/>
                <w:sz w:val="18"/>
              </w:rPr>
              <w:t>RL算法</w:t>
            </w:r>
          </w:p>
        </w:tc>
        <w:tc>
          <w:tcPr>
            <w:tcW w:type="dxa" w:w="2551"/>
            <w:shd w:fill="F2F7FB"/>
          </w:tcPr>
          <w:p>
            <w:pPr>
              <w:jc w:val="center"/>
            </w:pPr>
            <w:r/>
            <w:r>
              <w:rPr>
                <w:rFonts w:ascii="宋体" w:hAnsi="宋体" w:eastAsia="宋体"/>
                <w:b w:val="0"/>
                <w:sz w:val="18"/>
              </w:rPr>
              <w:t>PPO (Stable-Baselines3)</w:t>
            </w:r>
          </w:p>
        </w:tc>
        <w:tc>
          <w:tcPr>
            <w:tcW w:type="dxa" w:w="3118"/>
            <w:shd w:fill="F2F7FB"/>
          </w:tcPr>
          <w:p>
            <w:pPr>
              <w:jc w:val="center"/>
            </w:pPr>
            <w:r/>
            <w:r>
              <w:rPr>
                <w:rFonts w:ascii="宋体" w:hAnsi="宋体" w:eastAsia="宋体"/>
                <w:b w:val="0"/>
                <w:sz w:val="18"/>
              </w:rPr>
              <w:t>主力调度策略</w:t>
            </w:r>
          </w:p>
        </w:tc>
      </w:tr>
      <w:tr>
        <w:tc>
          <w:tcPr>
            <w:tcW w:type="dxa" w:w="1984"/>
          </w:tcPr>
          <w:p>
            <w:pPr>
              <w:jc w:val="center"/>
            </w:pPr>
            <w:r/>
            <w:r>
              <w:rPr>
                <w:rFonts w:ascii="宋体" w:hAnsi="宋体" w:eastAsia="宋体"/>
                <w:b w:val="0"/>
                <w:sz w:val="18"/>
              </w:rPr>
              <w:t>策略网络架构</w:t>
            </w:r>
          </w:p>
        </w:tc>
        <w:tc>
          <w:tcPr>
            <w:tcW w:type="dxa" w:w="2551"/>
          </w:tcPr>
          <w:p>
            <w:pPr>
              <w:jc w:val="center"/>
            </w:pPr>
            <w:r/>
            <w:r>
              <w:rPr>
                <w:rFonts w:ascii="宋体" w:hAnsi="宋体" w:eastAsia="宋体"/>
                <w:b w:val="0"/>
                <w:sz w:val="18"/>
              </w:rPr>
              <w:t>256→128→64 (tanh)</w:t>
            </w:r>
          </w:p>
        </w:tc>
        <w:tc>
          <w:tcPr>
            <w:tcW w:type="dxa" w:w="3118"/>
          </w:tcPr>
          <w:p>
            <w:pPr>
              <w:jc w:val="center"/>
            </w:pPr>
            <w:r/>
            <w:r>
              <w:rPr>
                <w:rFonts w:ascii="宋体" w:hAnsi="宋体" w:eastAsia="宋体"/>
                <w:b w:val="0"/>
                <w:sz w:val="18"/>
              </w:rPr>
              <w:t>三层全连接</w:t>
            </w:r>
          </w:p>
        </w:tc>
      </w:tr>
      <w:tr>
        <w:tc>
          <w:tcPr>
            <w:tcW w:type="dxa" w:w="1984"/>
            <w:shd w:fill="F2F7FB"/>
          </w:tcPr>
          <w:p>
            <w:pPr>
              <w:jc w:val="center"/>
            </w:pPr>
            <w:r/>
            <w:r>
              <w:rPr>
                <w:rFonts w:ascii="宋体" w:hAnsi="宋体" w:eastAsia="宋体"/>
                <w:b w:val="0"/>
                <w:sz w:val="18"/>
              </w:rPr>
              <w:t>学习率</w:t>
            </w:r>
          </w:p>
        </w:tc>
        <w:tc>
          <w:tcPr>
            <w:tcW w:type="dxa" w:w="2551"/>
            <w:shd w:fill="F2F7FB"/>
          </w:tcPr>
          <w:p>
            <w:pPr>
              <w:jc w:val="center"/>
            </w:pPr>
            <w:r/>
            <w:r>
              <w:rPr>
                <w:rFonts w:ascii="宋体" w:hAnsi="宋体" w:eastAsia="宋体"/>
                <w:b w:val="0"/>
                <w:sz w:val="18"/>
              </w:rPr>
              <w:t>3e-4</w:t>
            </w:r>
          </w:p>
        </w:tc>
        <w:tc>
          <w:tcPr>
            <w:tcW w:type="dxa" w:w="3118"/>
            <w:shd w:fill="F2F7FB"/>
          </w:tcPr>
          <w:p>
            <w:pPr>
              <w:jc w:val="center"/>
            </w:pPr>
            <w:r/>
            <w:r>
              <w:rPr>
                <w:rFonts w:ascii="宋体" w:hAnsi="宋体" w:eastAsia="宋体"/>
                <w:b w:val="0"/>
                <w:sz w:val="18"/>
              </w:rPr>
              <w:t>Adam优化器</w:t>
            </w:r>
          </w:p>
        </w:tc>
      </w:tr>
      <w:tr>
        <w:tc>
          <w:tcPr>
            <w:tcW w:type="dxa" w:w="1984"/>
          </w:tcPr>
          <w:p>
            <w:pPr>
              <w:jc w:val="center"/>
            </w:pPr>
            <w:r/>
            <w:r>
              <w:rPr>
                <w:rFonts w:ascii="宋体" w:hAnsi="宋体" w:eastAsia="宋体"/>
                <w:b w:val="0"/>
                <w:sz w:val="18"/>
              </w:rPr>
              <w:t>Clip范围</w:t>
            </w:r>
          </w:p>
        </w:tc>
        <w:tc>
          <w:tcPr>
            <w:tcW w:type="dxa" w:w="2551"/>
          </w:tcPr>
          <w:p>
            <w:pPr>
              <w:jc w:val="center"/>
            </w:pPr>
            <w:r/>
            <w:r>
              <w:rPr>
                <w:rFonts w:ascii="宋体" w:hAnsi="宋体" w:eastAsia="宋体"/>
                <w:b w:val="0"/>
                <w:sz w:val="18"/>
              </w:rPr>
              <w:t>0.2</w:t>
            </w:r>
          </w:p>
        </w:tc>
        <w:tc>
          <w:tcPr>
            <w:tcW w:type="dxa" w:w="3118"/>
          </w:tcPr>
          <w:p>
            <w:pPr>
              <w:jc w:val="center"/>
            </w:pPr>
            <w:r/>
            <w:r>
              <w:rPr>
                <w:rFonts w:ascii="宋体" w:hAnsi="宋体" w:eastAsia="宋体"/>
                <w:b w:val="0"/>
                <w:sz w:val="18"/>
              </w:rPr>
              <w:t>PPO核心参数</w:t>
            </w:r>
          </w:p>
        </w:tc>
      </w:tr>
      <w:tr>
        <w:tc>
          <w:tcPr>
            <w:tcW w:type="dxa" w:w="1984"/>
            <w:shd w:fill="F2F7FB"/>
          </w:tcPr>
          <w:p>
            <w:pPr>
              <w:jc w:val="center"/>
            </w:pPr>
            <w:r/>
            <w:r>
              <w:rPr>
                <w:rFonts w:ascii="宋体" w:hAnsi="宋体" w:eastAsia="宋体"/>
                <w:b w:val="0"/>
                <w:sz w:val="18"/>
              </w:rPr>
              <w:t>GAE λ</w:t>
            </w:r>
          </w:p>
        </w:tc>
        <w:tc>
          <w:tcPr>
            <w:tcW w:type="dxa" w:w="2551"/>
            <w:shd w:fill="F2F7FB"/>
          </w:tcPr>
          <w:p>
            <w:pPr>
              <w:jc w:val="center"/>
            </w:pPr>
            <w:r/>
            <w:r>
              <w:rPr>
                <w:rFonts w:ascii="宋体" w:hAnsi="宋体" w:eastAsia="宋体"/>
                <w:b w:val="0"/>
                <w:sz w:val="18"/>
              </w:rPr>
              <w:t>0.95</w:t>
            </w:r>
          </w:p>
        </w:tc>
        <w:tc>
          <w:tcPr>
            <w:tcW w:type="dxa" w:w="3118"/>
            <w:shd w:fill="F2F7FB"/>
          </w:tcPr>
          <w:p>
            <w:pPr>
              <w:jc w:val="center"/>
            </w:pPr>
            <w:r/>
            <w:r>
              <w:rPr>
                <w:rFonts w:ascii="宋体" w:hAnsi="宋体" w:eastAsia="宋体"/>
                <w:b w:val="0"/>
                <w:sz w:val="18"/>
              </w:rPr>
              <w:t>广义优势估计</w:t>
            </w:r>
          </w:p>
        </w:tc>
      </w:tr>
      <w:tr>
        <w:tc>
          <w:tcPr>
            <w:tcW w:type="dxa" w:w="1984"/>
          </w:tcPr>
          <w:p>
            <w:pPr>
              <w:jc w:val="center"/>
            </w:pPr>
            <w:r/>
            <w:r>
              <w:rPr>
                <w:rFonts w:ascii="宋体" w:hAnsi="宋体" w:eastAsia="宋体"/>
                <w:b w:val="0"/>
                <w:sz w:val="18"/>
              </w:rPr>
              <w:t>折扣因子 γ</w:t>
            </w:r>
          </w:p>
        </w:tc>
        <w:tc>
          <w:tcPr>
            <w:tcW w:type="dxa" w:w="2551"/>
          </w:tcPr>
          <w:p>
            <w:pPr>
              <w:jc w:val="center"/>
            </w:pPr>
            <w:r/>
            <w:r>
              <w:rPr>
                <w:rFonts w:ascii="宋体" w:hAnsi="宋体" w:eastAsia="宋体"/>
                <w:b w:val="0"/>
                <w:sz w:val="18"/>
              </w:rPr>
              <w:t>0.99</w:t>
            </w:r>
          </w:p>
        </w:tc>
        <w:tc>
          <w:tcPr>
            <w:tcW w:type="dxa" w:w="3118"/>
          </w:tcPr>
          <w:p>
            <w:pPr>
              <w:jc w:val="center"/>
            </w:pPr>
            <w:r/>
            <w:r>
              <w:rPr>
                <w:rFonts w:ascii="宋体" w:hAnsi="宋体" w:eastAsia="宋体"/>
                <w:b w:val="0"/>
                <w:sz w:val="18"/>
              </w:rPr>
              <w:t>远期收益权重</w:t>
            </w:r>
          </w:p>
        </w:tc>
      </w:tr>
      <w:tr>
        <w:tc>
          <w:tcPr>
            <w:tcW w:type="dxa" w:w="1984"/>
            <w:shd w:fill="F2F7FB"/>
          </w:tcPr>
          <w:p>
            <w:pPr>
              <w:jc w:val="center"/>
            </w:pPr>
            <w:r/>
            <w:r>
              <w:rPr>
                <w:rFonts w:ascii="宋体" w:hAnsi="宋体" w:eastAsia="宋体"/>
                <w:b w:val="0"/>
                <w:sz w:val="18"/>
              </w:rPr>
              <w:t>每轮步数</w:t>
            </w:r>
          </w:p>
        </w:tc>
        <w:tc>
          <w:tcPr>
            <w:tcW w:type="dxa" w:w="2551"/>
            <w:shd w:fill="F2F7FB"/>
          </w:tcPr>
          <w:p>
            <w:pPr>
              <w:jc w:val="center"/>
            </w:pPr>
            <w:r/>
            <w:r>
              <w:rPr>
                <w:rFonts w:ascii="宋体" w:hAnsi="宋体" w:eastAsia="宋体"/>
                <w:b w:val="0"/>
                <w:sz w:val="18"/>
              </w:rPr>
              <w:t>1024</w:t>
            </w:r>
          </w:p>
        </w:tc>
        <w:tc>
          <w:tcPr>
            <w:tcW w:type="dxa" w:w="3118"/>
            <w:shd w:fill="F2F7FB"/>
          </w:tcPr>
          <w:p>
            <w:pPr>
              <w:jc w:val="center"/>
            </w:pPr>
            <w:r/>
            <w:r>
              <w:rPr>
                <w:rFonts w:ascii="宋体" w:hAnsi="宋体" w:eastAsia="宋体"/>
                <w:b w:val="0"/>
                <w:sz w:val="18"/>
              </w:rPr>
              <w:t>n_steps</w:t>
            </w:r>
          </w:p>
        </w:tc>
      </w:tr>
      <w:tr>
        <w:tc>
          <w:tcPr>
            <w:tcW w:type="dxa" w:w="1984"/>
          </w:tcPr>
          <w:p>
            <w:pPr>
              <w:jc w:val="center"/>
            </w:pPr>
            <w:r/>
            <w:r>
              <w:rPr>
                <w:rFonts w:ascii="宋体" w:hAnsi="宋体" w:eastAsia="宋体"/>
                <w:b w:val="0"/>
                <w:sz w:val="18"/>
              </w:rPr>
              <w:t>更新轮数</w:t>
            </w:r>
          </w:p>
        </w:tc>
        <w:tc>
          <w:tcPr>
            <w:tcW w:type="dxa" w:w="2551"/>
          </w:tcPr>
          <w:p>
            <w:pPr>
              <w:jc w:val="center"/>
            </w:pPr>
            <w:r/>
            <w:r>
              <w:rPr>
                <w:rFonts w:ascii="宋体" w:hAnsi="宋体" w:eastAsia="宋体"/>
                <w:b w:val="0"/>
                <w:sz w:val="18"/>
              </w:rPr>
              <w:t>4</w:t>
            </w:r>
          </w:p>
        </w:tc>
        <w:tc>
          <w:tcPr>
            <w:tcW w:type="dxa" w:w="3118"/>
          </w:tcPr>
          <w:p>
            <w:pPr>
              <w:jc w:val="center"/>
            </w:pPr>
            <w:r/>
            <w:r>
              <w:rPr>
                <w:rFonts w:ascii="宋体" w:hAnsi="宋体" w:eastAsia="宋体"/>
                <w:b w:val="0"/>
                <w:sz w:val="18"/>
              </w:rPr>
              <w:t>n_epochs</w:t>
            </w:r>
          </w:p>
        </w:tc>
      </w:tr>
      <w:tr>
        <w:tc>
          <w:tcPr>
            <w:tcW w:type="dxa" w:w="1984"/>
            <w:shd w:fill="F2F7FB"/>
          </w:tcPr>
          <w:p>
            <w:pPr>
              <w:jc w:val="center"/>
            </w:pPr>
            <w:r/>
            <w:r>
              <w:rPr>
                <w:rFonts w:ascii="宋体" w:hAnsi="宋体" w:eastAsia="宋体"/>
                <w:b w:val="0"/>
                <w:sz w:val="18"/>
              </w:rPr>
              <w:t>状态空间</w:t>
            </w:r>
          </w:p>
        </w:tc>
        <w:tc>
          <w:tcPr>
            <w:tcW w:type="dxa" w:w="2551"/>
            <w:shd w:fill="F2F7FB"/>
          </w:tcPr>
          <w:p>
            <w:pPr>
              <w:jc w:val="center"/>
            </w:pPr>
            <w:r/>
            <w:r>
              <w:rPr>
                <w:rFonts w:ascii="宋体" w:hAnsi="宋体" w:eastAsia="宋体"/>
                <w:b w:val="0"/>
                <w:sz w:val="18"/>
              </w:rPr>
              <w:t>14维</w:t>
            </w:r>
          </w:p>
        </w:tc>
        <w:tc>
          <w:tcPr>
            <w:tcW w:type="dxa" w:w="3118"/>
            <w:shd w:fill="F2F7FB"/>
          </w:tcPr>
          <w:p>
            <w:pPr>
              <w:jc w:val="center"/>
            </w:pPr>
            <w:r/>
            <w:r>
              <w:rPr>
                <w:rFonts w:ascii="宋体" w:hAnsi="宋体" w:eastAsia="宋体"/>
                <w:b w:val="0"/>
                <w:sz w:val="18"/>
              </w:rPr>
              <w:t>v6扩展</w:t>
            </w:r>
          </w:p>
        </w:tc>
      </w:tr>
      <w:tr>
        <w:tc>
          <w:tcPr>
            <w:tcW w:type="dxa" w:w="1984"/>
          </w:tcPr>
          <w:p>
            <w:pPr>
              <w:jc w:val="center"/>
            </w:pPr>
            <w:r/>
            <w:r>
              <w:rPr>
                <w:rFonts w:ascii="宋体" w:hAnsi="宋体" w:eastAsia="宋体"/>
                <w:b w:val="0"/>
                <w:sz w:val="18"/>
              </w:rPr>
              <w:t>动作空间</w:t>
            </w:r>
          </w:p>
        </w:tc>
        <w:tc>
          <w:tcPr>
            <w:tcW w:type="dxa" w:w="2551"/>
          </w:tcPr>
          <w:p>
            <w:pPr>
              <w:jc w:val="center"/>
            </w:pPr>
            <w:r/>
            <w:r>
              <w:rPr>
                <w:rFonts w:ascii="宋体" w:hAnsi="宋体" w:eastAsia="宋体"/>
                <w:b w:val="0"/>
                <w:sz w:val="18"/>
              </w:rPr>
              <w:t>3（经典/量子/混合）</w:t>
            </w:r>
          </w:p>
        </w:tc>
        <w:tc>
          <w:tcPr>
            <w:tcW w:type="dxa" w:w="3118"/>
          </w:tcPr>
          <w:p>
            <w:pPr>
              <w:jc w:val="center"/>
            </w:pPr>
            <w:r/>
            <w:r>
              <w:rPr>
                <w:rFonts w:ascii="宋体" w:hAnsi="宋体" w:eastAsia="宋体"/>
                <w:b w:val="0"/>
                <w:sz w:val="18"/>
              </w:rPr>
              <w:t>离散动作</w:t>
            </w:r>
          </w:p>
        </w:tc>
      </w:tr>
      <w:tr>
        <w:tc>
          <w:tcPr>
            <w:tcW w:type="dxa" w:w="1984"/>
            <w:shd w:fill="F2F7FB"/>
          </w:tcPr>
          <w:p>
            <w:pPr>
              <w:jc w:val="center"/>
            </w:pPr>
            <w:r/>
            <w:r>
              <w:rPr>
                <w:rFonts w:ascii="宋体" w:hAnsi="宋体" w:eastAsia="宋体"/>
                <w:b w:val="0"/>
                <w:sz w:val="18"/>
              </w:rPr>
              <w:t>退火模式</w:t>
            </w:r>
          </w:p>
        </w:tc>
        <w:tc>
          <w:tcPr>
            <w:tcW w:type="dxa" w:w="2551"/>
            <w:shd w:fill="F2F7FB"/>
          </w:tcPr>
          <w:p>
            <w:pPr>
              <w:jc w:val="center"/>
            </w:pPr>
            <w:r/>
            <w:r>
              <w:rPr>
                <w:rFonts w:ascii="宋体" w:hAnsi="宋体" w:eastAsia="宋体"/>
                <w:b w:val="0"/>
                <w:sz w:val="18"/>
              </w:rPr>
              <w:t>head_only</w:t>
            </w:r>
          </w:p>
        </w:tc>
        <w:tc>
          <w:tcPr>
            <w:tcW w:type="dxa" w:w="3118"/>
            <w:shd w:fill="F2F7FB"/>
          </w:tcPr>
          <w:p>
            <w:pPr>
              <w:jc w:val="center"/>
            </w:pPr>
            <w:r/>
            <w:r>
              <w:rPr>
                <w:rFonts w:ascii="宋体" w:hAnsi="宋体" w:eastAsia="宋体"/>
                <w:b w:val="0"/>
                <w:sz w:val="18"/>
              </w:rPr>
              <w:t>仅优化输出层</w:t>
            </w:r>
          </w:p>
        </w:tc>
      </w:tr>
      <w:tr>
        <w:tc>
          <w:tcPr>
            <w:tcW w:type="dxa" w:w="1984"/>
          </w:tcPr>
          <w:p>
            <w:pPr>
              <w:jc w:val="center"/>
            </w:pPr>
            <w:r/>
            <w:r>
              <w:rPr>
                <w:rFonts w:ascii="宋体" w:hAnsi="宋体" w:eastAsia="宋体"/>
                <w:b w:val="0"/>
                <w:sz w:val="18"/>
              </w:rPr>
              <w:t>退火间隔</w:t>
            </w:r>
          </w:p>
        </w:tc>
        <w:tc>
          <w:tcPr>
            <w:tcW w:type="dxa" w:w="2551"/>
          </w:tcPr>
          <w:p>
            <w:pPr>
              <w:jc w:val="center"/>
            </w:pPr>
            <w:r/>
            <w:r>
              <w:rPr>
                <w:rFonts w:ascii="宋体" w:hAnsi="宋体" w:eastAsia="宋体"/>
                <w:b w:val="0"/>
                <w:sz w:val="18"/>
              </w:rPr>
              <w:t>频率自适应</w:t>
            </w:r>
          </w:p>
        </w:tc>
        <w:tc>
          <w:tcPr>
            <w:tcW w:type="dxa" w:w="3118"/>
          </w:tcPr>
          <w:p>
            <w:pPr>
              <w:jc w:val="center"/>
            </w:pPr>
            <w:r/>
            <w:r>
              <w:rPr>
                <w:rFonts w:ascii="宋体" w:hAnsi="宋体" w:eastAsia="宋体"/>
                <w:b w:val="0"/>
                <w:sz w:val="18"/>
              </w:rPr>
              <w:t>动态调整</w:t>
            </w:r>
          </w:p>
        </w:tc>
      </w:tr>
      <w:tr>
        <w:tc>
          <w:tcPr>
            <w:tcW w:type="dxa" w:w="1984"/>
            <w:shd w:fill="F2F7FB"/>
          </w:tcPr>
          <w:p>
            <w:pPr>
              <w:jc w:val="center"/>
            </w:pPr>
            <w:r/>
            <w:r>
              <w:rPr>
                <w:rFonts w:ascii="宋体" w:hAnsi="宋体" w:eastAsia="宋体"/>
                <w:b w:val="0"/>
                <w:sz w:val="18"/>
              </w:rPr>
              <w:t>熔断器阈值</w:t>
            </w:r>
          </w:p>
        </w:tc>
        <w:tc>
          <w:tcPr>
            <w:tcW w:type="dxa" w:w="2551"/>
            <w:shd w:fill="F2F7FB"/>
          </w:tcPr>
          <w:p>
            <w:pPr>
              <w:jc w:val="center"/>
            </w:pPr>
            <w:r/>
            <w:r>
              <w:rPr>
                <w:rFonts w:ascii="宋体" w:hAnsi="宋体" w:eastAsia="宋体"/>
                <w:b w:val="0"/>
                <w:sz w:val="18"/>
              </w:rPr>
              <w:t>5次失败 / 60s恢复</w:t>
            </w:r>
          </w:p>
        </w:tc>
        <w:tc>
          <w:tcPr>
            <w:tcW w:type="dxa" w:w="3118"/>
            <w:shd w:fill="F2F7FB"/>
          </w:tcPr>
          <w:p>
            <w:pPr>
              <w:jc w:val="center"/>
            </w:pPr>
            <w:r/>
            <w:r>
              <w:rPr>
                <w:rFonts w:ascii="宋体" w:hAnsi="宋体" w:eastAsia="宋体"/>
                <w:b w:val="0"/>
                <w:sz w:val="18"/>
              </w:rPr>
              <w:t>CircuitBreaker</w:t>
            </w:r>
          </w:p>
        </w:tc>
      </w:tr>
      <w:tr>
        <w:tc>
          <w:tcPr>
            <w:tcW w:type="dxa" w:w="1984"/>
          </w:tcPr>
          <w:p>
            <w:pPr>
              <w:jc w:val="center"/>
            </w:pPr>
            <w:r/>
            <w:r>
              <w:rPr>
                <w:rFonts w:ascii="宋体" w:hAnsi="宋体" w:eastAsia="宋体"/>
                <w:b w:val="0"/>
                <w:sz w:val="18"/>
              </w:rPr>
              <w:t>指数退避</w:t>
            </w:r>
          </w:p>
        </w:tc>
        <w:tc>
          <w:tcPr>
            <w:tcW w:type="dxa" w:w="2551"/>
          </w:tcPr>
          <w:p>
            <w:pPr>
              <w:jc w:val="center"/>
            </w:pPr>
            <w:r/>
            <w:r>
              <w:rPr>
                <w:rFonts w:ascii="宋体" w:hAnsi="宋体" w:eastAsia="宋体"/>
                <w:b w:val="0"/>
                <w:sz w:val="18"/>
              </w:rPr>
              <w:t>3次 / 因子2.0 / 初始1s</w:t>
            </w:r>
          </w:p>
        </w:tc>
        <w:tc>
          <w:tcPr>
            <w:tcW w:type="dxa" w:w="3118"/>
          </w:tcPr>
          <w:p>
            <w:pPr>
              <w:jc w:val="center"/>
            </w:pPr>
            <w:r/>
            <w:r>
              <w:rPr>
                <w:rFonts w:ascii="宋体" w:hAnsi="宋体" w:eastAsia="宋体"/>
                <w:b w:val="0"/>
                <w:sz w:val="18"/>
              </w:rPr>
              <w:t>重试策略</w:t>
            </w:r>
          </w:p>
        </w:tc>
      </w:tr>
    </w:tbl>
    <w:p/>
    <w:p>
      <w:pPr>
        <w:pStyle w:val="Heading1"/>
      </w:pPr>
      <w:r>
        <w:rPr>
          <w:rFonts w:ascii="黑体" w:hAnsi="黑体" w:eastAsia="黑体"/>
        </w:rPr>
        <w:t>附录B  环境常量定义</w:t>
      </w:r>
    </w:p>
    <w:tbl>
      <w:tblPr>
        <w:tblStyle w:val="TableGrid"/>
        <w:tblW w:type="auto" w:w="0"/>
        <w:jc w:val="center"/>
        <w:tblLook w:firstColumn="1" w:firstRow="1" w:lastColumn="0" w:lastRow="0" w:noHBand="0" w:noVBand="1" w:val="04A0"/>
      </w:tblPr>
      <w:tblGrid>
        <w:gridCol w:w="2882"/>
        <w:gridCol w:w="2882"/>
        <w:gridCol w:w="2882"/>
      </w:tblGrid>
      <w:tr>
        <w:tc>
          <w:tcPr>
            <w:tcW w:type="dxa" w:w="1984"/>
            <w:shd w:fill="1F4E79"/>
          </w:tcPr>
          <w:p>
            <w:pPr>
              <w:jc w:val="center"/>
            </w:pPr>
            <w:r>
              <w:rPr>
                <w:color w:val="FFFFFF"/>
              </w:rPr>
            </w:r>
            <w:r>
              <w:rPr>
                <w:rFonts w:ascii="黑体" w:hAnsi="黑体" w:eastAsia="黑体"/>
                <w:b/>
                <w:color w:val="FFFFFF"/>
                <w:sz w:val="18"/>
              </w:rPr>
              <w:t>常量</w:t>
            </w:r>
          </w:p>
        </w:tc>
        <w:tc>
          <w:tcPr>
            <w:tcW w:type="dxa" w:w="1984"/>
            <w:shd w:fill="1F4E79"/>
          </w:tcPr>
          <w:p>
            <w:pPr>
              <w:jc w:val="center"/>
            </w:pPr>
            <w:r>
              <w:rPr>
                <w:color w:val="FFFFFF"/>
              </w:rPr>
            </w:r>
            <w:r>
              <w:rPr>
                <w:rFonts w:ascii="黑体" w:hAnsi="黑体" w:eastAsia="黑体"/>
                <w:b/>
                <w:color w:val="FFFFFF"/>
                <w:sz w:val="18"/>
              </w:rPr>
              <w:t>值</w:t>
            </w:r>
          </w:p>
        </w:tc>
        <w:tc>
          <w:tcPr>
            <w:tcW w:type="dxa" w:w="3685"/>
            <w:shd w:fill="1F4E79"/>
          </w:tcPr>
          <w:p>
            <w:pPr>
              <w:jc w:val="center"/>
            </w:pPr>
            <w:r>
              <w:rPr>
                <w:color w:val="FFFFFF"/>
              </w:rPr>
            </w:r>
            <w:r>
              <w:rPr>
                <w:rFonts w:ascii="黑体" w:hAnsi="黑体" w:eastAsia="黑体"/>
                <w:b/>
                <w:color w:val="FFFFFF"/>
                <w:sz w:val="18"/>
              </w:rPr>
              <w:t>说明</w:t>
            </w:r>
          </w:p>
        </w:tc>
      </w:tr>
      <w:tr>
        <w:tc>
          <w:tcPr>
            <w:tcW w:type="dxa" w:w="1984"/>
            <w:shd w:fill="F2F7FB"/>
          </w:tcPr>
          <w:p>
            <w:pPr>
              <w:jc w:val="center"/>
            </w:pPr>
            <w:r/>
            <w:r>
              <w:rPr>
                <w:rFonts w:ascii="宋体" w:hAnsi="宋体" w:eastAsia="宋体"/>
                <w:b w:val="0"/>
                <w:sz w:val="18"/>
              </w:rPr>
              <w:t>MAX_QUEUE_SIZE</w:t>
            </w:r>
          </w:p>
        </w:tc>
        <w:tc>
          <w:tcPr>
            <w:tcW w:type="dxa" w:w="1984"/>
            <w:shd w:fill="F2F7FB"/>
          </w:tcPr>
          <w:p>
            <w:pPr>
              <w:jc w:val="center"/>
            </w:pPr>
            <w:r/>
            <w:r>
              <w:rPr>
                <w:rFonts w:ascii="宋体" w:hAnsi="宋体" w:eastAsia="宋体"/>
                <w:b w:val="0"/>
                <w:sz w:val="18"/>
              </w:rPr>
              <w:t>100</w:t>
            </w:r>
          </w:p>
        </w:tc>
        <w:tc>
          <w:tcPr>
            <w:tcW w:type="dxa" w:w="3685"/>
            <w:shd w:fill="F2F7FB"/>
          </w:tcPr>
          <w:p>
            <w:pPr>
              <w:jc w:val="center"/>
            </w:pPr>
            <w:r/>
            <w:r>
              <w:rPr>
                <w:rFonts w:ascii="宋体" w:hAnsi="宋体" w:eastAsia="宋体"/>
                <w:b w:val="0"/>
                <w:sz w:val="18"/>
              </w:rPr>
              <w:t>单队列最大长度</w:t>
            </w:r>
          </w:p>
        </w:tc>
      </w:tr>
      <w:tr>
        <w:tc>
          <w:tcPr>
            <w:tcW w:type="dxa" w:w="1984"/>
          </w:tcPr>
          <w:p>
            <w:pPr>
              <w:jc w:val="center"/>
            </w:pPr>
            <w:r/>
            <w:r>
              <w:rPr>
                <w:rFonts w:ascii="宋体" w:hAnsi="宋体" w:eastAsia="宋体"/>
                <w:b w:val="0"/>
                <w:sz w:val="18"/>
              </w:rPr>
              <w:t>MAX_STEPS</w:t>
            </w:r>
          </w:p>
        </w:tc>
        <w:tc>
          <w:tcPr>
            <w:tcW w:type="dxa" w:w="1984"/>
          </w:tcPr>
          <w:p>
            <w:pPr>
              <w:jc w:val="center"/>
            </w:pPr>
            <w:r/>
            <w:r>
              <w:rPr>
                <w:rFonts w:ascii="宋体" w:hAnsi="宋体" w:eastAsia="宋体"/>
                <w:b w:val="0"/>
                <w:sz w:val="18"/>
              </w:rPr>
              <w:t>200</w:t>
            </w:r>
          </w:p>
        </w:tc>
        <w:tc>
          <w:tcPr>
            <w:tcW w:type="dxa" w:w="3685"/>
          </w:tcPr>
          <w:p>
            <w:pPr>
              <w:jc w:val="center"/>
            </w:pPr>
            <w:r/>
            <w:r>
              <w:rPr>
                <w:rFonts w:ascii="宋体" w:hAnsi="宋体" w:eastAsia="宋体"/>
                <w:b w:val="0"/>
                <w:sz w:val="18"/>
              </w:rPr>
              <w:t>每episode最大步数</w:t>
            </w:r>
          </w:p>
        </w:tc>
      </w:tr>
      <w:tr>
        <w:tc>
          <w:tcPr>
            <w:tcW w:type="dxa" w:w="1984"/>
            <w:shd w:fill="F2F7FB"/>
          </w:tcPr>
          <w:p>
            <w:pPr>
              <w:jc w:val="center"/>
            </w:pPr>
            <w:r/>
            <w:r>
              <w:rPr>
                <w:rFonts w:ascii="宋体" w:hAnsi="宋体" w:eastAsia="宋体"/>
                <w:b w:val="0"/>
                <w:sz w:val="18"/>
              </w:rPr>
              <w:t>QUANTUM_REWARD</w:t>
            </w:r>
          </w:p>
        </w:tc>
        <w:tc>
          <w:tcPr>
            <w:tcW w:type="dxa" w:w="1984"/>
            <w:shd w:fill="F2F7FB"/>
          </w:tcPr>
          <w:p>
            <w:pPr>
              <w:jc w:val="center"/>
            </w:pPr>
            <w:r/>
            <w:r>
              <w:rPr>
                <w:rFonts w:ascii="宋体" w:hAnsi="宋体" w:eastAsia="宋体"/>
                <w:b w:val="0"/>
                <w:sz w:val="18"/>
              </w:rPr>
              <w:t>10.0</w:t>
            </w:r>
          </w:p>
        </w:tc>
        <w:tc>
          <w:tcPr>
            <w:tcW w:type="dxa" w:w="3685"/>
            <w:shd w:fill="F2F7FB"/>
          </w:tcPr>
          <w:p>
            <w:pPr>
              <w:jc w:val="center"/>
            </w:pPr>
            <w:r/>
            <w:r>
              <w:rPr>
                <w:rFonts w:ascii="宋体" w:hAnsi="宋体" w:eastAsia="宋体"/>
                <w:b w:val="0"/>
                <w:sz w:val="18"/>
              </w:rPr>
              <w:t>量子执行基础奖励</w:t>
            </w:r>
          </w:p>
        </w:tc>
      </w:tr>
      <w:tr>
        <w:tc>
          <w:tcPr>
            <w:tcW w:type="dxa" w:w="1984"/>
          </w:tcPr>
          <w:p>
            <w:pPr>
              <w:jc w:val="center"/>
            </w:pPr>
            <w:r/>
            <w:r>
              <w:rPr>
                <w:rFonts w:ascii="宋体" w:hAnsi="宋体" w:eastAsia="宋体"/>
                <w:b w:val="0"/>
                <w:sz w:val="18"/>
              </w:rPr>
              <w:t>CLASSICAL_REWARD</w:t>
            </w:r>
          </w:p>
        </w:tc>
        <w:tc>
          <w:tcPr>
            <w:tcW w:type="dxa" w:w="1984"/>
          </w:tcPr>
          <w:p>
            <w:pPr>
              <w:jc w:val="center"/>
            </w:pPr>
            <w:r/>
            <w:r>
              <w:rPr>
                <w:rFonts w:ascii="宋体" w:hAnsi="宋体" w:eastAsia="宋体"/>
                <w:b w:val="0"/>
                <w:sz w:val="18"/>
              </w:rPr>
              <w:t>5.0</w:t>
            </w:r>
          </w:p>
        </w:tc>
        <w:tc>
          <w:tcPr>
            <w:tcW w:type="dxa" w:w="3685"/>
          </w:tcPr>
          <w:p>
            <w:pPr>
              <w:jc w:val="center"/>
            </w:pPr>
            <w:r/>
            <w:r>
              <w:rPr>
                <w:rFonts w:ascii="宋体" w:hAnsi="宋体" w:eastAsia="宋体"/>
                <w:b w:val="0"/>
                <w:sz w:val="18"/>
              </w:rPr>
              <w:t>经典执行基础奖励</w:t>
            </w:r>
          </w:p>
        </w:tc>
      </w:tr>
      <w:tr>
        <w:tc>
          <w:tcPr>
            <w:tcW w:type="dxa" w:w="1984"/>
            <w:shd w:fill="F2F7FB"/>
          </w:tcPr>
          <w:p>
            <w:pPr>
              <w:jc w:val="center"/>
            </w:pPr>
            <w:r/>
            <w:r>
              <w:rPr>
                <w:rFonts w:ascii="宋体" w:hAnsi="宋体" w:eastAsia="宋体"/>
                <w:b w:val="0"/>
                <w:sz w:val="18"/>
              </w:rPr>
              <w:t>HYBRID_REWARD</w:t>
            </w:r>
          </w:p>
        </w:tc>
        <w:tc>
          <w:tcPr>
            <w:tcW w:type="dxa" w:w="1984"/>
            <w:shd w:fill="F2F7FB"/>
          </w:tcPr>
          <w:p>
            <w:pPr>
              <w:jc w:val="center"/>
            </w:pPr>
            <w:r/>
            <w:r>
              <w:rPr>
                <w:rFonts w:ascii="宋体" w:hAnsi="宋体" w:eastAsia="宋体"/>
                <w:b w:val="0"/>
                <w:sz w:val="18"/>
              </w:rPr>
              <w:t>7.0</w:t>
            </w:r>
          </w:p>
        </w:tc>
        <w:tc>
          <w:tcPr>
            <w:tcW w:type="dxa" w:w="3685"/>
            <w:shd w:fill="F2F7FB"/>
          </w:tcPr>
          <w:p>
            <w:pPr>
              <w:jc w:val="center"/>
            </w:pPr>
            <w:r/>
            <w:r>
              <w:rPr>
                <w:rFonts w:ascii="宋体" w:hAnsi="宋体" w:eastAsia="宋体"/>
                <w:b w:val="0"/>
                <w:sz w:val="18"/>
              </w:rPr>
              <w:t>混合执行基础奖励</w:t>
            </w:r>
          </w:p>
        </w:tc>
      </w:tr>
      <w:tr>
        <w:tc>
          <w:tcPr>
            <w:tcW w:type="dxa" w:w="1984"/>
          </w:tcPr>
          <w:p>
            <w:pPr>
              <w:jc w:val="center"/>
            </w:pPr>
            <w:r/>
            <w:r>
              <w:rPr>
                <w:rFonts w:ascii="宋体" w:hAnsi="宋体" w:eastAsia="宋体"/>
                <w:b w:val="0"/>
                <w:sz w:val="18"/>
              </w:rPr>
              <w:t>MISMATCH_PENALTY</w:t>
            </w:r>
          </w:p>
        </w:tc>
        <w:tc>
          <w:tcPr>
            <w:tcW w:type="dxa" w:w="1984"/>
          </w:tcPr>
          <w:p>
            <w:pPr>
              <w:jc w:val="center"/>
            </w:pPr>
            <w:r/>
            <w:r>
              <w:rPr>
                <w:rFonts w:ascii="宋体" w:hAnsi="宋体" w:eastAsia="宋体"/>
                <w:b w:val="0"/>
                <w:sz w:val="18"/>
              </w:rPr>
              <w:t>-2.0</w:t>
            </w:r>
          </w:p>
        </w:tc>
        <w:tc>
          <w:tcPr>
            <w:tcW w:type="dxa" w:w="3685"/>
          </w:tcPr>
          <w:p>
            <w:pPr>
              <w:jc w:val="center"/>
            </w:pPr>
            <w:r/>
            <w:r>
              <w:rPr>
                <w:rFonts w:ascii="宋体" w:hAnsi="宋体" w:eastAsia="宋体"/>
                <w:b w:val="0"/>
                <w:sz w:val="18"/>
              </w:rPr>
              <w:t>资源错配惩罚</w:t>
            </w:r>
          </w:p>
        </w:tc>
      </w:tr>
      <w:tr>
        <w:tc>
          <w:tcPr>
            <w:tcW w:type="dxa" w:w="1984"/>
            <w:shd w:fill="F2F7FB"/>
          </w:tcPr>
          <w:p>
            <w:pPr>
              <w:jc w:val="center"/>
            </w:pPr>
            <w:r/>
            <w:r>
              <w:rPr>
                <w:rFonts w:ascii="宋体" w:hAnsi="宋体" w:eastAsia="宋体"/>
                <w:b w:val="0"/>
                <w:sz w:val="18"/>
              </w:rPr>
              <w:t>IDLE_PENALTY</w:t>
            </w:r>
          </w:p>
        </w:tc>
        <w:tc>
          <w:tcPr>
            <w:tcW w:type="dxa" w:w="1984"/>
            <w:shd w:fill="F2F7FB"/>
          </w:tcPr>
          <w:p>
            <w:pPr>
              <w:jc w:val="center"/>
            </w:pPr>
            <w:r/>
            <w:r>
              <w:rPr>
                <w:rFonts w:ascii="宋体" w:hAnsi="宋体" w:eastAsia="宋体"/>
                <w:b w:val="0"/>
                <w:sz w:val="18"/>
              </w:rPr>
              <w:t>-1.0</w:t>
            </w:r>
          </w:p>
        </w:tc>
        <w:tc>
          <w:tcPr>
            <w:tcW w:type="dxa" w:w="3685"/>
            <w:shd w:fill="F2F7FB"/>
          </w:tcPr>
          <w:p>
            <w:pPr>
              <w:jc w:val="center"/>
            </w:pPr>
            <w:r/>
            <w:r>
              <w:rPr>
                <w:rFonts w:ascii="宋体" w:hAnsi="宋体" w:eastAsia="宋体"/>
                <w:b w:val="0"/>
                <w:sz w:val="18"/>
              </w:rPr>
              <w:t>量子闲置惩罚</w:t>
            </w:r>
          </w:p>
        </w:tc>
      </w:tr>
      <w:tr>
        <w:tc>
          <w:tcPr>
            <w:tcW w:type="dxa" w:w="1984"/>
          </w:tcPr>
          <w:p>
            <w:pPr>
              <w:jc w:val="center"/>
            </w:pPr>
            <w:r/>
            <w:r>
              <w:rPr>
                <w:rFonts w:ascii="宋体" w:hAnsi="宋体" w:eastAsia="宋体"/>
                <w:b w:val="0"/>
                <w:sz w:val="18"/>
              </w:rPr>
              <w:t>WAIT_PENALTY</w:t>
            </w:r>
          </w:p>
        </w:tc>
        <w:tc>
          <w:tcPr>
            <w:tcW w:type="dxa" w:w="1984"/>
          </w:tcPr>
          <w:p>
            <w:pPr>
              <w:jc w:val="center"/>
            </w:pPr>
            <w:r/>
            <w:r>
              <w:rPr>
                <w:rFonts w:ascii="宋体" w:hAnsi="宋体" w:eastAsia="宋体"/>
                <w:b w:val="0"/>
                <w:sz w:val="18"/>
              </w:rPr>
              <w:t>-0.02/步</w:t>
            </w:r>
          </w:p>
        </w:tc>
        <w:tc>
          <w:tcPr>
            <w:tcW w:type="dxa" w:w="3685"/>
          </w:tcPr>
          <w:p>
            <w:pPr>
              <w:jc w:val="center"/>
            </w:pPr>
            <w:r/>
            <w:r>
              <w:rPr>
                <w:rFonts w:ascii="宋体" w:hAnsi="宋体" w:eastAsia="宋体"/>
                <w:b w:val="0"/>
                <w:sz w:val="18"/>
              </w:rPr>
              <w:t>超额等待惩罚</w:t>
            </w:r>
          </w:p>
        </w:tc>
      </w:tr>
      <w:tr>
        <w:tc>
          <w:tcPr>
            <w:tcW w:type="dxa" w:w="1984"/>
            <w:shd w:fill="F2F7FB"/>
          </w:tcPr>
          <w:p>
            <w:pPr>
              <w:jc w:val="center"/>
            </w:pPr>
            <w:r/>
            <w:r>
              <w:rPr>
                <w:rFonts w:ascii="宋体" w:hAnsi="宋体" w:eastAsia="宋体"/>
                <w:b w:val="0"/>
                <w:sz w:val="18"/>
              </w:rPr>
              <w:t>WAIT_THRESHOLD</w:t>
            </w:r>
          </w:p>
        </w:tc>
        <w:tc>
          <w:tcPr>
            <w:tcW w:type="dxa" w:w="1984"/>
            <w:shd w:fill="F2F7FB"/>
          </w:tcPr>
          <w:p>
            <w:pPr>
              <w:jc w:val="center"/>
            </w:pPr>
            <w:r/>
            <w:r>
              <w:rPr>
                <w:rFonts w:ascii="宋体" w:hAnsi="宋体" w:eastAsia="宋体"/>
                <w:b w:val="0"/>
                <w:sz w:val="18"/>
              </w:rPr>
              <w:t>50步</w:t>
            </w:r>
          </w:p>
        </w:tc>
        <w:tc>
          <w:tcPr>
            <w:tcW w:type="dxa" w:w="3685"/>
            <w:shd w:fill="F2F7FB"/>
          </w:tcPr>
          <w:p>
            <w:pPr>
              <w:jc w:val="center"/>
            </w:pPr>
            <w:r/>
            <w:r>
              <w:rPr>
                <w:rFonts w:ascii="宋体" w:hAnsi="宋体" w:eastAsia="宋体"/>
                <w:b w:val="0"/>
                <w:sz w:val="18"/>
              </w:rPr>
              <w:t>等待惩罚触发阈值</w:t>
            </w:r>
          </w:p>
        </w:tc>
      </w:tr>
      <w:tr>
        <w:tc>
          <w:tcPr>
            <w:tcW w:type="dxa" w:w="1984"/>
          </w:tcPr>
          <w:p>
            <w:pPr>
              <w:jc w:val="center"/>
            </w:pPr>
            <w:r/>
            <w:r>
              <w:rPr>
                <w:rFonts w:ascii="宋体" w:hAnsi="宋体" w:eastAsia="宋体"/>
                <w:b w:val="0"/>
                <w:sz w:val="18"/>
              </w:rPr>
              <w:t>IDLE_THRESHOLD</w:t>
            </w:r>
          </w:p>
        </w:tc>
        <w:tc>
          <w:tcPr>
            <w:tcW w:type="dxa" w:w="1984"/>
          </w:tcPr>
          <w:p>
            <w:pPr>
              <w:jc w:val="center"/>
            </w:pPr>
            <w:r/>
            <w:r>
              <w:rPr>
                <w:rFonts w:ascii="宋体" w:hAnsi="宋体" w:eastAsia="宋体"/>
                <w:b w:val="0"/>
                <w:sz w:val="18"/>
              </w:rPr>
              <w:t>10步</w:t>
            </w:r>
          </w:p>
        </w:tc>
        <w:tc>
          <w:tcPr>
            <w:tcW w:type="dxa" w:w="3685"/>
          </w:tcPr>
          <w:p>
            <w:pPr>
              <w:jc w:val="center"/>
            </w:pPr>
            <w:r/>
            <w:r>
              <w:rPr>
                <w:rFonts w:ascii="宋体" w:hAnsi="宋体" w:eastAsia="宋体"/>
                <w:b w:val="0"/>
                <w:sz w:val="18"/>
              </w:rPr>
              <w:t>闲置惩罚触发阈值</w:t>
            </w:r>
          </w:p>
        </w:tc>
      </w:tr>
      <w:tr>
        <w:tc>
          <w:tcPr>
            <w:tcW w:type="dxa" w:w="1984"/>
            <w:shd w:fill="F2F7FB"/>
          </w:tcPr>
          <w:p>
            <w:pPr>
              <w:jc w:val="center"/>
            </w:pPr>
            <w:r/>
            <w:r>
              <w:rPr>
                <w:rFonts w:ascii="宋体" w:hAnsi="宋体" w:eastAsia="宋体"/>
                <w:b w:val="0"/>
                <w:sz w:val="18"/>
              </w:rPr>
              <w:t>POISSON_LAMBDA</w:t>
            </w:r>
          </w:p>
        </w:tc>
        <w:tc>
          <w:tcPr>
            <w:tcW w:type="dxa" w:w="1984"/>
            <w:shd w:fill="F2F7FB"/>
          </w:tcPr>
          <w:p>
            <w:pPr>
              <w:jc w:val="center"/>
            </w:pPr>
            <w:r/>
            <w:r>
              <w:rPr>
                <w:rFonts w:ascii="宋体" w:hAnsi="宋体" w:eastAsia="宋体"/>
                <w:b w:val="0"/>
                <w:sz w:val="18"/>
              </w:rPr>
              <w:t>0.5</w:t>
            </w:r>
          </w:p>
        </w:tc>
        <w:tc>
          <w:tcPr>
            <w:tcW w:type="dxa" w:w="3685"/>
            <w:shd w:fill="F2F7FB"/>
          </w:tcPr>
          <w:p>
            <w:pPr>
              <w:jc w:val="center"/>
            </w:pPr>
            <w:r/>
            <w:r>
              <w:rPr>
                <w:rFonts w:ascii="宋体" w:hAnsi="宋体" w:eastAsia="宋体"/>
                <w:b w:val="0"/>
                <w:sz w:val="18"/>
              </w:rPr>
              <w:t>任务到达率</w:t>
            </w:r>
          </w:p>
        </w:tc>
      </w:tr>
      <w:tr>
        <w:tc>
          <w:tcPr>
            <w:tcW w:type="dxa" w:w="1984"/>
          </w:tcPr>
          <w:p>
            <w:pPr>
              <w:jc w:val="center"/>
            </w:pPr>
            <w:r/>
            <w:r>
              <w:rPr>
                <w:rFonts w:ascii="宋体" w:hAnsi="宋体" w:eastAsia="宋体"/>
                <w:b w:val="0"/>
                <w:sz w:val="18"/>
              </w:rPr>
              <w:t>NUM_MACHINES</w:t>
            </w:r>
          </w:p>
        </w:tc>
        <w:tc>
          <w:tcPr>
            <w:tcW w:type="dxa" w:w="1984"/>
          </w:tcPr>
          <w:p>
            <w:pPr>
              <w:jc w:val="center"/>
            </w:pPr>
            <w:r/>
            <w:r>
              <w:rPr>
                <w:rFonts w:ascii="宋体" w:hAnsi="宋体" w:eastAsia="宋体"/>
                <w:b w:val="0"/>
                <w:sz w:val="18"/>
              </w:rPr>
              <w:t>3</w:t>
            </w:r>
          </w:p>
        </w:tc>
        <w:tc>
          <w:tcPr>
            <w:tcW w:type="dxa" w:w="3685"/>
          </w:tcPr>
          <w:p>
            <w:pPr>
              <w:jc w:val="center"/>
            </w:pPr>
            <w:r/>
            <w:r>
              <w:rPr>
                <w:rFonts w:ascii="宋体" w:hAnsi="宋体" w:eastAsia="宋体"/>
                <w:b w:val="0"/>
                <w:sz w:val="18"/>
              </w:rPr>
              <w:t>量子计算机数量</w:t>
            </w:r>
          </w:p>
        </w:tc>
      </w:tr>
    </w:tbl>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