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ABI-SNP Analyzer v1.1.0 — User Manual</w:t>
      </w:r>
    </w:p>
    <w:bookmarkStart w:id="35" w:name="abi-snp-analyzer-v1.1.0-user-manual"/>
    <w:p>
      <w:pPr>
        <w:pStyle w:val="Heading1"/>
      </w:pPr>
      <w:r>
        <w:t xml:space="preserve">ABI-SNP Analyzer v1.1.0 — User Manual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de1928ab8fe6d6f353e34daf374602129b0c055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X58caf02a89ec98afd08c94101610b3f35c15fcc">
        <w:r>
          <w:rPr>
            <w:rStyle w:val="Hyperlink"/>
          </w:rPr>
          <w:t xml:space="preserve">Installation &amp; Launch</w:t>
        </w:r>
      </w:hyperlink>
    </w:p>
    <w:p>
      <w:pPr>
        <w:pStyle w:val="Compact"/>
        <w:numPr>
          <w:ilvl w:val="0"/>
          <w:numId w:val="1001"/>
        </w:numPr>
      </w:pPr>
      <w:hyperlink w:anchor="X6eb1e5168088f6507a79ea1d24929210113d238">
        <w:r>
          <w:rPr>
            <w:rStyle w:val="Hyperlink"/>
          </w:rPr>
          <w:t xml:space="preserve">GUI Layout</w:t>
        </w:r>
      </w:hyperlink>
    </w:p>
    <w:p>
      <w:pPr>
        <w:pStyle w:val="Compact"/>
        <w:numPr>
          <w:ilvl w:val="0"/>
          <w:numId w:val="1001"/>
        </w:numPr>
      </w:pPr>
      <w:hyperlink w:anchor="Xe3aad6be23274075b6c331d4d7d3167f1b57b76">
        <w:r>
          <w:rPr>
            <w:rStyle w:val="Hyperlink"/>
          </w:rPr>
          <w:t xml:space="preserve">Parameter Reference</w:t>
        </w:r>
      </w:hyperlink>
    </w:p>
    <w:p>
      <w:pPr>
        <w:pStyle w:val="Compact"/>
        <w:numPr>
          <w:ilvl w:val="0"/>
          <w:numId w:val="1001"/>
        </w:numPr>
      </w:pPr>
      <w:hyperlink w:anchor="X4c82fdbd542600fab5dfb4eb5363525f008459b">
        <w:r>
          <w:rPr>
            <w:rStyle w:val="Hyperlink"/>
          </w:rPr>
          <w:t xml:space="preserve">Workflow</w:t>
        </w:r>
      </w:hyperlink>
    </w:p>
    <w:p>
      <w:pPr>
        <w:pStyle w:val="Compact"/>
        <w:numPr>
          <w:ilvl w:val="0"/>
          <w:numId w:val="1001"/>
        </w:numPr>
      </w:pPr>
      <w:hyperlink w:anchor="Xa0480eef8df0caca255125ac6b11a4b4a690078">
        <w:r>
          <w:rPr>
            <w:rStyle w:val="Hyperlink"/>
          </w:rPr>
          <w:t xml:space="preserve">Output Files</w:t>
        </w:r>
      </w:hyperlink>
    </w:p>
    <w:p>
      <w:pPr>
        <w:pStyle w:val="Compact"/>
        <w:numPr>
          <w:ilvl w:val="0"/>
          <w:numId w:val="1001"/>
        </w:numPr>
      </w:pPr>
      <w:hyperlink w:anchor="X8cf9f2cb0f03b877f704ab9c7be31095235462d">
        <w:r>
          <w:rPr>
            <w:rStyle w:val="Hyperlink"/>
          </w:rPr>
          <w:t xml:space="preserve">Population Genetic Analysis</w:t>
        </w:r>
      </w:hyperlink>
    </w:p>
    <w:p>
      <w:pPr>
        <w:pStyle w:val="Compact"/>
        <w:numPr>
          <w:ilvl w:val="0"/>
          <w:numId w:val="1001"/>
        </w:numPr>
      </w:pPr>
      <w:hyperlink w:anchor="Xf82bf0aa0c07bbf5596917483283c8ccb62eb83">
        <w:r>
          <w:rPr>
            <w:rStyle w:val="Hyperlink"/>
          </w:rPr>
          <w:t xml:space="preserve">Data Export Formats</w:t>
        </w:r>
      </w:hyperlink>
    </w:p>
    <w:p>
      <w:pPr>
        <w:pStyle w:val="Compact"/>
        <w:numPr>
          <w:ilvl w:val="0"/>
          <w:numId w:val="1001"/>
        </w:numPr>
      </w:pPr>
      <w:hyperlink w:anchor="Xf8c9d2931a318772ba7a2facd526293a2dce7b4">
        <w:r>
          <w:rPr>
            <w:rStyle w:val="Hyperlink"/>
          </w:rPr>
          <w:t xml:space="preserve">Walkthrough Example</w:t>
        </w:r>
      </w:hyperlink>
    </w:p>
    <w:p>
      <w:pPr>
        <w:pStyle w:val="Compact"/>
        <w:numPr>
          <w:ilvl w:val="0"/>
          <w:numId w:val="1001"/>
        </w:numPr>
      </w:pPr>
      <w:hyperlink w:anchor="X996b727c879457255c04bd351790b5cc88629f0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ABI-SNP Analyzer is a free, open-source desktop application for automated SNP</w:t>
      </w:r>
      <w:r>
        <w:t xml:space="preserve"> </w:t>
      </w:r>
      <w:r>
        <w:t xml:space="preserve">genotyping and population genetic analysis directly from ABI-format Sanger</w:t>
      </w:r>
      <w:r>
        <w:t xml:space="preserve"> </w:t>
      </w:r>
      <w:r>
        <w:t xml:space="preserve">sequencing chromatogram files (.ab1). It provides an end-to-end graphical</w:t>
      </w:r>
      <w:r>
        <w:t xml:space="preserve"> </w:t>
      </w:r>
      <w:r>
        <w:t xml:space="preserve">workflow that integrates ABIF file parsing, heterozygote detection, multiple</w:t>
      </w:r>
      <w:r>
        <w:t xml:space="preserve"> </w:t>
      </w:r>
      <w:r>
        <w:t xml:space="preserve">sequence alignment, SNP calling, diploid genotype matrix generation, optional</w:t>
      </w:r>
      <w:r>
        <w:t xml:space="preserve"> </w:t>
      </w:r>
      <w:r>
        <w:t xml:space="preserve">reference genome anchoring via BLASTN, and built-in population genetic analysis</w:t>
      </w:r>
      <w:r>
        <w:t xml:space="preserve"> </w:t>
      </w:r>
      <w:r>
        <w:t xml:space="preserve">— all within a single graphical interface.</w:t>
      </w:r>
    </w:p>
    <w:p>
      <w:pPr>
        <w:pStyle w:val="BodyText"/>
      </w:pPr>
      <w:r>
        <w:rPr>
          <w:b/>
          <w:bCs/>
        </w:rPr>
        <w:t xml:space="preserve">Key functional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ABIF Parser</w:t>
            </w:r>
          </w:p>
        </w:tc>
        <w:tc>
          <w:tcPr/>
          <w:p>
            <w:pPr>
              <w:pStyle w:val="Compact"/>
            </w:pPr>
            <w:r>
              <w:t xml:space="preserve">Reads .ab1 binary format, extracts base sequences, quality scores, and four-channel fluorescence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Heterozygote Detection</w:t>
            </w:r>
          </w:p>
        </w:tc>
        <w:tc>
          <w:tcPr/>
          <w:p>
            <w:pPr>
              <w:pStyle w:val="Compact"/>
            </w:pPr>
            <w:r>
              <w:t xml:space="preserve">Multi-channel signal ratio analysis to identify heterozygous sites and generate IUPAC ambiguity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Alignment &amp; SNP Calling</w:t>
            </w:r>
          </w:p>
        </w:tc>
        <w:tc>
          <w:tcPr/>
          <w:p>
            <w:pPr>
              <w:pStyle w:val="Compact"/>
            </w:pPr>
            <w:r>
              <w:t xml:space="preserve">MUSCLE alignment, similarity filtering, SNP discovery, and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Genome Mapping</w:t>
            </w:r>
          </w:p>
        </w:tc>
        <w:tc>
          <w:tcPr/>
          <w:p>
            <w:pPr>
              <w:pStyle w:val="Compact"/>
            </w:pPr>
            <w:r>
              <w:t xml:space="preserve">BLASTN alignment of the consensus sequence to a reference genome for chromosome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Genotype Matrix</w:t>
            </w:r>
          </w:p>
        </w:tc>
        <w:tc>
          <w:tcPr/>
          <w:p>
            <w:pPr>
              <w:pStyle w:val="Compact"/>
            </w:pPr>
            <w:r>
              <w:t xml:space="preserve">Sample-by-locus diploid genotype matrix in Excel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Genetics</w:t>
            </w:r>
          </w:p>
        </w:tc>
        <w:tc>
          <w:tcPr/>
          <w:p>
            <w:pPr>
              <w:pStyle w:val="Compact"/>
            </w:pPr>
            <w:r>
              <w:t xml:space="preserve">Population assignment, genetic diversity statistics, HWE exact tests, F-statistics, AMOVA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Supports Genepop, Arlequin, hierfstat, GenAlEx, STRUCTURE, FSTAT and POPGENE32 — all round-trip importable — plus VCF 4.2 export (new in v1.1.0, export-only)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7 (64-bit)</w:t>
            </w:r>
          </w:p>
        </w:tc>
        <w:tc>
          <w:tcPr/>
          <w:p>
            <w:pPr>
              <w:pStyle w:val="Compact"/>
            </w:pPr>
            <w:r>
              <w:t xml:space="preserve">Windows 10/11 (64-bit)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 or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500 MB</w:t>
            </w:r>
          </w:p>
        </w:tc>
        <w:tc>
          <w:tcPr/>
          <w:p>
            <w:pPr>
              <w:pStyle w:val="Compact"/>
            </w:pPr>
            <w:r>
              <w:t xml:space="preserve">1 GB+ (excluding reference genomes)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tools</w:t>
            </w:r>
          </w:p>
        </w:tc>
        <w:tc>
          <w:tcPr/>
          <w:p>
            <w:pPr>
              <w:pStyle w:val="Compact"/>
            </w:pPr>
            <w:r>
              <w:t xml:space="preserve">MUSCLE v5</w:t>
            </w:r>
          </w:p>
        </w:tc>
        <w:tc>
          <w:tcPr/>
          <w:p>
            <w:pPr>
              <w:pStyle w:val="Compact"/>
            </w:pPr>
            <w:r>
              <w:t xml:space="preserve">BLAST+ 2.12+ (optional, for genome coordinate mapping)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dependencies (download separately):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MUSCLE v5</w:t>
      </w:r>
      <w:r>
        <w:t xml:space="preserve">: Multiple sequence aligner — https://www.drive5.com/muscle/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BLAST+ 2.12+</w:t>
      </w:r>
      <w:r>
        <w:t xml:space="preserve">: Reference genome alignment (optional) — https://ftp.ncbi.nlm.nih.gov/blast/executables/blast+/LATEST/</w:t>
      </w:r>
    </w:p>
    <w:p>
      <w:pPr>
        <w:pStyle w:val="BlockText"/>
      </w:pPr>
      <w:r>
        <w:t xml:space="preserve">Tip: Place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) in the same directory</w:t>
      </w:r>
      <w:r>
        <w:t xml:space="preserve"> </w:t>
      </w:r>
      <w:r>
        <w:t xml:space="preserve">as the application, or specify their paths via the GUI.</w:t>
      </w:r>
    </w:p>
    <w:p>
      <w:r>
        <w:pict>
          <v:rect style="width:0;height:1.5pt" o:hralign="center" o:hrstd="t" o:hr="t"/>
        </w:pict>
      </w:r>
    </w:p>
    <w:bookmarkEnd w:id="11"/>
    <w:bookmarkStart w:id="15" w:name="installation-launch"/>
    <w:p>
      <w:pPr>
        <w:pStyle w:val="Heading2"/>
      </w:pPr>
      <w:r>
        <w:t xml:space="preserve">3. Installation &amp; Launch</w:t>
      </w:r>
    </w:p>
    <w:bookmarkStart w:id="13" w:name="standalone-executable-recommended"/>
    <w:p>
      <w:pPr>
        <w:pStyle w:val="Heading3"/>
      </w:pPr>
      <w:r>
        <w:t xml:space="preserve">3.1 Standalone Executable (Recommended)</w:t>
      </w:r>
    </w:p>
    <w:p>
      <w:pPr>
        <w:pStyle w:val="Compact"/>
        <w:numPr>
          <w:ilvl w:val="0"/>
          <w:numId w:val="1002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ABI_SNP_Analyzer_v1.1.0.exe</w:t>
      </w:r>
      <w:r>
        <w:t xml:space="preserve"> </w:t>
      </w:r>
      <w:r>
        <w:t xml:space="preserve">from</w:t>
      </w:r>
      <w:r>
        <w:t xml:space="preserve"> </w:t>
      </w:r>
      <w:hyperlink r:id="rId12">
        <w:r>
          <w:rPr>
            <w:rStyle w:val="Hyperlink"/>
          </w:rPr>
          <w:t xml:space="preserve">GitHub Releases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Place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) in the same folder.</w:t>
      </w:r>
    </w:p>
    <w:p>
      <w:pPr>
        <w:pStyle w:val="Compact"/>
        <w:numPr>
          <w:ilvl w:val="0"/>
          <w:numId w:val="1002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ABI_SNP_Analyzer_v1.1.0.exe</w:t>
      </w:r>
      <w:r>
        <w:t xml:space="preserve"> </w:t>
      </w:r>
      <w:r>
        <w:t xml:space="preserve">to launch.</w:t>
      </w:r>
    </w:p>
    <w:bookmarkEnd w:id="13"/>
    <w:bookmarkStart w:id="14" w:name="run-from-source"/>
    <w:p>
      <w:pPr>
        <w:pStyle w:val="Heading3"/>
      </w:pPr>
      <w:r>
        <w:t xml:space="preserve">3.2 Run from Source</w:t>
      </w:r>
    </w:p>
    <w:p>
      <w:pPr>
        <w:pStyle w:val="SourceCode"/>
      </w:pPr>
      <w:r>
        <w:rPr>
          <w:rStyle w:val="VerbatimChar"/>
        </w:rPr>
        <w:t xml:space="preserve">git clone https://github.com/xiacy111111/abi-snp-analyzer.git</w:t>
      </w:r>
      <w:r>
        <w:br/>
      </w:r>
      <w:r>
        <w:rPr>
          <w:rStyle w:val="VerbatimChar"/>
        </w:rPr>
        <w:t xml:space="preserve">cd abi-snp-analyzer &amp;&amp; git checkout v1.1.0</w:t>
      </w:r>
      <w:r>
        <w:br/>
      </w:r>
      <w:r>
        <w:rPr>
          <w:rStyle w:val="VerbatimChar"/>
        </w:rPr>
        <w:t xml:space="preserve">python -m venv .venv &amp;&amp; 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abi_to_snp_analyzer_v1.1.0.py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gui-layout"/>
    <w:p>
      <w:pPr>
        <w:pStyle w:val="Heading2"/>
      </w:pPr>
      <w:r>
        <w:t xml:space="preserve">4. GUI Layout</w:t>
      </w:r>
    </w:p>
    <w:p>
      <w:pPr>
        <w:pStyle w:val="FirstParagraph"/>
      </w:pPr>
      <w:r>
        <w:t xml:space="preserve">The interface is organized into four functional zones: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File Selection                                      │</w:t>
      </w:r>
      <w:r>
        <w:br/>
      </w:r>
      <w:r>
        <w:rPr>
          <w:rStyle w:val="VerbatimChar"/>
        </w:rPr>
        <w:t xml:space="preserve">│  ├─ ABI Files: Select .ab1 files or folder              │</w:t>
      </w:r>
      <w:r>
        <w:br/>
      </w:r>
      <w:r>
        <w:rPr>
          <w:rStyle w:val="VerbatimChar"/>
        </w:rPr>
        <w:t xml:space="preserve">│  ├─ MUSCLE Path: Specify muscle.exe location            │</w:t>
      </w:r>
      <w:r>
        <w:br/>
      </w:r>
      <w:r>
        <w:rPr>
          <w:rStyle w:val="VerbatimChar"/>
        </w:rPr>
        <w:t xml:space="preserve">│  ├─ Reference Genome: Reference FASTA file (optional)   │</w:t>
      </w:r>
      <w:r>
        <w:br/>
      </w:r>
      <w:r>
        <w:rPr>
          <w:rStyle w:val="VerbatimChar"/>
        </w:rPr>
        <w:t xml:space="preserve">│  ├─ BLASTN Path: Specify blastn.exe location (optional) │</w:t>
      </w:r>
      <w:r>
        <w:br/>
      </w:r>
      <w:r>
        <w:rPr>
          <w:rStyle w:val="VerbatimChar"/>
        </w:rPr>
        <w:t xml:space="preserve">│  └─ Output Directory: Select result output folder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2. Filter Threshold Settings                           │</w:t>
      </w:r>
      <w:r>
        <w:br/>
      </w:r>
      <w:r>
        <w:rPr>
          <w:rStyle w:val="VerbatimChar"/>
        </w:rPr>
        <w:t xml:space="preserve">│  ├─ Sequence Similarity / MAF Threshold                 │</w:t>
      </w:r>
      <w:r>
        <w:br/>
      </w:r>
      <w:r>
        <w:rPr>
          <w:rStyle w:val="VerbatimChar"/>
        </w:rPr>
        <w:t xml:space="preserve">│  ├─ Min Observed Het / Signal Ratio                     │</w:t>
      </w:r>
      <w:r>
        <w:br/>
      </w:r>
      <w:r>
        <w:rPr>
          <w:rStyle w:val="VerbatimChar"/>
        </w:rPr>
        <w:t xml:space="preserve">│  └─ Consensus Quality / Min Base Quality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3. Run Controls                                        │</w:t>
      </w:r>
      <w:r>
        <w:br/>
      </w:r>
      <w:r>
        <w:rPr>
          <w:rStyle w:val="VerbatimChar"/>
        </w:rPr>
        <w:t xml:space="preserve">│  ├─ [Start Analysis] [Stop] [Load Existing Data]       │</w:t>
      </w:r>
      <w:r>
        <w:br/>
      </w:r>
      <w:r>
        <w:rPr>
          <w:rStyle w:val="VerbatimChar"/>
        </w:rPr>
        <w:t xml:space="preserve">│  └─ [Population Manager] [Statistical Analysis]        │</w:t>
      </w:r>
      <w:r>
        <w:br/>
      </w:r>
      <w:r>
        <w:rPr>
          <w:rStyle w:val="VerbatimChar"/>
        </w:rPr>
        <w:t xml:space="preserve">│     [Export SNP Formats]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4. Run Log                                             │</w:t>
      </w:r>
      <w:r>
        <w:br/>
      </w:r>
      <w:r>
        <w:rPr>
          <w:rStyle w:val="VerbatimChar"/>
        </w:rPr>
        <w:t xml:space="preserve">│     Real-time display of progress, parameters, and      │</w:t>
      </w:r>
      <w:r>
        <w:br/>
      </w:r>
      <w:r>
        <w:rPr>
          <w:rStyle w:val="VerbatimChar"/>
        </w:rPr>
        <w:t xml:space="preserve">│     error messages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parameter-reference"/>
    <w:p>
      <w:pPr>
        <w:pStyle w:val="Heading2"/>
      </w:pPr>
      <w:r>
        <w:t xml:space="preserve">5. Parameter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Similarity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average pairwise identity. Sequences below this threshold are excluded. Recommended 0.85–0.95 for same-amplicon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MAF Threshold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minor allele frequency. Only SNPs with MAF &gt;= this value are retained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Observed Het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observed heterozygosity per locus. Set to 0 to disable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Ratio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Heterozygote detection threshold (secondary/primary peak). Lower = more sensitive; higher = more 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Quality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Consensus calling threshold. Positions with consensus proportion below this are set to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Base Quality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t xml:space="preserve">Phred quality score threshold. Bases with quality below this are excluded from genotyping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orkflow"/>
    <w:p>
      <w:pPr>
        <w:pStyle w:val="Heading2"/>
      </w:pPr>
      <w:r>
        <w:t xml:space="preserve">6. Workflow</w:t>
      </w:r>
    </w:p>
    <w:bookmarkStart w:id="18" w:name="basic-pipeline-snp-genotyping"/>
    <w:p>
      <w:pPr>
        <w:pStyle w:val="Heading3"/>
      </w:pPr>
      <w:r>
        <w:t xml:space="preserve">6.1 Basic Pipeline: SNP Genotyping</w:t>
      </w:r>
    </w:p>
    <w:p>
      <w:pPr>
        <w:pStyle w:val="FirstParagraph"/>
      </w:pPr>
      <w:r>
        <w:rPr>
          <w:b/>
          <w:bCs/>
        </w:rPr>
        <w:t xml:space="preserve">Step 1 — Prepare input</w:t>
      </w:r>
      <w:r>
        <w:t xml:space="preserve"> </w:t>
      </w:r>
      <w:r>
        <w:t xml:space="preserve">Place all .ab1 files in a single folder. Ensure unique file names and that all</w:t>
      </w:r>
      <w:r>
        <w:t xml:space="preserve"> </w:t>
      </w:r>
      <w:r>
        <w:t xml:space="preserve">files come from the same target amplicon region.</w:t>
      </w:r>
    </w:p>
    <w:p>
      <w:pPr>
        <w:pStyle w:val="BodyText"/>
      </w:pPr>
      <w:r>
        <w:rPr>
          <w:b/>
          <w:bCs/>
        </w:rPr>
        <w:t xml:space="preserve">Step 2 — Configure paths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Select Files/Folder</w:t>
      </w:r>
      <w:r>
        <w:t xml:space="preserve"> </w:t>
      </w:r>
      <w:r>
        <w:t xml:space="preserve">and choose the folder (or select individual .ab1 files)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MUSCLE Path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- (Optional)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Reference Genome</w:t>
      </w:r>
      <w:r>
        <w:t xml:space="preserve"> </w:t>
      </w:r>
      <w:r>
        <w:t xml:space="preserve">and select a FASTA file</w:t>
      </w:r>
      <w:r>
        <w:t xml:space="preserve"> </w:t>
      </w:r>
      <w:r>
        <w:t xml:space="preserve">- (Optional, required if reference genome is selected)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BLASTN Path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Output Directory</w:t>
      </w:r>
      <w:r>
        <w:t xml:space="preserve"> </w:t>
      </w:r>
      <w:r>
        <w:t xml:space="preserve">and choose the output folder</w:t>
      </w:r>
    </w:p>
    <w:p>
      <w:pPr>
        <w:pStyle w:val="BodyText"/>
      </w:pPr>
      <w:r>
        <w:rPr>
          <w:b/>
          <w:bCs/>
        </w:rPr>
        <w:t xml:space="preserve">Step 3 — Set parameters</w:t>
      </w:r>
      <w:r>
        <w:t xml:space="preserve"> </w:t>
      </w:r>
      <w:r>
        <w:t xml:space="preserve">Adjust the six parameters according to your experiment (see</w:t>
      </w:r>
      <w:r>
        <w:t xml:space="preserve"> </w:t>
      </w:r>
      <w:hyperlink w:anchor="Xe3aad6be23274075b6c331d4d7d3167f1b57b76">
        <w:r>
          <w:rPr>
            <w:rStyle w:val="Hyperlink"/>
          </w:rPr>
          <w:t xml:space="preserve">Section 5</w:t>
        </w:r>
      </w:hyperlink>
      <w:r>
        <w:t xml:space="preserve">).</w:t>
      </w:r>
      <w:r>
        <w:t xml:space="preserve"> </w:t>
      </w:r>
      <w:r>
        <w:t xml:space="preserve">Default values are suitable for most routine analyses.</w:t>
      </w:r>
    </w:p>
    <w:p>
      <w:pPr>
        <w:pStyle w:val="BodyText"/>
      </w:pPr>
      <w:r>
        <w:rPr>
          <w:b/>
          <w:bCs/>
        </w:rPr>
        <w:t xml:space="preserve">Step 4 — Run analysis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Start Analysis</w:t>
      </w:r>
      <w:r>
        <w:t xml:space="preserve">. The software automatically performs these sub-steps: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ABIF parsing &amp; heterozygote detection</w:t>
      </w:r>
      <w:r>
        <w:t xml:space="preserve">: Read each .ab1 file, extract</w:t>
      </w:r>
      <w:r>
        <w:t xml:space="preserve"> </w:t>
      </w:r>
      <w:r>
        <w:t xml:space="preserve">chromatogram signals, identify heterozygous sites, and generate</w:t>
      </w:r>
      <w:r>
        <w:t xml:space="preserve"> </w:t>
      </w:r>
      <w:r>
        <w:t xml:space="preserve">IUPAC-encoded FASTA sequences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Sequence similarity filtering</w:t>
      </w:r>
      <w:r>
        <w:t xml:space="preserve">: Remove sequences that are too divergent</w:t>
      </w:r>
      <w:r>
        <w:t xml:space="preserve"> </w:t>
      </w:r>
      <w:r>
        <w:t xml:space="preserve">from the 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MUSCLE multiple sequence alignment</w:t>
      </w:r>
      <w:r>
        <w:t xml:space="preserve">: Align all retained sequences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Consensus sequence &amp; trace plots</w:t>
      </w:r>
      <w:r>
        <w:t xml:space="preserve">: Generate the consensus sequence;</w:t>
      </w:r>
      <w:r>
        <w:t xml:space="preserve"> </w:t>
      </w:r>
      <w:r>
        <w:t xml:space="preserve">produce chromatogram trace plots and heterozygote reports for samples</w:t>
      </w:r>
      <w:r>
        <w:t xml:space="preserve"> </w:t>
      </w:r>
      <w:r>
        <w:t xml:space="preserve">with heterozygous calls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SNP discovery &amp; filtering</w:t>
      </w:r>
      <w:r>
        <w:t xml:space="preserve">: Identify polymorphic columns and filter by</w:t>
      </w:r>
      <w:r>
        <w:t xml:space="preserve"> </w:t>
      </w:r>
      <w:r>
        <w:t xml:space="preserve">MAF and heterozygosity thresholds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(Optional) BLASTN genome mapping</w:t>
      </w:r>
      <w:r>
        <w:t xml:space="preserve">: Align consensus to reference genome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Genotype matrix generation</w:t>
      </w:r>
      <w:r>
        <w:t xml:space="preserve">: Output the sample-by-locus diploid genotype</w:t>
      </w:r>
      <w:r>
        <w:t xml:space="preserve"> </w:t>
      </w:r>
      <w:r>
        <w:t xml:space="preserve">matrix (Excel)</w:t>
      </w:r>
    </w:p>
    <w:p>
      <w:pPr>
        <w:pStyle w:val="FirstParagraph"/>
      </w:pPr>
      <w:r>
        <w:rPr>
          <w:b/>
          <w:bCs/>
        </w:rPr>
        <w:t xml:space="preserve">Step 5 — Review results</w:t>
      </w:r>
      <w:r>
        <w:t xml:space="preserve"> </w:t>
      </w:r>
      <w:r>
        <w:t xml:space="preserve">When analysis completes, an</w:t>
      </w:r>
      <w:r>
        <w:t xml:space="preserve"> </w:t>
      </w:r>
      <w:r>
        <w:t xml:space="preserve">“Analysis completed”</w:t>
      </w:r>
      <w:r>
        <w:t xml:space="preserve"> </w:t>
      </w:r>
      <w:r>
        <w:t xml:space="preserve">dialog appears. Inspect the</w:t>
      </w:r>
      <w:r>
        <w:t xml:space="preserve"> </w:t>
      </w:r>
      <w:r>
        <w:t xml:space="preserve">generated files in the output directory (see</w:t>
      </w:r>
      <w:r>
        <w:t xml:space="preserve"> </w:t>
      </w:r>
      <w:hyperlink w:anchor="Xa0480eef8df0caca255125ac6b11a4b4a690078">
        <w:r>
          <w:rPr>
            <w:rStyle w:val="Hyperlink"/>
          </w:rPr>
          <w:t xml:space="preserve">Section 7</w:t>
        </w:r>
      </w:hyperlink>
      <w:r>
        <w:t xml:space="preserve">).</w:t>
      </w:r>
    </w:p>
    <w:bookmarkEnd w:id="18"/>
    <w:bookmarkStart w:id="19" w:name="resuming-load-existing-data"/>
    <w:p>
      <w:pPr>
        <w:pStyle w:val="Heading3"/>
      </w:pPr>
      <w:r>
        <w:t xml:space="preserve">6.2 Resuming: Load Existing Data</w:t>
      </w:r>
    </w:p>
    <w:p>
      <w:pPr>
        <w:pStyle w:val="FirstParagraph"/>
      </w:pPr>
      <w:r>
        <w:t xml:space="preserve">If genotyping was previously completed, you can reload results for population</w:t>
      </w:r>
      <w:r>
        <w:t xml:space="preserve"> </w:t>
      </w:r>
      <w:r>
        <w:t xml:space="preserve">genetics analysis: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Existing Data</w:t>
      </w:r>
    </w:p>
    <w:p>
      <w:pPr>
        <w:pStyle w:val="Compact"/>
        <w:numPr>
          <w:ilvl w:val="0"/>
          <w:numId w:val="1004"/>
        </w:numPr>
      </w:pPr>
      <w:r>
        <w:t xml:space="preserve">Select a data file. Besides the native</w:t>
      </w:r>
      <w:r>
        <w:t xml:space="preserve"> </w:t>
      </w:r>
      <w:r>
        <w:rPr>
          <w:rStyle w:val="VerbatimChar"/>
        </w:rPr>
        <w:t xml:space="preserve">genotype_matrix.xlsx</w:t>
      </w:r>
      <w:r>
        <w:t xml:space="preserve">,</w:t>
      </w:r>
      <w:r>
        <w:t xml:space="preserve"> </w:t>
      </w:r>
      <w:r>
        <w:rPr>
          <w:b/>
          <w:bCs/>
        </w:rPr>
        <w:t xml:space="preserve">any file</w:t>
      </w:r>
      <w:r>
        <w:rPr>
          <w:b/>
          <w:bCs/>
        </w:rPr>
        <w:t xml:space="preserve"> </w:t>
      </w:r>
      <w:r>
        <w:rPr>
          <w:b/>
          <w:bCs/>
        </w:rPr>
        <w:t xml:space="preserve">written by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 SNP Formats”</w:t>
      </w:r>
      <w:r>
        <w:rPr>
          <w:b/>
          <w:bCs/>
        </w:rPr>
        <w:t xml:space="preserve"> </w:t>
      </w:r>
      <w:r>
        <w:rPr>
          <w:b/>
          <w:bCs/>
        </w:rPr>
        <w:t xml:space="preserve">can be read back</w:t>
      </w:r>
      <w:r>
        <w:t xml:space="preserve">: GENEPOP (.txt),</w:t>
      </w:r>
      <w:r>
        <w:t xml:space="preserve"> </w:t>
      </w:r>
      <w:r>
        <w:t xml:space="preserve">Arlequin (.arp), hierfstat (.txt), GenAlEx (.csv), FSTAT (.dat),</w:t>
      </w:r>
      <w:r>
        <w:t xml:space="preserve"> </w:t>
      </w:r>
      <w:r>
        <w:t xml:space="preserve">POPGENE32 (.pop), STRUCTURE (.txt)</w:t>
      </w:r>
    </w:p>
    <w:p>
      <w:pPr>
        <w:pStyle w:val="Compact"/>
        <w:numPr>
          <w:ilvl w:val="0"/>
          <w:numId w:val="1004"/>
        </w:numPr>
      </w:pPr>
      <w:r>
        <w:t xml:space="preserve">The format is detected automatically; if the content is ambiguous a dialog</w:t>
      </w:r>
      <w:r>
        <w:t xml:space="preserve"> </w:t>
      </w:r>
      <w:r>
        <w:t xml:space="preserve">lets you pick the format explicitly</w:t>
      </w:r>
    </w:p>
    <w:p>
      <w:pPr>
        <w:pStyle w:val="Compact"/>
        <w:numPr>
          <w:ilvl w:val="0"/>
          <w:numId w:val="1004"/>
        </w:numPr>
      </w:pPr>
      <w:r>
        <w:t xml:space="preserve">A preview shows the detected format, sample/loci counts and populations —</w:t>
      </w:r>
      <w:r>
        <w:t xml:space="preserve"> </w:t>
      </w:r>
      <w:r>
        <w:t xml:space="preserve">confirm to load</w:t>
      </w:r>
    </w:p>
    <w:p>
      <w:pPr>
        <w:pStyle w:val="Compact"/>
        <w:numPr>
          <w:ilvl w:val="0"/>
          <w:numId w:val="1004"/>
        </w:numPr>
      </w:pPr>
      <w:r>
        <w:t xml:space="preserve">After loading,</w:t>
      </w:r>
      <w:r>
        <w:t xml:space="preserve"> </w:t>
      </w:r>
      <w:r>
        <w:rPr>
          <w:b/>
          <w:bCs/>
        </w:rPr>
        <w:t xml:space="preserve">Population Manager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become</w:t>
      </w:r>
      <w:r>
        <w:t xml:space="preserve"> </w:t>
      </w:r>
      <w:r>
        <w:t xml:space="preserve">active.</w:t>
      </w:r>
      <w:r>
        <w:t xml:space="preserve"> </w:t>
      </w:r>
      <w:r>
        <w:rPr>
          <w:b/>
          <w:bCs/>
        </w:rPr>
        <w:t xml:space="preserve">When the file itself carries ≥2 populations (Arlequin, GENEPOP,</w:t>
      </w:r>
      <w:r>
        <w:rPr>
          <w:b/>
          <w:bCs/>
        </w:rPr>
        <w:t xml:space="preserve"> </w:t>
      </w:r>
      <w:r>
        <w:rPr>
          <w:b/>
          <w:bCs/>
        </w:rPr>
        <w:t xml:space="preserve">hierfstat, GenAlEx, FSTAT and POPGENE32 all do), the Statistical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button is enabled as well, so you can go straight to the analysis.</w:t>
      </w:r>
    </w:p>
    <w:p>
      <w:pPr>
        <w:pStyle w:val="FirstParagraph"/>
      </w:pPr>
      <w:r>
        <w:rPr>
          <w:b/>
          <w:bCs/>
        </w:rPr>
        <w:t xml:space="preserve">Round-trip fidelity: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Individual IDs</w:t>
            </w:r>
          </w:p>
        </w:tc>
        <w:tc>
          <w:tcPr/>
          <w:p>
            <w:pPr>
              <w:pStyle w:val="Compact"/>
            </w:pPr>
            <w:r>
              <w:t xml:space="preserve">Locus names</w:t>
            </w:r>
          </w:p>
        </w:tc>
        <w:tc>
          <w:tcPr/>
          <w:p>
            <w:pPr>
              <w:pStyle w:val="Compact"/>
            </w:pPr>
            <w:r>
              <w:t xml:space="preserve">Population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genotype_matrix.xlsx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GENEPOP (.txt)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 (carried in the title tag)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Arlequin (.arp)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 (carried in the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tag)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hierfstat (.txt)</w:t>
            </w:r>
          </w:p>
        </w:tc>
        <w:tc>
          <w:tcPr/>
          <w:p>
            <w:pPr>
              <w:pStyle w:val="Compact"/>
            </w:pPr>
            <w:r>
              <w:t xml:space="preserve">rebuilt as</w:t>
            </w:r>
            <w:r>
              <w:t xml:space="preserve"> </w:t>
            </w:r>
            <w:r>
              <w:rPr>
                <w:rStyle w:val="VerbatimChar"/>
              </w:rPr>
              <w:t xml:space="preserve">&lt;pop&gt;_Ind####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rebuilt as Pop1…PopN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GenAlEx (.csv)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FSTAT (.dat)</w:t>
            </w:r>
          </w:p>
        </w:tc>
        <w:tc>
          <w:tcPr/>
          <w:p>
            <w:pPr>
              <w:pStyle w:val="Compact"/>
            </w:pPr>
            <w:r>
              <w:t xml:space="preserve">rebuilt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rebuilt as Pop1…PopN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POPGENE32 (.pop)</w:t>
            </w:r>
          </w:p>
        </w:tc>
        <w:tc>
          <w:tcPr/>
          <w:p>
            <w:pPr>
              <w:pStyle w:val="Compact"/>
            </w:pPr>
            <w:r>
              <w:t xml:space="preserve">rebuilt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rebuilt as Pop1…PopN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(.txt)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rebuilt as Locus_1…N</w:t>
            </w:r>
          </w:p>
        </w:tc>
        <w:tc>
          <w:tcPr/>
          <w:p>
            <w:pPr>
              <w:pStyle w:val="Compact"/>
            </w:pPr>
            <w:r>
              <w:t xml:space="preserve">rebuilt as Pop1…PopN</w:t>
            </w:r>
          </w:p>
        </w:tc>
      </w:tr>
    </w:tbl>
    <w:p>
      <w:pPr>
        <w:pStyle w:val="BlockText"/>
      </w:pPr>
      <w:r>
        <w:t xml:space="preserve">hierfstat and FSTAT encode populations as bare numbers and store no</w:t>
      </w:r>
      <w:r>
        <w:t xml:space="preserve"> </w:t>
      </w:r>
      <w:r>
        <w:t xml:space="preserve">individual labels; POPGENE32 and STRUCTURE have no name fields either. This</w:t>
      </w:r>
      <w:r>
        <w:t xml:space="preserve"> </w:t>
      </w:r>
      <w:r>
        <w:t xml:space="preserve">is a property of those formats — genotype calls are always preserved.</w:t>
      </w:r>
    </w:p>
    <w:p>
      <w:pPr>
        <w:pStyle w:val="FirstParagraph"/>
      </w:pPr>
      <w:r>
        <w:rPr>
          <w:b/>
          <w:bCs/>
        </w:rPr>
        <w:t xml:space="preserve">Allele coding:</w:t>
      </w:r>
      <w:r>
        <w:t xml:space="preserve"> </w:t>
      </w:r>
      <w:r>
        <w:t xml:space="preserve">every numeric format uses</w:t>
      </w:r>
      <w:r>
        <w:t xml:space="preserve"> </w:t>
      </w:r>
      <w:r>
        <w:rPr>
          <w:rStyle w:val="VerbatimChar"/>
        </w:rPr>
        <w:t xml:space="preserve">1=A, 2=T, 3=C, 4=G, 0=missing</w:t>
      </w:r>
      <w:r>
        <w:t xml:space="preserve">.</w:t>
      </w:r>
      <w:r>
        <w:t xml:space="preserve"> </w:t>
      </w:r>
      <w:r>
        <w:t xml:space="preserve">The mapping is written into the GENEPOP title line, the Arlequin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t xml:space="preserve">the GenAlEx dataset title, and is read back on import instead of being assumed.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output-files"/>
    <w:p>
      <w:pPr>
        <w:pStyle w:val="Heading2"/>
      </w:pPr>
      <w:r>
        <w:t xml:space="preserve">7. Output Files</w:t>
      </w:r>
    </w:p>
    <w:p>
      <w:pPr>
        <w:pStyle w:val="FirstParagraph"/>
      </w:pPr>
      <w:r>
        <w:t xml:space="preserve">After analysis, the output directory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{sample}_sequence_with_iupac.fasta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IUPAC-encoded sequence per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{sample}_trace_plot_combined.png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Chromatogram trace with heterozygote annotations (samples with het calls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{sample}_heterozygote_report.xlsx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Per-sample heterozygote details (positions, signal ratios)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combined_all_forward_sequences_with_iupac.fasta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All IUPAC sequences combined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alignment.aln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MUSCLE multiple sequence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consensus_sequence.fasta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Consensus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consensus_vs_reference.aln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BLASTN alignment to reference genome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Sample-by-SNP diploid genotype matrix (sheet: Genotype_Matrix)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genotype_matrix_snp_analysis.xlsx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Per-SNP statistics: MAF, heterozygosity, genome coordinates (sheet: SNP_Analysis_Results)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analysis_metadata.json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Reproducibility metadata: parameters, input files, dependency versions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Genotype encoding:</w:t>
      </w:r>
      <w:r>
        <w:t xml:space="preserve"> </w:t>
      </w:r>
      <w:r>
        <w:t xml:space="preserve">- Homozygous:</w:t>
      </w:r>
      <w:r>
        <w:t xml:space="preserve"> </w:t>
      </w:r>
      <w:r>
        <w:rPr>
          <w:rStyle w:val="VerbatimChar"/>
        </w:rPr>
        <w:t xml:space="preserve">AA</w:t>
      </w:r>
      <w:r>
        <w:t xml:space="preserve">,</w:t>
      </w:r>
      <w:r>
        <w:t xml:space="preserve"> </w:t>
      </w:r>
      <w:r>
        <w:rPr>
          <w:rStyle w:val="VerbatimChar"/>
        </w:rPr>
        <w:t xml:space="preserve">TT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- Heterozygous:</w:t>
      </w:r>
      <w:r>
        <w:t xml:space="preserve"> </w:t>
      </w:r>
      <w:r>
        <w:rPr>
          <w:rStyle w:val="VerbatimChar"/>
        </w:rPr>
        <w:t xml:space="preserve">AG</w:t>
      </w:r>
      <w:r>
        <w:t xml:space="preserve">,</w:t>
      </w:r>
      <w:r>
        <w:t xml:space="preserve"> </w:t>
      </w:r>
      <w:r>
        <w:rPr>
          <w:rStyle w:val="VerbatimChar"/>
        </w:rPr>
        <w:t xml:space="preserve">CT</w:t>
      </w:r>
      <w:r>
        <w:t xml:space="preserve">,</w:t>
      </w:r>
      <w:r>
        <w:t xml:space="preserve"> </w:t>
      </w:r>
      <w:r>
        <w:rPr>
          <w:rStyle w:val="VerbatimChar"/>
        </w:rPr>
        <w:t xml:space="preserve">AC</w:t>
      </w:r>
      <w:r>
        <w:t xml:space="preserve">, etc.</w:t>
      </w:r>
      <w:r>
        <w:t xml:space="preserve"> </w:t>
      </w:r>
      <w:r>
        <w:t xml:space="preserve">- Missing:</w:t>
      </w:r>
      <w:r>
        <w:t xml:space="preserve"> </w:t>
      </w:r>
      <w:r>
        <w:rPr>
          <w:rStyle w:val="VerbatimChar"/>
        </w:rPr>
        <w:t xml:space="preserve">--</w:t>
      </w:r>
    </w:p>
    <w:p>
      <w:pPr>
        <w:pStyle w:val="BodyText"/>
      </w:pPr>
      <w:r>
        <w:rPr>
          <w:b/>
          <w:bCs/>
        </w:rPr>
        <w:t xml:space="preserve">SNP naming:</w:t>
      </w:r>
      <w:r>
        <w:t xml:space="preserve"> </w:t>
      </w:r>
      <w:r>
        <w:t xml:space="preserve">- Without reference genome:</w:t>
      </w:r>
      <w:r>
        <w:t xml:space="preserve"> </w:t>
      </w:r>
      <w:r>
        <w:rPr>
          <w:rStyle w:val="VerbatimChar"/>
        </w:rPr>
        <w:t xml:space="preserve">SNP_586</w:t>
      </w:r>
      <w:r>
        <w:t xml:space="preserve"> </w:t>
      </w:r>
      <w:r>
        <w:t xml:space="preserve">(position on consensus sequence)</w:t>
      </w:r>
      <w:r>
        <w:t xml:space="preserve"> </w:t>
      </w:r>
      <w:r>
        <w:t xml:space="preserve">- With reference genome:</w:t>
      </w:r>
      <w:r>
        <w:t xml:space="preserve"> </w:t>
      </w:r>
      <w:r>
        <w:rPr>
          <w:rStyle w:val="VerbatimChar"/>
        </w:rPr>
        <w:t xml:space="preserve">chr1:1234567G&gt;A</w:t>
      </w:r>
      <w:r>
        <w:t xml:space="preserve"> </w:t>
      </w:r>
      <w:r>
        <w:t xml:space="preserve">(chromosome:position reference&gt;alternate)</w:t>
      </w:r>
    </w:p>
    <w:p>
      <w:r>
        <w:pict>
          <v:rect style="width:0;height:1.5pt" o:hralign="center" o:hrstd="t" o:hr="t"/>
        </w:pict>
      </w:r>
    </w:p>
    <w:bookmarkEnd w:id="21"/>
    <w:bookmarkStart w:id="25" w:name="population-genetic-analysis"/>
    <w:p>
      <w:pPr>
        <w:pStyle w:val="Heading2"/>
      </w:pPr>
      <w:r>
        <w:t xml:space="preserve">8. Population Genetic Analysis</w:t>
      </w:r>
    </w:p>
    <w:bookmarkStart w:id="22" w:name="population-manager"/>
    <w:p>
      <w:pPr>
        <w:pStyle w:val="Heading3"/>
      </w:pPr>
      <w:r>
        <w:t xml:space="preserve">8.1 Population Manager</w:t>
      </w:r>
    </w:p>
    <w:p>
      <w:pPr>
        <w:pStyle w:val="Compact"/>
        <w:numPr>
          <w:ilvl w:val="0"/>
          <w:numId w:val="1005"/>
        </w:numPr>
      </w:pPr>
      <w:r>
        <w:t xml:space="preserve">After genotyping completes, click</w:t>
      </w:r>
      <w:r>
        <w:t xml:space="preserve"> </w:t>
      </w:r>
      <w:r>
        <w:rPr>
          <w:b/>
          <w:bCs/>
        </w:rPr>
        <w:t xml:space="preserve">Population Manager</w:t>
      </w:r>
    </w:p>
    <w:p>
      <w:pPr>
        <w:pStyle w:val="Compact"/>
        <w:numPr>
          <w:ilvl w:val="0"/>
          <w:numId w:val="1005"/>
        </w:numPr>
      </w:pPr>
      <w:r>
        <w:t xml:space="preserve">In the dialog:</w:t>
      </w:r>
    </w:p>
    <w:p>
      <w:pPr>
        <w:pStyle w:val="Compact"/>
        <w:numPr>
          <w:ilvl w:val="1"/>
          <w:numId w:val="1006"/>
        </w:numPr>
      </w:pPr>
      <w:r>
        <w:t xml:space="preserve">The left panel shows all samples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Population</w:t>
      </w:r>
      <w:r>
        <w:t xml:space="preserve"> </w:t>
      </w:r>
      <w:r>
        <w:t xml:space="preserve">to create a new population and enter its name</w:t>
      </w:r>
    </w:p>
    <w:p>
      <w:pPr>
        <w:pStyle w:val="Compact"/>
        <w:numPr>
          <w:ilvl w:val="1"/>
          <w:numId w:val="1006"/>
        </w:numPr>
      </w:pPr>
      <w:r>
        <w:t xml:space="preserve">Select samples from the left and click</w:t>
      </w:r>
      <w:r>
        <w:t xml:space="preserve"> </w:t>
      </w:r>
      <w:r>
        <w:rPr>
          <w:b/>
          <w:bCs/>
        </w:rPr>
        <w:t xml:space="preserve">&gt;</w:t>
      </w:r>
      <w:r>
        <w:t xml:space="preserve"> </w:t>
      </w:r>
      <w:r>
        <w:t xml:space="preserve">to assign them to the population on the right</w:t>
      </w:r>
    </w:p>
    <w:p>
      <w:pPr>
        <w:pStyle w:val="Compact"/>
        <w:numPr>
          <w:ilvl w:val="1"/>
          <w:numId w:val="1006"/>
        </w:numPr>
      </w:pPr>
      <w:r>
        <w:t xml:space="preserve">Each sample belongs to exactly one population</w:t>
      </w:r>
    </w:p>
    <w:p>
      <w:pPr>
        <w:pStyle w:val="Compact"/>
        <w:numPr>
          <w:ilvl w:val="1"/>
          <w:numId w:val="1006"/>
        </w:numPr>
      </w:pPr>
      <w:r>
        <w:t xml:space="preserve">At least two populations must be defined for statistical analysis</w:t>
      </w:r>
    </w:p>
    <w:bookmarkEnd w:id="22"/>
    <w:bookmarkStart w:id="23" w:name="statistical-analysis"/>
    <w:p>
      <w:pPr>
        <w:pStyle w:val="Heading3"/>
      </w:pPr>
      <w:r>
        <w:t xml:space="preserve">8.2 Statistical Analysis</w:t>
      </w:r>
    </w:p>
    <w:p>
      <w:pPr>
        <w:pStyle w:val="FirstParagraph"/>
      </w:pPr>
      <w:r>
        <w:t xml:space="preserve">After population assignment, click</w:t>
      </w:r>
      <w:r>
        <w:t xml:space="preserve"> </w:t>
      </w:r>
      <w:r>
        <w:rPr>
          <w:b/>
          <w:bCs/>
        </w:rPr>
        <w:t xml:space="preserve">Statistical Analysis</w:t>
      </w:r>
      <w:r>
        <w:t xml:space="preserve">. The software</w:t>
      </w:r>
      <w:r>
        <w:t xml:space="preserve"> </w:t>
      </w:r>
      <w:r>
        <w:t xml:space="preserve">first asks how linked SNPs should be handled (§8.3) and then computes: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overview</w:t>
            </w:r>
          </w:p>
        </w:tc>
        <w:tc>
          <w:tcPr/>
          <w:p>
            <w:pPr>
              <w:pStyle w:val="Compact"/>
            </w:pPr>
            <w:r>
              <w:t xml:space="preserve">Sample and locus counts per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 diversity</w:t>
            </w:r>
          </w:p>
        </w:tc>
        <w:tc>
          <w:tcPr/>
          <w:p>
            <w:pPr>
              <w:pStyle w:val="Compact"/>
            </w:pPr>
            <w:r>
              <w:t xml:space="preserve">Observed heterozygosity (Ho), expected heterozygosity (He), polymorphic information content (PIC)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HWE exact test</w:t>
            </w:r>
          </w:p>
        </w:tc>
        <w:tc>
          <w:tcPr/>
          <w:p>
            <w:pPr>
              <w:pStyle w:val="Compact"/>
            </w:pPr>
            <w:r>
              <w:t xml:space="preserve">Per-locus, per-population Hardy-Weinberg equilibrium exact test p-values [Guo &amp; Thompson 1992; Wigginton et al. 2005]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WC84 F-statistics</w:t>
            </w:r>
          </w:p>
        </w:tc>
        <w:tc>
          <w:tcPr/>
          <w:p>
            <w:pPr>
              <w:pStyle w:val="Compact"/>
            </w:pPr>
            <w:r>
              <w:t xml:space="preserve">Fis (inbreeding coefficient), Fst (differentiation), Fit (total) with 999 permutation tests [Weir &amp; Cockerham 1984]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allele frequency</w:t>
            </w:r>
          </w:p>
        </w:tc>
        <w:tc>
          <w:tcPr/>
          <w:p>
            <w:pPr>
              <w:pStyle w:val="Compact"/>
            </w:pPr>
            <w:r>
              <w:t xml:space="preserve">Brookfield estimator [Brookfield 1996]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AMOVA</w:t>
            </w:r>
          </w:p>
        </w:tc>
        <w:tc>
          <w:tcPr/>
          <w:p>
            <w:pPr>
              <w:pStyle w:val="Compact"/>
            </w:pPr>
            <w:r>
              <w:t xml:space="preserve">Analysis of molecular variance with Phi-statistic and significance p-value [Excoffier et al. 1992]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Genotype frequency chi-square</w:t>
            </w:r>
          </w:p>
        </w:tc>
        <w:tc>
          <w:tcPr/>
          <w:p>
            <w:pPr>
              <w:pStyle w:val="Compact"/>
            </w:pPr>
            <w:r>
              <w:t xml:space="preserve">Inter-population genotype frequency difference test with Bonferroni-corrected p-values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visualization</w:t>
            </w:r>
          </w:p>
        </w:tc>
        <w:tc>
          <w:tcPr/>
          <w:p>
            <w:pPr>
              <w:pStyle w:val="Compact"/>
            </w:pPr>
            <w:r>
              <w:t xml:space="preserve">Per-locus genotype frequency bar charts (300 DPI PNG/PDF 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report</w:t>
            </w:r>
          </w:p>
        </w:tc>
        <w:tc>
          <w:tcPr/>
          <w:p>
            <w:pPr>
              <w:pStyle w:val="Compact"/>
            </w:pPr>
            <w:r>
              <w:t xml:space="preserve">All statistical results in Excel format with raw and corrected p-values</w:t>
            </w:r>
          </w:p>
        </w:tc>
      </w:tr>
    </w:tbl>
    <w:bookmarkEnd w:id="23"/>
    <w:bookmarkStart w:id="24" w:name="linked-snps-dual-mode-handling"/>
    <w:p>
      <w:pPr>
        <w:pStyle w:val="Heading3"/>
      </w:pPr>
      <w:r>
        <w:t xml:space="preserve">8.3 Linked SNPs: dual-mode handling</w:t>
      </w:r>
    </w:p>
    <w:p>
      <w:pPr>
        <w:pStyle w:val="FirstParagraph"/>
      </w:pPr>
      <w:r>
        <w:t xml:space="preserve">SNPs called from the same amplicon are physically linked and usually in strong</w:t>
      </w:r>
      <w:r>
        <w:t xml:space="preserve"> </w:t>
      </w:r>
      <w:r>
        <w:t xml:space="preserve">linkage disequilibrium (LD). Treating them as independent loci inflates the</w:t>
      </w:r>
      <w:r>
        <w:t xml:space="preserve"> </w:t>
      </w:r>
      <w:r>
        <w:t xml:space="preserve">degrees of freedom of multi-locus tests, underestimates the variance and</w:t>
      </w:r>
      <w:r>
        <w:t xml:space="preserve"> </w:t>
      </w:r>
      <w:r>
        <w:t xml:space="preserve">violates the independent-loci assumption of software such as STRUCTURE. The</w:t>
      </w:r>
      <w:r>
        <w:t xml:space="preserve"> </w:t>
      </w:r>
      <w:r>
        <w:t xml:space="preserve">analysis therefore starts with a mode dialog: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SNPs</w:t>
            </w:r>
          </w:p>
        </w:tc>
        <w:tc>
          <w:tcPr/>
          <w:p>
            <w:pPr>
              <w:pStyle w:val="Compact"/>
            </w:pPr>
            <w:r>
              <w:t xml:space="preserve">Keep every SNP (independent-loci assumption)</w:t>
            </w:r>
          </w:p>
        </w:tc>
        <w:tc>
          <w:tcPr/>
          <w:p>
            <w:pPr>
              <w:pStyle w:val="Compact"/>
            </w:pPr>
            <w:r>
              <w:t xml:space="preserve">Loci come from different amplicons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representative SNP per linkage block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SNPs with r² ≥ threshold are clustered into blocks; only the most reliable SNP of each block enters the statistics</w:t>
            </w:r>
          </w:p>
        </w:tc>
        <w:tc>
          <w:tcPr/>
          <w:p>
            <w:pPr>
              <w:pStyle w:val="Compact"/>
            </w:pPr>
            <w:r>
              <w:t xml:space="preserve">Several SNPs share an amplicon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both modes and compare</w:t>
            </w:r>
          </w:p>
        </w:tc>
        <w:tc>
          <w:tcPr/>
          <w:p>
            <w:pPr>
              <w:pStyle w:val="Compact"/>
            </w:pPr>
            <w:r>
              <w:t xml:space="preserve">Runs the pipeline twice and shows a side-by-side comparison</w:t>
            </w:r>
          </w:p>
        </w:tc>
        <w:tc>
          <w:tcPr/>
          <w:p>
            <w:pPr>
              <w:pStyle w:val="Compact"/>
            </w:pPr>
            <w:r>
              <w:t xml:space="preserve">Reporting the effect of the linkage correction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Algorithm and output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Pairwise LD</w:t>
      </w:r>
      <w:r>
        <w:t xml:space="preserve">: r² is the squared Pearson correlation of minor-allele</w:t>
      </w:r>
      <w:r>
        <w:t xml:space="preserve"> </w:t>
      </w:r>
      <w:r>
        <w:t xml:space="preserve">dosages (0/1/2) — the standard unphased estimator (Hill &amp; Weir 1994;</w:t>
      </w:r>
      <w:r>
        <w:t xml:space="preserve"> </w:t>
      </w:r>
      <w:r>
        <w:t xml:space="preserve">PLINK</w:t>
      </w:r>
      <w:r>
        <w:t xml:space="preserve"> </w:t>
      </w:r>
      <w:r>
        <w:rPr>
          <w:rStyle w:val="VerbatimChar"/>
        </w:rPr>
        <w:t xml:space="preserve">--r2</w:t>
      </w:r>
      <w:r>
        <w:t xml:space="preserve">, Purcell et al. 2007). D’ is computed from two-locus</w:t>
      </w:r>
      <w:r>
        <w:t xml:space="preserve"> </w:t>
      </w:r>
      <w:r>
        <w:t xml:space="preserve">haplotype frequencies estimated by EM (Lewontin 1964; Excoffier &amp; Slatkin</w:t>
      </w:r>
      <w:r>
        <w:t xml:space="preserve"> </w:t>
      </w:r>
      <w:r>
        <w:t xml:space="preserve">1995). The p-value is a permutation test (default 999) that shuffles the</w:t>
      </w:r>
      <w:r>
        <w:t xml:space="preserve"> </w:t>
      </w:r>
      <w:r>
        <w:t xml:space="preserve">genotypes of the second locus.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LD is estimated within each population</w:t>
      </w:r>
      <w:r>
        <w:t xml:space="preserve"> </w:t>
      </w:r>
      <w:r>
        <w:t xml:space="preserve">and summarised across</w:t>
      </w:r>
      <w:r>
        <w:t xml:space="preserve"> </w:t>
      </w:r>
      <w:r>
        <w:t xml:space="preserve">populations (the maximum r² drives the clustering). Pooling diverged</w:t>
      </w:r>
      <w:r>
        <w:t xml:space="preserve"> </w:t>
      </w:r>
      <w:r>
        <w:t xml:space="preserve">populations inflates LD through the Wahlburg effect, so it is avoided.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Blocks</w:t>
      </w:r>
      <w:r>
        <w:t xml:space="preserve">: single-linkage clustering on r² ≥ threshold (default 0.80,</w:t>
      </w:r>
      <w:r>
        <w:t xml:space="preserve"> </w:t>
      </w:r>
      <w:r>
        <w:t xml:space="preserve">adjustable 0.50–1.00 in the dialog).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Representative</w:t>
      </w:r>
      <w:r>
        <w:t xml:space="preserve">: per block, the SNP with the lowest missing rate, then</w:t>
      </w:r>
      <w:r>
        <w:t xml:space="preserve"> </w:t>
      </w:r>
      <w:r>
        <w:t xml:space="preserve">the highest MAF, then the original order is kept.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linkage_report.xlsx</w:t>
      </w:r>
      <w:r>
        <w:t xml:space="preserve"> </w:t>
      </w:r>
      <w:r>
        <w:t xml:space="preserve">with four sheets:</w:t>
      </w:r>
      <w:r>
        <w:t xml:space="preserve"> </w:t>
      </w:r>
      <w:r>
        <w:rPr>
          <w:rStyle w:val="VerbatimChar"/>
        </w:rPr>
        <w:t xml:space="preserve">Pairwise_LD</w:t>
      </w:r>
      <w:r>
        <w:t xml:space="preserve"> </w:t>
      </w:r>
      <w:r>
        <w:t xml:space="preserve">(per-population</w:t>
      </w:r>
      <w:r>
        <w:t xml:space="preserve"> </w:t>
      </w:r>
      <w:r>
        <w:t xml:space="preserve">r², D’, p),</w:t>
      </w:r>
      <w:r>
        <w:t xml:space="preserve"> </w:t>
      </w:r>
      <w:r>
        <w:rPr>
          <w:rStyle w:val="VerbatimChar"/>
        </w:rPr>
        <w:t xml:space="preserve">LD_Summary</w:t>
      </w:r>
      <w:r>
        <w:t xml:space="preserve"> </w:t>
      </w:r>
      <w:r>
        <w:t xml:space="preserve">(cross-population summary),</w:t>
      </w:r>
      <w:r>
        <w:t xml:space="preserve"> </w:t>
      </w:r>
      <w:r>
        <w:rPr>
          <w:rStyle w:val="VerbatimChar"/>
        </w:rPr>
        <w:t xml:space="preserve">Linkage_Blocks</w:t>
      </w:r>
      <w:r>
        <w:t xml:space="preserve"> </w:t>
      </w:r>
      <w:r>
        <w:t xml:space="preserve">(blocks and representatives),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(estimators and references).</w:t>
      </w:r>
    </w:p>
    <w:p>
      <w:pPr>
        <w:pStyle w:val="Compact"/>
        <w:numPr>
          <w:ilvl w:val="0"/>
          <w:numId w:val="1007"/>
        </w:numPr>
      </w:pPr>
      <w:r>
        <w:t xml:space="preserve">The results window gains a</w:t>
      </w:r>
      <w:r>
        <w:t xml:space="preserve"> </w:t>
      </w:r>
      <w:r>
        <w:rPr>
          <w:b/>
          <w:bCs/>
        </w:rPr>
        <w:t xml:space="preserve">“Linkage / Modes”</w:t>
      </w:r>
      <w:r>
        <w:t xml:space="preserve"> </w:t>
      </w:r>
      <w:r>
        <w:t xml:space="preserve">tab with the block table,</w:t>
      </w:r>
      <w:r>
        <w:t xml:space="preserve"> </w:t>
      </w:r>
      <w:r>
        <w:t xml:space="preserve">the pairwise LD table and the mode-comparison table (loci analysed, mean</w:t>
      </w:r>
      <w:r>
        <w:t xml:space="preserve"> </w:t>
      </w:r>
      <w:r>
        <w:t xml:space="preserve">Ho/He/PIC/Fst, AMOVA Phi-ST and p).</w:t>
      </w:r>
    </w:p>
    <w:p>
      <w:pPr>
        <w:pStyle w:val="BlockText"/>
      </w:pPr>
      <w:r>
        <w:t xml:space="preserve">D’ is strongly upward-biased in small samples — define blocks with r²; D’ is</w:t>
      </w:r>
      <w:r>
        <w:t xml:space="preserve"> </w:t>
      </w:r>
      <w:r>
        <w:t xml:space="preserve">reported for comparability with Arlequin/GENEPOP output.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export-formats"/>
    <w:p>
      <w:pPr>
        <w:pStyle w:val="Heading2"/>
      </w:pPr>
      <w:r>
        <w:t xml:space="preserve">9. Data Export Formats</w:t>
      </w:r>
    </w:p>
    <w:p>
      <w:pPr>
        <w:pStyle w:val="FirstParagraph"/>
      </w:pPr>
      <w:r>
        <w:t xml:space="preserve">SNP genotype matrices can be exported to eight formats: seven common</w:t>
      </w:r>
      <w:r>
        <w:t xml:space="preserve"> </w:t>
      </w:r>
      <w:r>
        <w:t xml:space="preserve">population-genetics formats, all read back with</w:t>
      </w:r>
      <w:r>
        <w:t xml:space="preserve"> </w:t>
      </w:r>
      <w:r>
        <w:rPr>
          <w:b/>
          <w:bCs/>
        </w:rPr>
        <w:t xml:space="preserve">Load Existing Data</w:t>
      </w:r>
      <w:r>
        <w:t xml:space="preserve">, plus</w:t>
      </w:r>
      <w:r>
        <w:t xml:space="preserve"> </w:t>
      </w:r>
      <w:r>
        <w:t xml:space="preserve">VCF 4.2 (new in v1.1.0, export-only, for downstream tools such as</w:t>
      </w:r>
      <w:r>
        <w:t xml:space="preserve"> </w:t>
      </w:r>
      <w:r>
        <w:t xml:space="preserve">bcftools / vcftools / tabix).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Target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Genepop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2-digit integer (A=01, T=02, C=03, G=04); 0000=missing</w:t>
            </w:r>
          </w:p>
        </w:tc>
        <w:tc>
          <w:tcPr/>
          <w:p>
            <w:pPr>
              <w:pStyle w:val="Compact"/>
            </w:pPr>
            <w:r>
              <w:t xml:space="preserve">Genepop, Fstat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Arlequin</w:t>
            </w:r>
          </w:p>
        </w:tc>
        <w:tc>
          <w:tcPr/>
          <w:p>
            <w:pPr>
              <w:pStyle w:val="Compact"/>
            </w:pPr>
            <w:r>
              <w:t xml:space="preserve">.arp</w:t>
            </w:r>
          </w:p>
        </w:tc>
        <w:tc>
          <w:tcPr/>
          <w:p>
            <w:pPr>
              <w:pStyle w:val="Compact"/>
            </w:pPr>
            <w:r>
              <w:t xml:space="preserve">Arlequin 3.5 project file, STANDARD data + [Structure] block</w:t>
            </w:r>
          </w:p>
        </w:tc>
        <w:tc>
          <w:tcPr/>
          <w:p>
            <w:pPr>
              <w:pStyle w:val="Compact"/>
            </w:pPr>
            <w:r>
              <w:t xml:space="preserve">Arlequin 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hierfstat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 </w:t>
            </w:r>
            <w:r>
              <w:t xml:space="preserve">+ locus names, then</w:t>
            </w:r>
            <w:r>
              <w:t xml:space="preserve"> </w:t>
            </w:r>
            <w:r>
              <w:rPr>
                <w:rStyle w:val="VerbatimChar"/>
              </w:rPr>
              <w:t xml:space="preserve">pop_id genotype</w:t>
            </w:r>
            <w:r>
              <w:t xml:space="preserve"> </w:t>
            </w:r>
            <w:r>
              <w:t xml:space="preserve">rows (A=1,T=2,C=3,G=4; 00=missing)</w:t>
            </w:r>
          </w:p>
        </w:tc>
        <w:tc>
          <w:tcPr/>
          <w:p>
            <w:pPr>
              <w:pStyle w:val="Compact"/>
            </w:pPr>
            <w:r>
              <w:t xml:space="preserve">R hierfstat (</w:t>
            </w:r>
            <w:r>
              <w:rPr>
                <w:rStyle w:val="VerbatimChar"/>
              </w:rPr>
              <w:t xml:space="preserve">read.table(header=TRUE)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GenAlEx</w:t>
            </w:r>
          </w:p>
        </w:tc>
        <w:tc>
          <w:tcPr/>
          <w:p>
            <w:pPr>
              <w:pStyle w:val="Compact"/>
            </w:pPr>
            <w: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3 header rows + 2 allele columns per locus (0=missing)</w:t>
            </w:r>
          </w:p>
        </w:tc>
        <w:tc>
          <w:tcPr/>
          <w:p>
            <w:pPr>
              <w:pStyle w:val="Compact"/>
            </w:pPr>
            <w:r>
              <w:t xml:space="preserve">GenAlEx 6.5, poppr/adegenet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2 columns per SNP; -9=missing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FSTAT</w:t>
            </w:r>
          </w:p>
        </w:tc>
        <w:tc>
          <w:tcPr/>
          <w:p>
            <w:pPr>
              <w:pStyle w:val="Compact"/>
            </w:pPr>
            <w:r>
              <w:t xml:space="preserve">.dat</w:t>
            </w:r>
          </w:p>
        </w:tc>
        <w:tc>
          <w:tcPr/>
          <w:p>
            <w:pPr>
              <w:pStyle w:val="Compact"/>
            </w:pPr>
            <w:r>
              <w:t xml:space="preserve">Integer allele codes with locus headers</w:t>
            </w:r>
          </w:p>
        </w:tc>
        <w:tc>
          <w:tcPr/>
          <w:p>
            <w:pPr>
              <w:pStyle w:val="Compact"/>
            </w:pPr>
            <w:r>
              <w:t xml:space="preserve">FSTAT 2.9.x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POPGENE32</w:t>
            </w:r>
          </w:p>
        </w:tc>
        <w:tc>
          <w:tcPr/>
          <w:p>
            <w:pPr>
              <w:pStyle w:val="Compact"/>
            </w:pPr>
            <w:r>
              <w:t xml:space="preserve">.pop</w:t>
            </w:r>
          </w:p>
        </w:tc>
        <w:tc>
          <w:tcPr/>
          <w:p>
            <w:pPr>
              <w:pStyle w:val="Compact"/>
            </w:pPr>
            <w:r>
              <w:t xml:space="preserve">2-letter genotype codes;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=missing</w:t>
            </w:r>
          </w:p>
        </w:tc>
        <w:tc>
          <w:tcPr/>
          <w:p>
            <w:pPr>
              <w:pStyle w:val="Compact"/>
            </w:pPr>
            <w:r>
              <w:t xml:space="preserve">POPGENE 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VCF 4.2</w:t>
            </w:r>
          </w:p>
        </w:tc>
        <w:tc>
          <w:tcPr/>
          <w:p>
            <w:pPr>
              <w:pStyle w:val="Compact"/>
            </w:pPr>
            <w:r>
              <w:t xml:space="preserve">.vcf</w:t>
            </w:r>
          </w:p>
        </w:tc>
        <w:tc>
          <w:tcPr/>
          <w:p>
            <w:pPr>
              <w:pStyle w:val="Compact"/>
            </w:pPr>
            <w:r>
              <w:t xml:space="preserve">One genotype column per sample (0/0, 0/1, 1/1; ./. = missing); CHROM/POS from the unique BLASTN mapping (minus-strand loci complemented to the reference-forward strand); loci without a unique mapping fall back to the virtual contig</w:t>
            </w:r>
            <w:r>
              <w:t xml:space="preserve"> </w:t>
            </w:r>
            <w:r>
              <w:rPr>
                <w:rStyle w:val="VerbatimChar"/>
              </w:rPr>
              <w:t xml:space="preserve">amplicon</w:t>
            </w:r>
          </w:p>
        </w:tc>
        <w:tc>
          <w:tcPr/>
          <w:p>
            <w:pPr>
              <w:pStyle w:val="Compact"/>
            </w:pPr>
            <w:r>
              <w:t xml:space="preserve">bcftools, vcftools, tabix</w:t>
            </w:r>
          </w:p>
        </w:tc>
      </w:tr>
    </w:tbl>
    <w:p>
      <w:pPr>
        <w:pStyle w:val="BodyText"/>
      </w:pPr>
      <w:r>
        <w:t xml:space="preserve">hierfstat example (tab-delimited):</w:t>
      </w:r>
    </w:p>
    <w:p>
      <w:pPr>
        <w:pStyle w:val="SourceCode"/>
      </w:pPr>
      <w:r>
        <w:rPr>
          <w:rStyle w:val="VerbatimChar"/>
        </w:rPr>
        <w:t xml:space="preserve">pop     SNP01   SNP02   SNP03</w:t>
      </w:r>
      <w:r>
        <w:br/>
      </w:r>
      <w:r>
        <w:rPr>
          <w:rStyle w:val="VerbatimChar"/>
        </w:rPr>
        <w:t xml:space="preserve">1       11      12      00</w:t>
      </w:r>
      <w:r>
        <w:br/>
      </w:r>
      <w:r>
        <w:rPr>
          <w:rStyle w:val="VerbatimChar"/>
        </w:rPr>
        <w:t xml:space="preserve">1       12      00      11</w:t>
      </w:r>
      <w:r>
        <w:br/>
      </w:r>
      <w:r>
        <w:rPr>
          <w:rStyle w:val="VerbatimChar"/>
        </w:rPr>
        <w:t xml:space="preserve">2       11      12      00</w:t>
      </w:r>
    </w:p>
    <w:p>
      <w:pPr>
        <w:pStyle w:val="FirstParagraph"/>
      </w:pPr>
      <w:r>
        <w:t xml:space="preserve">GenAlEx example (comma-delimited):</w:t>
      </w:r>
    </w:p>
    <w:p>
      <w:pPr>
        <w:pStyle w:val="SourceCode"/>
      </w:pPr>
      <w:r>
        <w:rPr>
          <w:rStyle w:val="VerbatimChar"/>
        </w:rPr>
        <w:t xml:space="preserve">3,4,2,2,2</w:t>
      </w:r>
      <w:r>
        <w:br/>
      </w:r>
      <w:r>
        <w:rPr>
          <w:rStyle w:val="VerbatimChar"/>
        </w:rPr>
        <w:t xml:space="preserve">"ABI-SNP Analyzer v1.1.0 - SNP genotypes | ALLELE_CODE:1=A,2=T,3=C,4=G",,,PopA,PopB</w:t>
      </w:r>
      <w:r>
        <w:br/>
      </w:r>
      <w:r>
        <w:rPr>
          <w:rStyle w:val="VerbatimChar"/>
        </w:rPr>
        <w:t xml:space="preserve">Sample,Pop,SNP01,,SNP02,,SNP03,</w:t>
      </w:r>
      <w:r>
        <w:br/>
      </w:r>
      <w:r>
        <w:rPr>
          <w:rStyle w:val="VerbatimChar"/>
        </w:rPr>
        <w:t xml:space="preserve">S01,PopA,1,1,1,2,0,0</w:t>
      </w:r>
      <w:r>
        <w:br/>
      </w:r>
      <w:r>
        <w:rPr>
          <w:rStyle w:val="VerbatimChar"/>
        </w:rPr>
        <w:t xml:space="preserve">S02,PopA,1,2,0,0,1,1</w:t>
      </w:r>
      <w:r>
        <w:br/>
      </w:r>
      <w:r>
        <w:rPr>
          <w:rStyle w:val="VerbatimChar"/>
        </w:rPr>
        <w:t xml:space="preserve">S03,PopB,1,1,1,2,0,0</w:t>
      </w:r>
      <w:r>
        <w:br/>
      </w:r>
      <w:r>
        <w:rPr>
          <w:rStyle w:val="VerbatimChar"/>
        </w:rPr>
        <w:t xml:space="preserve">S04,PopB,1,2,0,0,1,1</w:t>
      </w:r>
    </w:p>
    <w:p>
      <w:pPr>
        <w:pStyle w:val="FirstParagraph"/>
      </w:pPr>
      <w:r>
        <w:rPr>
          <w:b/>
          <w:bCs/>
        </w:rPr>
        <w:t xml:space="preserve">Export steps:</w:t>
      </w:r>
      <w:r>
        <w:t xml:space="preserve"> </w:t>
      </w:r>
      <w:r>
        <w:t xml:space="preserve">1. After genotyping or loading data, click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2. Select the target format from the dialog</w:t>
      </w:r>
      <w:r>
        <w:t xml:space="preserve"> </w:t>
      </w:r>
      <w:r>
        <w:t xml:space="preserve">3. Check</w:t>
      </w:r>
      <w:r>
        <w:t xml:space="preserve"> </w:t>
      </w:r>
      <w:r>
        <w:t xml:space="preserve">“Include population assignment info”</w:t>
      </w:r>
      <w:r>
        <w:t xml:space="preserve"> </w:t>
      </w:r>
      <w:r>
        <w:t xml:space="preserve">to include population grouping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and choose the save location</w:t>
      </w:r>
    </w:p>
    <w:p>
      <w:r>
        <w:pict>
          <v:rect style="width:0;height:1.5pt" o:hralign="center" o:hrstd="t" o:hr="t"/>
        </w:pict>
      </w:r>
    </w:p>
    <w:bookmarkEnd w:id="26"/>
    <w:bookmarkStart w:id="32" w:name="walkthrough-example"/>
    <w:p>
      <w:pPr>
        <w:pStyle w:val="Heading2"/>
      </w:pPr>
      <w:r>
        <w:t xml:space="preserve">10. Walkthrough Example</w:t>
      </w:r>
    </w:p>
    <w:p>
      <w:pPr>
        <w:pStyle w:val="FirstParagraph"/>
      </w:pPr>
      <w:r>
        <w:t xml:space="preserve">This example uses Sanger sequencing data from a salt tolerance-associated QTL</w:t>
      </w:r>
      <w:r>
        <w:t xml:space="preserve"> </w:t>
      </w:r>
      <w:r>
        <w:t xml:space="preserve">region validation study in Red tilapia (</w:t>
      </w:r>
      <w:r>
        <w:rPr>
          <w:i/>
          <w:iCs/>
        </w:rPr>
        <w:t xml:space="preserve">Oreochromis</w:t>
      </w:r>
      <w:r>
        <w:t xml:space="preserve"> </w:t>
      </w:r>
      <w:r>
        <w:t xml:space="preserve">spp.).</w:t>
      </w:r>
    </w:p>
    <w:bookmarkStart w:id="27" w:name="data-preparation"/>
    <w:p>
      <w:pPr>
        <w:pStyle w:val="Heading3"/>
      </w:pPr>
      <w:r>
        <w:t xml:space="preserve">10.1 Data Preparation</w:t>
      </w:r>
    </w:p>
    <w:p>
      <w:pPr>
        <w:pStyle w:val="Compact"/>
        <w:numPr>
          <w:ilvl w:val="0"/>
          <w:numId w:val="1008"/>
        </w:numPr>
      </w:pPr>
      <w:r>
        <w:t xml:space="preserve">88 .ab1 Sanger sequencing files (44 salt-tolerant + 44 salt-sensitive individuals)</w:t>
      </w:r>
    </w:p>
    <w:p>
      <w:pPr>
        <w:pStyle w:val="Compact"/>
        <w:numPr>
          <w:ilvl w:val="0"/>
          <w:numId w:val="1008"/>
        </w:numPr>
      </w:pPr>
      <w:r>
        <w:t xml:space="preserve">MUSCLE v5 (</w:t>
      </w:r>
      <w:r>
        <w:rPr>
          <w:rStyle w:val="VerbatimChar"/>
        </w:rPr>
        <w:t xml:space="preserve">muscle.exe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Nile tilapia reference genome FASTA (~1 GB)</w:t>
      </w:r>
    </w:p>
    <w:p>
      <w:pPr>
        <w:pStyle w:val="Compact"/>
        <w:numPr>
          <w:ilvl w:val="0"/>
          <w:numId w:val="1008"/>
        </w:numPr>
      </w:pPr>
      <w:r>
        <w:t xml:space="preserve">NCBI BLAST+ (</w:t>
      </w:r>
      <w:r>
        <w:rPr>
          <w:rStyle w:val="VerbatimChar"/>
        </w:rPr>
        <w:t xml:space="preserve">blastn.exe</w:t>
      </w:r>
      <w:r>
        <w:t xml:space="preserve">)</w:t>
      </w:r>
    </w:p>
    <w:bookmarkEnd w:id="27"/>
    <w:bookmarkStart w:id="28" w:name="parameter-settings"/>
    <w:p>
      <w:pPr>
        <w:pStyle w:val="Heading3"/>
      </w:pPr>
      <w:r>
        <w:t xml:space="preserve">10.2 Parameter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Similarity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MAF Threshold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Observed Het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Ratio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Quality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Base Quality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8"/>
    <w:bookmarkStart w:id="29" w:name="execution"/>
    <w:p>
      <w:pPr>
        <w:pStyle w:val="Heading3"/>
      </w:pPr>
      <w:r>
        <w:t xml:space="preserve">10.3 Execution</w:t>
      </w:r>
    </w:p>
    <w:p>
      <w:pPr>
        <w:pStyle w:val="Compact"/>
        <w:numPr>
          <w:ilvl w:val="0"/>
          <w:numId w:val="1009"/>
        </w:numPr>
      </w:pPr>
      <w:r>
        <w:t xml:space="preserve">Select the folder containing 88 .ab1 files</w:t>
      </w:r>
    </w:p>
    <w:p>
      <w:pPr>
        <w:pStyle w:val="Compact"/>
        <w:numPr>
          <w:ilvl w:val="0"/>
          <w:numId w:val="1009"/>
        </w:numPr>
      </w:pPr>
      <w:r>
        <w:t xml:space="preserve">Configure MUSCLE, reference genome, and BLASTN paths</w:t>
      </w:r>
    </w:p>
    <w:p>
      <w:pPr>
        <w:pStyle w:val="Compact"/>
        <w:numPr>
          <w:ilvl w:val="0"/>
          <w:numId w:val="1009"/>
        </w:numPr>
      </w:pPr>
      <w:r>
        <w:t xml:space="preserve">Choose an output directory</w:t>
      </w:r>
    </w:p>
    <w:p>
      <w:pPr>
        <w:pStyle w:val="Compact"/>
        <w:numPr>
          <w:ilvl w:val="0"/>
          <w:numId w:val="1009"/>
        </w:numPr>
      </w:pPr>
      <w:r>
        <w:t xml:space="preserve">Set parameters as above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Analysis</w:t>
      </w:r>
      <w:r>
        <w:t xml:space="preserve"> </w:t>
      </w:r>
      <w:r>
        <w:t xml:space="preserve">— processing completes in approximately 8 minutes</w:t>
      </w:r>
    </w:p>
    <w:bookmarkEnd w:id="29"/>
    <w:bookmarkStart w:id="30" w:name="results"/>
    <w:p>
      <w:pPr>
        <w:pStyle w:val="Heading3"/>
      </w:pPr>
      <w:r>
        <w:t xml:space="preserve">10.4 Results</w:t>
      </w:r>
    </w:p>
    <w:p>
      <w:pPr>
        <w:pStyle w:val="Compact"/>
        <w:numPr>
          <w:ilvl w:val="0"/>
          <w:numId w:val="1010"/>
        </w:numPr>
      </w:pPr>
      <w:r>
        <w:t xml:space="preserve">Consensus sequence length: 861 bp</w:t>
      </w:r>
    </w:p>
    <w:p>
      <w:pPr>
        <w:pStyle w:val="Compact"/>
        <w:numPr>
          <w:ilvl w:val="0"/>
          <w:numId w:val="1010"/>
        </w:numPr>
      </w:pPr>
      <w:r>
        <w:t xml:space="preserve">SNPs detected: 10</w:t>
      </w:r>
    </w:p>
    <w:p>
      <w:pPr>
        <w:pStyle w:val="Compact"/>
        <w:numPr>
          <w:ilvl w:val="0"/>
          <w:numId w:val="1010"/>
        </w:numPr>
      </w:pPr>
      <w:r>
        <w:t xml:space="preserve">Genotype data points: 880 (88 samples × 10 loci)</w:t>
      </w:r>
    </w:p>
    <w:p>
      <w:pPr>
        <w:pStyle w:val="Compact"/>
        <w:numPr>
          <w:ilvl w:val="0"/>
          <w:numId w:val="1010"/>
        </w:numPr>
      </w:pPr>
      <w:r>
        <w:t xml:space="preserve">Genotyping accuracy: 99.8% (878/880 concordant with manual curation)</w:t>
      </w:r>
    </w:p>
    <w:bookmarkEnd w:id="30"/>
    <w:bookmarkStart w:id="31" w:name="population-genetic-analysis-1"/>
    <w:p>
      <w:pPr>
        <w:pStyle w:val="Heading3"/>
      </w:pPr>
      <w:r>
        <w:t xml:space="preserve">10.5 Population Genetic Analysis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Population Manager</w:t>
      </w:r>
      <w:r>
        <w:t xml:space="preserve">, create two populations:</w:t>
      </w:r>
    </w:p>
    <w:p>
      <w:pPr>
        <w:pStyle w:val="Compact"/>
        <w:numPr>
          <w:ilvl w:val="1"/>
          <w:numId w:val="1012"/>
        </w:numPr>
      </w:pPr>
      <w:r>
        <w:t xml:space="preserve">“Salt-Tolerant”</w:t>
      </w:r>
      <w:r>
        <w:t xml:space="preserve"> </w:t>
      </w:r>
      <w:r>
        <w:t xml:space="preserve">(44 individuals)</w:t>
      </w:r>
    </w:p>
    <w:p>
      <w:pPr>
        <w:pStyle w:val="Compact"/>
        <w:numPr>
          <w:ilvl w:val="1"/>
          <w:numId w:val="1012"/>
        </w:numPr>
      </w:pPr>
      <w:r>
        <w:t xml:space="preserve">“Salt-Sensitive”</w:t>
      </w:r>
      <w:r>
        <w:t xml:space="preserve"> </w:t>
      </w:r>
      <w:r>
        <w:t xml:space="preserve">(44 individuals)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Statistical Analysis</w:t>
      </w:r>
      <w:r>
        <w:t xml:space="preserve"> </w:t>
      </w:r>
      <w:r>
        <w:t xml:space="preserve">to view population genetic statistics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to export data for downstream software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aq"/>
    <w:p>
      <w:pPr>
        <w:pStyle w:val="Heading2"/>
      </w:pPr>
      <w:r>
        <w:t xml:space="preserve">11. FAQ</w:t>
      </w:r>
    </w:p>
    <w:p>
      <w:pPr>
        <w:pStyle w:val="FirstParagraph"/>
      </w:pPr>
      <w:r>
        <w:rPr>
          <w:b/>
          <w:bCs/>
        </w:rPr>
        <w:t xml:space="preserve">Q: The software reports</w:t>
      </w:r>
      <w:r>
        <w:rPr>
          <w:b/>
          <w:bCs/>
        </w:rPr>
        <w:t xml:space="preserve"> </w:t>
      </w:r>
      <w:r>
        <w:rPr>
          <w:b/>
          <w:bCs/>
        </w:rPr>
        <w:t xml:space="preserve">“MUSCLE file not found.”</w:t>
      </w:r>
      <w:r>
        <w:rPr>
          <w:b/>
          <w:bCs/>
        </w:rPr>
        <w:t xml:space="preserve"> </w:t>
      </w:r>
      <w:r>
        <w:rPr>
          <w:b/>
          <w:bCs/>
        </w:rPr>
        <w:t xml:space="preserve">What should I do?</w:t>
      </w:r>
      <w:r>
        <w:t xml:space="preserve"> </w:t>
      </w:r>
      <w:r>
        <w:t xml:space="preserve">A: Ensure the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t xml:space="preserve">path is correct. Download MUSCLE v5 from</w:t>
      </w:r>
      <w:r>
        <w:t xml:space="preserve"> </w:t>
      </w:r>
      <w:r>
        <w:t xml:space="preserve">https://www.drive5.com/muscle/.</w:t>
      </w:r>
    </w:p>
    <w:p>
      <w:pPr>
        <w:pStyle w:val="BodyText"/>
      </w:pPr>
      <w:r>
        <w:rPr>
          <w:b/>
          <w:bCs/>
        </w:rPr>
        <w:t xml:space="preserve">Q: How long does reference genome mapping take?</w:t>
      </w:r>
      <w:r>
        <w:t xml:space="preserve"> </w:t>
      </w:r>
      <w:r>
        <w:t xml:space="preserve">A: It depends on genome size. With the Nile tilapia genome (~1 GB),</w:t>
      </w:r>
      <w:r>
        <w:t xml:space="preserve"> </w:t>
      </w:r>
      <w:r>
        <w:t xml:space="preserve">BLASTN alignment typically takes a few seconds to tens of seconds.</w:t>
      </w:r>
    </w:p>
    <w:p>
      <w:pPr>
        <w:pStyle w:val="BodyText"/>
      </w:pPr>
      <w:r>
        <w:rPr>
          <w:b/>
          <w:bCs/>
        </w:rPr>
        <w:t xml:space="preserve">Q: How long does batch processing of 400 samples take?</w:t>
      </w:r>
      <w:r>
        <w:t xml:space="preserve"> </w:t>
      </w:r>
      <w:r>
        <w:t xml:space="preserve">A: Approximately 37 minutes with BLASTN genome mapping enabled</w:t>
      </w:r>
      <w:r>
        <w:t xml:space="preserve"> </w:t>
      </w:r>
      <w:r>
        <w:t xml:space="preserve">(tested on i7-10700F, 16 GB RAM).</w:t>
      </w:r>
    </w:p>
    <w:p>
      <w:pPr>
        <w:pStyle w:val="BodyText"/>
      </w:pPr>
      <w:r>
        <w:rPr>
          <w:b/>
          <w:bCs/>
        </w:rPr>
        <w:t xml:space="preserve">Q: How accurate is heterozygote detection?</w:t>
      </w:r>
      <w:r>
        <w:t xml:space="preserve"> </w:t>
      </w:r>
      <w:r>
        <w:t xml:space="preserve">A: At the default signal ratio threshold of 0.30, concordance with manual</w:t>
      </w:r>
      <w:r>
        <w:t xml:space="preserve"> </w:t>
      </w:r>
      <w:r>
        <w:t xml:space="preserve">curation is approximately 99.8%. Adjust the Signal Ratio parameter to change</w:t>
      </w:r>
      <w:r>
        <w:t xml:space="preserve"> </w:t>
      </w:r>
      <w:r>
        <w:t xml:space="preserve">detection sensitivity.</w:t>
      </w:r>
    </w:p>
    <w:p>
      <w:pPr>
        <w:pStyle w:val="BodyText"/>
      </w:pPr>
      <w:r>
        <w:rPr>
          <w:b/>
          <w:bCs/>
        </w:rPr>
        <w:t xml:space="preserve">Q: Does the software support polyploid species?</w:t>
      </w:r>
      <w:r>
        <w:t xml:space="preserve"> </w:t>
      </w:r>
      <w:r>
        <w:t xml:space="preserve">A: The current version only supports diploid genotyping and population</w:t>
      </w:r>
      <w:r>
        <w:t xml:space="preserve"> </w:t>
      </w:r>
      <w:r>
        <w:t xml:space="preserve">genetics analysis.</w:t>
      </w:r>
    </w:p>
    <w:p>
      <w:pPr>
        <w:pStyle w:val="BodyText"/>
      </w:pPr>
      <w:r>
        <w:rPr>
          <w:b/>
          <w:bCs/>
        </w:rPr>
        <w:t xml:space="preserve">Q: Where are the output files?</w:t>
      </w:r>
      <w:r>
        <w:t xml:space="preserve"> </w:t>
      </w:r>
      <w:r>
        <w:t xml:space="preserve">A: All output files are located in the Output Directory selected before</w:t>
      </w:r>
      <w:r>
        <w:t xml:space="preserve"> </w:t>
      </w:r>
      <w:r>
        <w:t xml:space="preserve">starting the analysis. Sort by modification time to find the latest files.</w:t>
      </w:r>
    </w:p>
    <w:p>
      <w:pPr>
        <w:pStyle w:val="BodyText"/>
      </w:pPr>
      <w:r>
        <w:rPr>
          <w:b/>
          <w:bCs/>
        </w:rPr>
        <w:t xml:space="preserve">Q: How do I stop a running analysis?</w:t>
      </w:r>
      <w:r>
        <w:t xml:space="preserve"> </w:t>
      </w:r>
      <w:r>
        <w:t xml:space="preserve">A: Click the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 to safely abort the current analysis.</w:t>
      </w:r>
    </w:p>
    <w:p>
      <w:pPr>
        <w:pStyle w:val="BodyText"/>
      </w:pPr>
      <w:r>
        <w:rPr>
          <w:b/>
          <w:bCs/>
        </w:rPr>
        <w:t xml:space="preserve">Q: Can I share analysis settings across computers?</w:t>
      </w:r>
      <w:r>
        <w:t xml:space="preserve"> </w:t>
      </w:r>
      <w:r>
        <w:t xml:space="preserve">A: Each run generates an</w:t>
      </w:r>
      <w:r>
        <w:t xml:space="preserve"> </w:t>
      </w:r>
      <w:r>
        <w:rPr>
          <w:rStyle w:val="VerbatimChar"/>
        </w:rPr>
        <w:t xml:space="preserve">analysis_metadata.json</w:t>
      </w:r>
      <w:r>
        <w:t xml:space="preserve"> </w:t>
      </w:r>
      <w:r>
        <w:t xml:space="preserve">file that records all</w:t>
      </w:r>
      <w:r>
        <w:t xml:space="preserve"> </w:t>
      </w:r>
      <w:r>
        <w:t xml:space="preserve">parameters and dependency versions for reproducibility.</w:t>
      </w:r>
    </w:p>
    <w:p>
      <w:r>
        <w:pict>
          <v:rect style="width:0;height:1.5pt" o:hralign="center" o:hrstd="t" o:hr="t"/>
        </w:pict>
      </w:r>
    </w:p>
    <w:bookmarkEnd w:id="33"/>
    <w:bookmarkStart w:id="34" w:name="contact-support"/>
    <w:p>
      <w:pPr>
        <w:pStyle w:val="Heading2"/>
      </w:pPr>
      <w:r>
        <w:t xml:space="preserve">Contact &amp; Support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GitHub</w:t>
      </w:r>
      <w:r>
        <w:t xml:space="preserve">: https://github.com/xiacy111111/abi-snp-analyzer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 Tracker</w:t>
      </w:r>
      <w:r>
        <w:t xml:space="preserve">: https://github.com/xiacy111111/abi-snp-analyzer/issues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Email</w:t>
      </w:r>
      <w:r>
        <w:t xml:space="preserve">: chengyu.xia@xidian.edu.cn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ABI-SNP Analyzer v1.1.0 | MIT License | Copyright (c) 2026 Chengyu Xia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xiacy111111/abi-snp-analyzer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xiacy111111/abi-snp-analyzer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ABI-SNP Analyzer v1.1.0 — User Manual</dc:title>
  <dc:creator/>
  <cp:keywords/>
  <dcterms:created xsi:type="dcterms:W3CDTF">2026-10-12T07:25:47Z</dcterms:created>
  <dcterms:modified xsi:type="dcterms:W3CDTF">2026-10-12T07:25:47Z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