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36"/>
        </w:rPr>
        <w:t>深圳鲲鹏青年创新创业项目申请简介</w:t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26"/>
        </w:rPr>
        <w:t>FrontMind：可信智能体驱动的企业 GEO 与 AI 增长平台</w:t>
      </w:r>
    </w:p>
    <w:p>
      <w:pPr>
        <w:spacing w:after="100"/>
        <w:jc w:val="center"/>
      </w:pPr>
      <w:r>
        <w:rPr>
          <w:rFonts w:ascii="Arial Unicode MS" w:hAnsi="Arial Unicode MS" w:eastAsia="Arial Unicode MS" w:cs="Arial Unicode MS"/>
          <w:color w:val="585858"/>
          <w:sz w:val="18"/>
        </w:rPr>
        <w:t>申报主体：深圳市超前无限科技有限公司（以营业执照为准）｜项目负责人：夏凡增｜所属领域：人工智能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000000"/>
          <w:sz w:val="26"/>
        </w:rPr>
        <w:t>一、产业导向与商业模式</w:t>
      </w:r>
    </w:p>
    <w:p>
      <w:pPr>
        <w:spacing w:before="0" w:after="50" w:line="252" w:lineRule="auto"/>
        <w:ind w:firstLine="420"/>
        <w:jc w:val="both"/>
      </w:pPr>
      <w:r>
        <w:rPr>
          <w:rFonts w:ascii="Arial Unicode MS" w:hAnsi="Arial Unicode MS" w:eastAsia="Arial Unicode MS" w:cs="Arial Unicode MS"/>
          <w:color w:val="000000"/>
          <w:sz w:val="20"/>
        </w:rPr>
        <w:t>FrontMind 主匹配深圳“20+8”产业集群中的人工智能产业集群，并与软件和信息服务业交叉融合。生成式人工智能正成为用户发现、比较和选择产品的重要入口，但企业资料分散、事实过时、引用不足，传统 SEO 又无法衡量品牌在大模型回答中的提及率、推荐倾向、情绪、信源和竞品占位；单次回答具有随机性，监测、内容、渠道与线索系统割裂，企业迫切需要可验证、可持续的智能认知经营工具。</w:t>
      </w:r>
    </w:p>
    <w:p>
      <w:pPr>
        <w:spacing w:before="0" w:after="50" w:line="252" w:lineRule="auto"/>
        <w:ind w:firstLine="420"/>
        <w:jc w:val="both"/>
      </w:pPr>
      <w:r>
        <w:rPr>
          <w:rFonts w:ascii="Arial Unicode MS" w:hAnsi="Arial Unicode MS" w:eastAsia="Arial Unicode MS" w:cs="Arial Unicode MS"/>
          <w:color w:val="000000"/>
          <w:sz w:val="20"/>
        </w:rPr>
        <w:t>项目以可信企业知识和证据为底座，形成 MindPromise、MindReach、MindNexus/FDE 三层产品。MindPromise 提供品牌事实图谱、证据库、语义资产审计及豆包、腾讯元宝、DeepSeek、百度 AI+、通义千问、Kimi 等主流平台的重复监测，输出引用、情绪、竞品与问答内容优化结果；MindReach 识别用户意图，连接内容、渠道和线索触达；MindNexus/FDE 将私有知识、业务流程、API、权限、审计和安全机制接入企业生产环境。</w:t>
      </w:r>
    </w:p>
    <w:p>
      <w:pPr>
        <w:spacing w:before="0" w:after="50" w:line="252" w:lineRule="auto"/>
        <w:ind w:firstLine="420"/>
        <w:jc w:val="both"/>
      </w:pPr>
      <w:r>
        <w:rPr>
          <w:rFonts w:ascii="Arial Unicode MS" w:hAnsi="Arial Unicode MS" w:eastAsia="Arial Unicode MS" w:cs="Arial Unicode MS"/>
          <w:color w:val="000000"/>
          <w:sz w:val="20"/>
        </w:rPr>
        <w:t>商业模式为“标准化软件订阅＋专业服务＋企业级部署”。项目以低门槛诊断切入，以月度或季度监测、知识库和持续优化形成订阅收入，以品牌定位、证据治理、内容资产和渠道执行形成专业服务收入，并通过 FDE、私有化部署、系统集成和联合研发提升复杂客户客单价。项目将与高校、园区、行业协会和企业服务机构开展联合诊断、交付和客户转介，形成“诊断—订阅—深度部署—持续复测”的规模化闭环。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000000"/>
          <w:sz w:val="26"/>
        </w:rPr>
        <w:t>二、核心团队与创业实践</w:t>
      </w:r>
    </w:p>
    <w:p>
      <w:pPr>
        <w:spacing w:before="0" w:after="50" w:line="252" w:lineRule="auto"/>
        <w:ind w:firstLine="420"/>
        <w:jc w:val="both"/>
      </w:pPr>
      <w:r>
        <w:rPr>
          <w:rFonts w:ascii="Arial Unicode MS" w:hAnsi="Arial Unicode MS" w:eastAsia="Arial Unicode MS" w:cs="Arial Unicode MS"/>
          <w:color w:val="000000"/>
          <w:sz w:val="20"/>
        </w:rPr>
        <w:t>项目负责人夏凡增为香港中文大学（深圳）数据科学方向博士研究生，研究聚焦 GEO 与营销智能体、上下文决策及稳健大模型应用，拥有纽约大学计算机科学硕士背景，并具有自然语言处理算法研究、亚马逊云科技全栈工程和企业产品化经验。其现任 FrontMind 联合创始人兼 CEO，负责战略、产品路线、核心技术、融资、产业合作和关键客户拓展。</w:t>
      </w:r>
    </w:p>
    <w:p>
      <w:pPr>
        <w:spacing w:before="0" w:after="50" w:line="252" w:lineRule="auto"/>
        <w:ind w:firstLine="420"/>
        <w:jc w:val="both"/>
      </w:pPr>
      <w:r>
        <w:rPr>
          <w:rFonts w:ascii="Arial Unicode MS" w:hAnsi="Arial Unicode MS" w:eastAsia="Arial Unicode MS" w:cs="Arial Unicode MS"/>
          <w:color w:val="000000"/>
          <w:sz w:val="20"/>
        </w:rPr>
        <w:t>项目依托香港中文大学（深圳）智能决策实验室在可信人工智能、在线决策、强化学习、控制和 GEO 等方向的研究基础。实验室公开资料显示，团队成立于 2022 年，拥有 14 名成员、52 篇论文和 4 项专利。项目团队按算法研究、平台工程、品牌策略与内容、商务交付与客户成功分工，已将研究方法转化为可访问的网站和企业服务平台，并实现知识库、监测看板、多租户权限、合同支付、账号开通、服务进度及操作审计等生产化能力，体现了从科研原型到软件产品和交付流程的转化能力。</w:t>
      </w:r>
    </w:p>
    <w:p>
      <w:pPr>
        <w:spacing w:before="0" w:after="50" w:line="252" w:lineRule="auto"/>
        <w:ind w:firstLine="420"/>
        <w:jc w:val="both"/>
      </w:pPr>
      <w:r>
        <w:rPr>
          <w:rFonts w:ascii="Arial Unicode MS" w:hAnsi="Arial Unicode MS" w:eastAsia="Arial Unicode MS" w:cs="Arial Unicode MS"/>
          <w:color w:val="000000"/>
          <w:sz w:val="20"/>
        </w:rPr>
        <w:t>公开资料显示，相关团队曾获 2024 年“未来香港”创新科技大赛冠军，并在 2025 年中国创新创业大赛、上海海聚英才全球创新创业大赛、C-Star 等活动中获奖或入选。正式申报时须补充其他核心成员姓名、学历、经历、职责及劳动或合作关系，并以证书、协议核验奖项和成果主体；实验室论文、专利和合作仅在取得许可、转让或共同研发证明后，方可作为申请企业成果。</w:t>
      </w:r>
    </w:p>
    <w:p>
      <w:pPr>
        <w:spacing w:after="0"/>
      </w:pPr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000000"/>
          <w:sz w:val="26"/>
        </w:rPr>
        <w:t>三、创新能力与市场潜力</w:t>
      </w:r>
    </w:p>
    <w:p>
      <w:pPr>
        <w:spacing w:before="0" w:after="50" w:line="252" w:lineRule="auto"/>
        <w:ind w:firstLine="420"/>
        <w:jc w:val="both"/>
      </w:pPr>
      <w:r>
        <w:rPr>
          <w:rFonts w:ascii="Arial Unicode MS" w:hAnsi="Arial Unicode MS" w:eastAsia="Arial Unicode MS" w:cs="Arial Unicode MS"/>
          <w:color w:val="000000"/>
          <w:sz w:val="20"/>
        </w:rPr>
        <w:t>FrontMind 的壁垒不是单一提示词或内容生成，而是“可信证据—跨平台评测—智能决策—执行复测—企业工程”的连续系统。项目把产品主张、技术参数、资质和案例映射到具体来源、时效与权威等级；通过跨模型、跨问题、多次采样统一测量提及、排序、情绪、引用和竞品占位；再依据认知差距安排问题、内容和渠道动作，并在执行后复测，形成可解释、可验证的增长闭环。多租户权限、密钥保护、操作审计和系统集成能力，使产品能够进入企业生产环境。</w:t>
      </w:r>
    </w:p>
    <w:p>
      <w:pPr>
        <w:spacing w:before="0" w:after="50" w:line="252" w:lineRule="auto"/>
        <w:ind w:firstLine="420"/>
        <w:jc w:val="both"/>
      </w:pPr>
      <w:r>
        <w:rPr>
          <w:rFonts w:ascii="Arial Unicode MS" w:hAnsi="Arial Unicode MS" w:eastAsia="Arial Unicode MS" w:cs="Arial Unicode MS"/>
          <w:color w:val="000000"/>
          <w:sz w:val="20"/>
        </w:rPr>
        <w:t>相较传统 SEO 和内容服务，FrontMind 直接优化生成式人工智能回答、推荐与引用；相较 Profound、Scrunch、Peec 等可见度监测产品，更强调中文主流平台、可信证据、企业知识库以及从诊断到执行的闭环；相较通用 AI 咨询，又以标准化平台提高复用效率，并保留 FDE 和私有部署能力。项目已形成自主研发的平台代码、数据结构、评测流程、行业问答方法和智能体工作流，企业软件著作权、专利、商标及职务成果协议为【待补】，实验室专利未经权属证明不得列作企业自有知识产权。</w:t>
      </w:r>
    </w:p>
    <w:p>
      <w:pPr>
        <w:spacing w:before="0" w:after="50" w:line="252" w:lineRule="auto"/>
        <w:ind w:firstLine="420"/>
        <w:jc w:val="both"/>
      </w:pPr>
      <w:r>
        <w:rPr>
          <w:rFonts w:ascii="Arial Unicode MS" w:hAnsi="Arial Unicode MS" w:eastAsia="Arial Unicode MS" w:cs="Arial Unicode MS"/>
          <w:color w:val="000000"/>
          <w:sz w:val="20"/>
        </w:rPr>
        <w:t>目前项目已上线 FrontMind 官网和在线服务入口，形成三层产品架构及六类中文主流人工智能平台监测框架，具备知识库、问题选择、意图优化、回答逻辑、持续监测、渠道分发、内容资产、合同支付与项目交付功能。官网公开披露服务“100+行业客户/品牌案例”，正式申报时应以企业名下合同、发票、回款或经授权案例清单核验，不将公开展示等同于已实现收入。</w:t>
      </w:r>
    </w:p>
    <w:p>
      <w:pPr>
        <w:spacing w:before="0" w:after="50" w:line="252" w:lineRule="auto"/>
        <w:ind w:firstLine="420"/>
        <w:jc w:val="both"/>
      </w:pPr>
      <w:r>
        <w:rPr>
          <w:rFonts w:ascii="Arial Unicode MS" w:hAnsi="Arial Unicode MS" w:eastAsia="Arial Unicode MS" w:cs="Arial Unicode MS"/>
          <w:color w:val="000000"/>
          <w:sz w:val="20"/>
        </w:rPr>
        <w:t>截至 2025 年末，我国生成式人工智能用户约 6.02 亿、普及率 42.8%，人工智能核心产业规模超过 1.2 万亿元；深圳人工智能核心产业规模超过 2200 亿元，规模以上人工智能企业超过 2600 家，并拥有约 2.6 万家国家高新技术企业。GEO 尚无统一官方市场口径，按深圳 2.6 万家高新技术企业中首阶段转化 1%、年度综合客单价 3 万元测算，初始年服务机会约 780 万元。该数值为经营假设，未来可向大湾区、全国科技企业和出海品牌扩展。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000000"/>
          <w:sz w:val="26"/>
        </w:rPr>
        <w:t>四、运营及造血能力</w:t>
      </w:r>
    </w:p>
    <w:p>
      <w:pPr>
        <w:spacing w:before="0" w:after="50" w:line="252" w:lineRule="auto"/>
        <w:ind w:firstLine="420"/>
        <w:jc w:val="both"/>
      </w:pPr>
      <w:r>
        <w:rPr>
          <w:rFonts w:ascii="Arial Unicode MS" w:hAnsi="Arial Unicode MS" w:eastAsia="Arial Unicode MS" w:cs="Arial Unicode MS"/>
          <w:color w:val="000000"/>
          <w:sz w:val="20"/>
        </w:rPr>
        <w:t>项目已具备独立品牌、公开网站、产品平台和从诊断、合同、支付、账号开通到持续交付的运营基础。企业真实经营数据须据实补充：截至 2026 年【月份】，累计营收【】万元、已回款【】万元、在手订单【】份／【】万元、现金余额【】万元；股东及团队自筹【】万元，外部融资【尚未融资／轮次及金额】，企业名下合作协议【】项。上述内容须与财务报表、纳税记录、银行流水、合同、发票、回款和验收材料一致，意向客户、公开案例及实验室合作不计作企业订单。</w:t>
      </w:r>
    </w:p>
    <w:p>
      <w:pPr>
        <w:spacing w:before="0" w:after="50" w:line="252" w:lineRule="auto"/>
        <w:ind w:firstLine="420"/>
        <w:jc w:val="both"/>
      </w:pPr>
      <w:r>
        <w:rPr>
          <w:rFonts w:ascii="Arial Unicode MS" w:hAnsi="Arial Unicode MS" w:eastAsia="Arial Unicode MS" w:cs="Arial Unicode MS"/>
          <w:color w:val="000000"/>
          <w:sz w:val="20"/>
        </w:rPr>
        <w:t>项目的造血路径分为三层：标准化诊断和持续监测形成订阅续费，知识库、问答、内容和渠道服务提高复购与综合客单价，FDE、私有化部署和系统集成形成高价值项目收入。随着行业知识包沉淀和交付自动化，单位客户成本将下降，订阅收入与毛利率有望提高，从而逐步减少对一次性项目和外部融资的依赖。</w:t>
      </w:r>
    </w:p>
    <w:p>
      <w:pPr>
        <w:spacing w:before="0" w:after="50" w:line="252" w:lineRule="auto"/>
        <w:ind w:firstLine="420"/>
        <w:jc w:val="both"/>
      </w:pPr>
      <w:r>
        <w:rPr>
          <w:rFonts w:ascii="Arial Unicode MS" w:hAnsi="Arial Unicode MS" w:eastAsia="Arial Unicode MS" w:cs="Arial Unicode MS"/>
          <w:color w:val="000000"/>
          <w:sz w:val="20"/>
        </w:rPr>
        <w:t>结合当前产品基础，项目建议将 2027—2029 年新增产值目标设为 300 万元、800 万元和 1800 万元，三年累计 2900 万元；对应付费客户目标为 100 家、200 家和 360 家。三年计划累计新增就业约 35 人，其中 2027 年新增 8 人、2028 年累计 18 人、2029 年累计 35 人，岗位覆盖算法、平台工程、数据与知识运营、品牌策略、行业交付、商务拓展和客户成功。上述均为规划目标，须由企业依据实际销售周期、成本结构和现金流确认。</w:t>
      </w:r>
    </w:p>
    <w:p>
      <w:pPr>
        <w:spacing w:before="0" w:after="50" w:line="252" w:lineRule="auto"/>
        <w:ind w:firstLine="420"/>
        <w:jc w:val="both"/>
      </w:pPr>
      <w:r>
        <w:rPr>
          <w:rFonts w:ascii="Arial Unicode MS" w:hAnsi="Arial Unicode MS" w:eastAsia="Arial Unicode MS" w:cs="Arial Unicode MS"/>
          <w:color w:val="000000"/>
          <w:sz w:val="20"/>
        </w:rPr>
        <w:t>项目资金将重点投入证据型知识引擎、跨平台评测、可信智能体决策、产品安全、知识产权确权、行业知识包和交付自动化，短期完成核心版本与首批可核验标杆客户，中期提升续费和订阅收入占比，长期拓展企业级部署、全国及出海市场。文中所有【待补】及公开披露数据，提交前须以营业执照、身份与学历证明、团队材料、财务与税务资料、合同回款、合作协议、获奖证书和知识产权权属文件逐项核验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 Unicode MS" w:hAnsi="Arial Unicode MS" w:eastAsia="Arial Unicode MS" w:cs="Arial Unicode MS"/>
        <w:color w:val="58585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2" w:lineRule="auto"/>
    </w:pPr>
    <w:rPr>
      <w:rFonts w:ascii="Arial Unicode MS" w:hAnsi="Arial Unicode MS" w:eastAsia="Arial Unicode MS" w:cs="Arial Unicode MS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FrontMind 深圳鲲鹏青年创新创业项目申请简介（两页精简版）</dc:title>
  <dc:subject>深圳鲲鹏青年创新创业项目申报材料</dc:subject>
  <dc:creator>FrontMind</dc:creator>
  <cp:keywords>FrontMind, 深圳鲲鹏青年, 人工智能, GEO, 可信智能体</cp:keywords>
  <dc:description>两页精简版；待补及公开披露数据须在正式提交前核验。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