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0" w:space="0" w:color="5C4BD9"/>
          <w:left w:val="single" w:sz="0" w:space="0" w:color="5C4BD9"/>
          <w:bottom w:val="single" w:sz="0" w:space="0" w:color="5C4BD9"/>
          <w:right w:val="single" w:sz="0" w:space="0" w:color="5C4BD9"/>
          <w:insideH w:val="single" w:sz="0" w:space="0" w:color="5C4BD9"/>
          <w:insideV w:val="single" w:sz="0" w:space="0" w:color="5C4BD9"/>
        </w:tblBorders>
      </w:tblPr>
      <w:tblGrid>
        <w:gridCol w:w="9360"/>
      </w:tblGrid>
      <w:tr>
        <w:tc>
          <w:tcPr>
            <w:tcW w:type="dxa" w:w="9360"/>
            <w:shd w:fill="19253F"/>
            <w:tcMar>
              <w:top w:w="260" w:type="dxa"/>
              <w:start w:w="220" w:type="dxa"/>
              <w:bottom w:w="260" w:type="dxa"/>
              <w:end w:w="2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SHENZHEN KUNPENG YOUTH INNOVATION &amp; ENTREPRENEURSHIP</w:t>
            </w:r>
          </w:p>
        </w:tc>
      </w:tr>
    </w:tbl>
    <w:p>
      <w:pPr>
        <w:spacing w:after="240"/>
      </w:pP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4BD9"/>
          <w:sz w:val="34"/>
        </w:rPr>
        <w:t>FrontMind</w:t>
      </w:r>
    </w:p>
    <w:p>
      <w:pPr>
        <w:pStyle w:val="Title"/>
        <w:spacing w:after="120"/>
        <w:jc w:val="center"/>
      </w:pPr>
      <w:r>
        <w:rPr>
          <w:rFonts w:ascii="Arial Unicode MS" w:hAnsi="Arial Unicode MS" w:eastAsia="Arial Unicode MS" w:cs="Arial Unicode MS"/>
          <w:b/>
          <w:i w:val="0"/>
          <w:color w:val="19253F"/>
          <w:sz w:val="50"/>
        </w:rPr>
        <w:t>可信智能体驱动的企业 GEO 与 AI 增长平台</w:t>
      </w:r>
    </w:p>
    <w:p>
      <w:pPr>
        <w:pStyle w:val="Subtitle"/>
        <w:spacing w:after="240"/>
        <w:jc w:val="center"/>
      </w:pPr>
      <w:r>
        <w:rPr>
          <w:rFonts w:ascii="Arial Unicode MS" w:hAnsi="Arial Unicode MS" w:eastAsia="Arial Unicode MS" w:cs="Arial Unicode MS"/>
          <w:b w:val="0"/>
          <w:i w:val="0"/>
          <w:color w:val="647084"/>
          <w:sz w:val="26"/>
        </w:rPr>
        <w:t>深圳鲲鹏青年创新创业项目 · 项目申请简介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3120"/>
        <w:gridCol w:w="3120"/>
        <w:gridCol w:w="3120"/>
      </w:tblGrid>
      <w:tr>
        <w:tc>
          <w:tcPr>
            <w:tcW w:type="dxa" w:w="3560"/>
            <w:shd w:fill="5C4BD9"/>
            <w:tcMar>
              <w:top w:w="35" w:type="dxa"/>
              <w:start w:w="0" w:type="dxa"/>
              <w:bottom w:w="35" w:type="dxa"/>
              <w:end w:w="0" w:type="dxa"/>
            </w:tcMar>
          </w:tcPr>
          <w:p/>
        </w:tc>
        <w:tc>
          <w:tcPr>
            <w:tcW w:type="dxa" w:w="2240"/>
            <w:shd w:fill="C6A452"/>
            <w:tcMar>
              <w:top w:w="35" w:type="dxa"/>
              <w:start w:w="0" w:type="dxa"/>
              <w:bottom w:w="35" w:type="dxa"/>
              <w:end w:w="0" w:type="dxa"/>
            </w:tcMar>
          </w:tcPr>
          <w:p/>
        </w:tc>
        <w:tc>
          <w:tcPr>
            <w:tcW w:type="dxa" w:w="3560"/>
            <w:shd w:fill="EAF2FB"/>
            <w:tcMar>
              <w:top w:w="35" w:type="dxa"/>
              <w:start w:w="0" w:type="dxa"/>
              <w:bottom w:w="35" w:type="dxa"/>
              <w:end w:w="0" w:type="dxa"/>
            </w:tcMar>
          </w:tcPr>
          <w:p/>
        </w:tc>
      </w:tr>
    </w:tbl>
    <w:p>
      <w:pPr>
        <w:spacing w:after="240"/>
      </w:pPr>
    </w:p>
    <w:tbl>
      <w:tblPr>
        <w:tblW w:type="dxa" w:w="8200"/>
        <w:jc w:val="center"/>
        <w:tblLayout w:type="fixed"/>
        <w:tblLook w:firstColumn="1" w:firstRow="1" w:lastColumn="0" w:lastRow="0" w:noHBand="0" w:noVBand="1" w:val="04A0"/>
        <w:tblInd w:w="700" w:type="dxa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10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9253F"/>
                <w:sz w:val="19"/>
              </w:rPr>
              <w:t>申报主体（暂定）</w:t>
            </w:r>
          </w:p>
        </w:tc>
        <w:tc>
          <w:tcPr>
            <w:tcW w:type="dxa" w:w="610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9"/>
                <w:shd w:fill="FFF2CC"/>
              </w:rPr>
              <w:t>深圳市超前无限科技有限公司（最终以营业执照为准）</w:t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9253F"/>
                <w:sz w:val="19"/>
              </w:rPr>
              <w:t>项目负责人</w:t>
            </w:r>
          </w:p>
        </w:tc>
        <w:tc>
          <w:tcPr>
            <w:tcW w:type="dxa" w:w="610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9"/>
              </w:rPr>
              <w:t>夏凡增</w:t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9253F"/>
                <w:sz w:val="19"/>
              </w:rPr>
              <w:t>所属领域</w:t>
            </w:r>
          </w:p>
        </w:tc>
        <w:tc>
          <w:tcPr>
            <w:tcW w:type="dxa" w:w="610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9"/>
              </w:rPr>
              <w:t>人工智能（主赛道）；软件和信息服务（关联支撑）</w:t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9253F"/>
                <w:sz w:val="19"/>
              </w:rPr>
              <w:t>建议推荐单位</w:t>
            </w:r>
          </w:p>
        </w:tc>
        <w:tc>
          <w:tcPr>
            <w:tcW w:type="dxa" w:w="610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9"/>
                <w:shd w:fill="FFF2CC"/>
              </w:rPr>
              <w:t>香港中文大学（深圳）（待校方书面确认）</w:t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9253F"/>
                <w:sz w:val="19"/>
              </w:rPr>
              <w:t>文件版本</w:t>
            </w:r>
          </w:p>
        </w:tc>
        <w:tc>
          <w:tcPr>
            <w:tcW w:type="dxa" w:w="610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9"/>
              </w:rPr>
              <w:t>2026 年 7 月 · 草拟版 / 非提交版</w:t>
            </w:r>
          </w:p>
        </w:tc>
      </w:tr>
      <w:tr>
        <w:trPr>
          <w:cantSplit/>
        </w:trPr>
        <w:tc>
          <w:tcPr>
            <w:tcW w:type="dxa" w:w="210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9253F"/>
                <w:sz w:val="19"/>
              </w:rPr>
              <w:t>填报说明</w:t>
            </w:r>
          </w:p>
        </w:tc>
        <w:tc>
          <w:tcPr>
            <w:tcW w:type="dxa" w:w="610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9"/>
                <w:shd w:fill="FFF2CC"/>
              </w:rPr>
              <w:t>黄色标识为提交前待核验内容；公开信息须以合同、证照或权属文件举证。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申报摘要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10" w:space="0" w:color="C6A452"/>
          <w:left w:val="single" w:sz="10" w:space="0" w:color="C6A452"/>
          <w:bottom w:val="single" w:sz="10" w:space="0" w:color="C6A452"/>
          <w:right w:val="single" w:sz="10" w:space="0" w:color="C6A452"/>
          <w:insideH w:val="single" w:sz="10" w:space="0" w:color="C6A452"/>
          <w:insideV w:val="single" w:sz="10" w:space="0" w:color="C6A452"/>
        </w:tblBorders>
      </w:tblPr>
      <w:tblGrid>
        <w:gridCol w:w="9360"/>
      </w:tblGrid>
      <w:tr>
        <w:tc>
          <w:tcPr>
            <w:tcW w:type="dxa" w:w="9360"/>
            <w:shd w:fill="EEEAFE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5C4BD9"/>
                <w:sz w:val="22"/>
              </w:rPr>
              <w:t>一句话定位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</w:rPr>
              <w:t>FrontMind 将企业分散的品牌事实、产品证据与市场需求，转化为可被生成式 AI 准确理解、可信引用并持续优化的知识与增长闭环。</w:t>
            </w:r>
          </w:p>
        </w:tc>
      </w:tr>
    </w:tbl>
    <w:p>
      <w:pPr>
        <w:spacing w:after="0"/>
      </w:pP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FrontMind 起源于香港中文大学（深圳）数据科学学院智能决策实验室的研究与成果转化实践，面向生成式人工智能重塑“发现—比较—决策—推荐”链路的新环境，建设可信智能体驱动的企业 GEO（Generative Engine Optimization，生成式引擎优化）与 AI 增长平台。项目以企业知识与证据治理为底座，通过跨平台监测、品牌语义诊断、问答与内容资产生成、增长线索触达和企业级工作流集成，帮助企业降低 AI 回答中的事实缺失、引用不足、定位偏差与执行断层。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项目主匹配深圳“20+8”产业集群中的人工智能产业集群，并与软件和信息服务产业集群形成交叉支撑；服务对象可覆盖深圳先进制造、科技服务、消费品牌和出海企业。现阶段已形成公开官网、企业服务平台、六类主流 AI 平台的监测框架、知识库与问答体系、内容与渠道交付模块，以及合同、支付、账号开通和权限审计等产品化基础。商业模式采用“标准化 SaaS/订阅 + 专家交付 + 企业 FDE/定制部署”的分层结构。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项目负责人夏凡增具备计算机、自然语言处理、云计算与生成式 AI 决策研究经历，团队依托实验室在可信 AI、在线决策、强化学习和 GEO 等方向的研究积累推进成果转化。项目拟以深圳为产品研发、企业交付与市场拓展中心，优先完成证据型知识引擎、跨模型评测、智能体决策与企业安全部署的产品化，形成可重复销售和可持续续费的造血能力。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10" w:space="0" w:color="C6A452"/>
          <w:left w:val="single" w:sz="10" w:space="0" w:color="C6A452"/>
          <w:bottom w:val="single" w:sz="10" w:space="0" w:color="C6A452"/>
          <w:right w:val="single" w:sz="10" w:space="0" w:color="C6A452"/>
          <w:insideH w:val="single" w:sz="10" w:space="0" w:color="C6A452"/>
          <w:insideV w:val="single" w:sz="10" w:space="0" w:color="C6A452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9253F"/>
                <w:sz w:val="22"/>
              </w:rPr>
              <w:t>申报口径提示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</w:rPr>
              <w:t>本稿中的“100+ 行业客户/品牌案例、实验室 52 篇论文与 4 项专利、获奖与合作经历”均按公开资料表述。提交前须补充合同、授权、获奖证书及知识产权权属证明；实验室成果不得在无许可或转让文件的情况下表述为企业自有资产。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事实状态图例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30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标识</w:t>
            </w:r>
          </w:p>
        </w:tc>
        <w:tc>
          <w:tcPr>
            <w:tcW w:type="dxa" w:w="278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528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本稿处理方式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8"/>
              </w:rPr>
              <w:t>已核实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来自政策原文、公开官网或项目代码</w:t>
            </w:r>
          </w:p>
        </w:tc>
        <w:tc>
          <w:tcPr>
            <w:tcW w:type="dxa" w:w="5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可作为事实描述，仍建议保留原始材料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8"/>
              </w:rPr>
              <w:t>公开披露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来自项目方/实验室公开页面</w:t>
            </w:r>
          </w:p>
        </w:tc>
        <w:tc>
          <w:tcPr>
            <w:tcW w:type="dxa" w:w="528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以“公开资料显示”表述，经营业绩另行举证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8"/>
              </w:rPr>
              <w:t>规划目标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团队拟定的未来经营与就业目标</w:t>
            </w:r>
          </w:p>
        </w:tc>
        <w:tc>
          <w:tcPr>
            <w:tcW w:type="dxa" w:w="5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不得与已实现收入、订单混写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8"/>
              </w:rPr>
              <w:t>待补证据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证照、身份、财务、订单、融资、IP 等未提供</w:t>
            </w:r>
          </w:p>
        </w:tc>
        <w:tc>
          <w:tcPr>
            <w:tcW w:type="dxa" w:w="528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黄色标识，提交前必须替换或删除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一、产业导向与商业模式</w:t>
      </w:r>
    </w:p>
    <w:p>
      <w:pPr>
        <w:pStyle w:val="Heading2"/>
        <w:keepNext/>
      </w:pPr>
      <w:r>
        <w:t>1.1 与深圳重点产业的匹配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20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匹配层级</w:t>
            </w:r>
          </w:p>
        </w:tc>
        <w:tc>
          <w:tcPr>
            <w:tcW w:type="dxa" w:w="170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产业方向</w:t>
            </w:r>
          </w:p>
        </w:tc>
        <w:tc>
          <w:tcPr>
            <w:tcW w:type="dxa" w:w="330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项目对应能力</w:t>
            </w:r>
          </w:p>
        </w:tc>
        <w:tc>
          <w:tcPr>
            <w:tcW w:type="dxa" w:w="316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落地价值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主赛道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人工智能产业集群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可信智能体、生成式 AI 评测、企业知识治理、跨模型监测与决策优化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形成面向企业的 AI 软件产品与专业服务，促进人工智能规模化应用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关联赛道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软件和信息服务产业集群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多租户平台、权限审计、API/工作流集成、支付与服务交付系统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推动研究方法工程化、软件化和可持续交付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应用牵引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先进制造、科技服务、消费与出海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产品事实、技术证据、行业问答和多语种品牌语义资产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提升深圳企业在全球 AI 搜索和智能决策入口中的可信可见度</w:t>
            </w:r>
          </w:p>
        </w:tc>
      </w:tr>
    </w:tbl>
    <w:p>
      <w:pPr>
        <w:spacing w:after="0"/>
      </w:pP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深圳“20+8”产业体系将人工智能、软件和信息服务列入重点产业集群；深圳人工智能政策同时强调基础数据、软件产品、行业应用与生态建设。FrontMind 并非单一营销工具，而是将可信 AI 方法、企业知识工程和增长场景结合，面向重点产业企业提供“可验证、可评估、可执行”的 AI 原生增长基础设施。</w:t>
      </w:r>
    </w:p>
    <w:p>
      <w:pPr>
        <w:pStyle w:val="Heading2"/>
        <w:keepNext/>
      </w:pPr>
      <w:r>
        <w:t>1.2 行业痛点与市场需求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企业的品牌、产品、技术与合规信息分散在官网、文档、媒体和员工经验中，生成式 AI 难以稳定读取并形成一致认知。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传统 SEO 主要优化网页排名，无法充分解释大模型回答中的是否提及、排序、情绪、引用来源和竞争品牌占位。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单次提问存在模型波动；缺少跨平台、重复采样和可追溯证据，导致企业难以判断改善是否真实发生。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监测、内容生产、渠道分发和销售线索彼此割裂，诊断结果不能形成可持续执行与复测闭环。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企业部署 AI 还需解决权限、数据安全、知识更新、审计与现有系统集成，通用工具难以直接进入生产流程。</w:t>
      </w:r>
    </w:p>
    <w:p>
      <w:pPr>
        <w:pStyle w:val="Heading2"/>
        <w:keepNext/>
      </w:pPr>
      <w:r>
        <w:t>1.3 产品与服务形态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70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产品层</w:t>
            </w:r>
          </w:p>
        </w:tc>
        <w:tc>
          <w:tcPr>
            <w:tcW w:type="dxa" w:w="325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核心能力</w:t>
            </w:r>
          </w:p>
        </w:tc>
        <w:tc>
          <w:tcPr>
            <w:tcW w:type="dxa" w:w="245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主要交付物</w:t>
            </w:r>
          </w:p>
        </w:tc>
        <w:tc>
          <w:tcPr>
            <w:tcW w:type="dxa" w:w="196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客户价值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MindPromise</w:t>
              <w:br/>
              <w:t>可信品牌认知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品牌事实图谱、语义资产审计、问题组合、六平台重复监测、引用/情绪/竞品 Gap 分析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知识库、诊断报告、问答树、证据化内容资产、持续监测看板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让 AI 更准确地理解、引用和推荐企业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MindReach</w:t>
              <w:br/>
              <w:t>意图与增长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需求信号识别、回答逻辑设计、内容与渠道编排、线索触达和效果回流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机会清单、渠道任务、内容包、线索与转化跟踪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把“被看见”连接到获客与增长动作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MindNexus / FDE</w:t>
              <w:br/>
              <w:t>企业部署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私有知识、流程编排、API/系统集成、多租户权限、审计与安全控制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企业工作台、定制智能体、部署与运维服务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把 AI 能力嵌入真实业务流程并可控运行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Arial Unicode MS" w:hAnsi="Arial Unicode MS" w:eastAsia="Arial Unicode MS" w:cs="Arial Unicode MS"/>
          <w:b w:val="0"/>
          <w:i w:val="0"/>
          <w:color w:val="647084"/>
          <w:sz w:val="18"/>
        </w:rPr>
        <w:t>当前监测框架覆盖豆包、腾讯元宝、DeepSeek、百度 AI+、通义千问、Kimi 等平台，并采用单轮多次回答采样；平台覆盖范围将随产品和合规要求动态调整。</w:t>
      </w:r>
    </w:p>
    <w:p>
      <w:pPr>
        <w:pStyle w:val="Heading2"/>
        <w:keepNext/>
      </w:pPr>
      <w:r>
        <w:t>1.4 商业模式与成交路径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低门槛诊断获客：以单问题、多平台现状检测验证痛点，形成明确的证据差距和优先级。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标准化订阅增收：按月或按季度交付知识库、监测、问答、内容与进度报告，形成持续续费。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企业级客单提升：针对知识复杂、系统众多或合规要求高的客户，提供 FDE、定制工作流与私有化集成。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伙伴渠道扩张：与高校、园区、行业协会、服务商及产业链龙头形成联合诊断、联合交付和客户转介。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收入结构计划由三部分构成：标准化软件/订阅收入、策略与内容交付收入、企业级部署及联合研发收入。项目将以产品化降低重复交付成本，以统一数据模型和交付流程提高毛利与复购，并通过持续监测形成长期客户关系。</w:t>
      </w:r>
    </w:p>
    <w:p>
      <w:pPr>
        <w:pStyle w:val="Heading1"/>
        <w:keepNext/>
      </w:pPr>
      <w:r>
        <w:t>二、核心团队与创业实践</w:t>
      </w:r>
    </w:p>
    <w:p>
      <w:pPr>
        <w:pStyle w:val="Heading2"/>
        <w:keepNext/>
      </w:pPr>
      <w:r>
        <w:t>2.1 项目负责人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夏凡增为香港中文大学（深圳）数据科学方向博士研究生，研究聚焦 GEO 与营销智能体、上下文决策及稳健大模型应用；拥有纽约大学计算机科学硕士背景，本科阶段接受计算机工程训练。公开履历显示，其曾在清华大学从事自然语言处理算法工作，并有亚马逊云科技全栈工程经历，具备从算法研究、云端工程到企业产品化的复合能力。自 2026 年起担任 FrontMind 联合创始人兼 CEO，负责产品战略、核心技术、融资与关键客户。</w:t>
      </w:r>
    </w:p>
    <w:p>
      <w:pPr>
        <w:pStyle w:val="Heading2"/>
        <w:keepNext/>
      </w:pPr>
      <w:r>
        <w:t>2.2 研究与成果转化基础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项目源自香港中文大学（深圳）智能决策实验室的研究与产业实践。实验室由李同欣博士主持，公开资料显示团队成立于 2022 年，拥有 14 名研究成员，累计发表 52 篇论文、拥有 4 项专利，研究方向涵盖可信人工智能、在线决策、强化学习、控制与 GEO。团队成员具有清华大学、加州理工学院、纽约大学、柏林工业大学、上海交通大学等教育背景，以及亚马逊、谷歌、字节跳动、华为等产业经历。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10" w:space="0" w:color="C6A452"/>
          <w:left w:val="single" w:sz="10" w:space="0" w:color="C6A452"/>
          <w:bottom w:val="single" w:sz="10" w:space="0" w:color="C6A452"/>
          <w:right w:val="single" w:sz="10" w:space="0" w:color="C6A452"/>
          <w:insideH w:val="single" w:sz="10" w:space="0" w:color="C6A452"/>
          <w:insideV w:val="single" w:sz="10" w:space="0" w:color="C6A452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9253F"/>
                <w:sz w:val="22"/>
              </w:rPr>
              <w:t>权属边界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</w:rPr>
              <w:t>上述论文、专利和合作首先属于实验室或相应权利主体。本项目仅将其表述为研究与成果转化基础；如需写入“企业自有知识产权”，必须提供专利权人证明、许可/转让协议或共同研发合同。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核心岗位与拟定分工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岗位</w:t>
            </w:r>
          </w:p>
        </w:tc>
        <w:tc>
          <w:tcPr>
            <w:tcW w:type="dxa" w:w="420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主要职责</w:t>
            </w:r>
          </w:p>
        </w:tc>
        <w:tc>
          <w:tcPr>
            <w:tcW w:type="dxa" w:w="336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现阶段说明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项目负责人 / CEO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产品战略、技术路线、融资、关键客户与资源协同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夏凡增；身份、年龄、学历和社保材料待提交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算法与研究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GEO 评测、可信智能体、决策优化、模型与数据实验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核心成员姓名、履历、劳动/合作关系待补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平台工程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前后端、数据架构、账号权限、支付、部署与运维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核心成员姓名、履历、劳动/合作关系待补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策略与内容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品牌事实治理、问答架构、内容标准、客户交付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核心成员姓名、履历、代表案例待补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商务与客户成功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行业拓展、伙伴合作、续费和交付质量管理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核心成员姓名、履历、在手线索待补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学术顾问 / 合作资源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研究指导、联合课题、人才与产业资源连接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不等同于企业员工；合作边界和授权待确认</w:t>
            </w:r>
          </w:p>
        </w:tc>
      </w:tr>
    </w:tbl>
    <w:p>
      <w:pPr>
        <w:spacing w:after="0"/>
      </w:pP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按照管理办法，项目团队应不少于 2 人。提交前必须确定除负责人外至少 1 名真实核心成员，并补充其学历、专业、经历、分工、劳动或合作关系证明；不得以实验室公开成员名单替代申报团队。</w:t>
      </w:r>
    </w:p>
    <w:p>
      <w:pPr>
        <w:pStyle w:val="Heading2"/>
        <w:keepNext/>
      </w:pPr>
      <w:r>
        <w:t>2.4 创业与落地实践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公开产品体系已形成“品牌认知—增长触达—企业部署”的分层路线，并搭建可在线访问的网站与服务入口。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项目代码已具备多租户权限、企业知识库、监测看板、服务订单、合同、支付、账号开通、交付进度与审计等生产化模块。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实验室公开页面披露项目团队曾获得 2024 年“未来香港”创新科技大赛冠军，并在 2025 年中国创新创业大赛、上海海聚英才全球创新创业大赛、C-Star 等活动中获奖或入选。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公开页面展示了与电力、ICT 等领域机构的研究合作经历，可用于说明产业问题理解与协同研发基础；是否属于申请企业的合同或订单须以协议主体核验。</w:t>
      </w:r>
    </w:p>
    <w:p>
      <w:pPr>
        <w:pStyle w:val="Heading1"/>
        <w:keepNext/>
      </w:pPr>
      <w:r>
        <w:t>三、创新能力与市场潜力</w:t>
      </w:r>
    </w:p>
    <w:p>
      <w:pPr>
        <w:pStyle w:val="Heading2"/>
        <w:keepNext/>
      </w:pPr>
      <w:r>
        <w:t>3.1 核心创新与技术壁垒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30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技术层</w:t>
            </w:r>
          </w:p>
        </w:tc>
        <w:tc>
          <w:tcPr>
            <w:tcW w:type="dxa" w:w="514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创新点</w:t>
            </w:r>
          </w:p>
        </w:tc>
        <w:tc>
          <w:tcPr>
            <w:tcW w:type="dxa" w:w="292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可沉淀资产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证据层</w:t>
            </w:r>
          </w:p>
        </w:tc>
        <w:tc>
          <w:tcPr>
            <w:tcW w:type="dxa" w:w="5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将企业主张映射到来源、时效、权威度与可验证状态，区分支持、冲突、遗漏和不可核验</w:t>
            </w:r>
          </w:p>
        </w:tc>
        <w:tc>
          <w:tcPr>
            <w:tcW w:type="dxa" w:w="2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事实图谱、证据链、权威来源库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评测层</w:t>
            </w:r>
          </w:p>
        </w:tc>
        <w:tc>
          <w:tcPr>
            <w:tcW w:type="dxa" w:w="514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跨模型、跨问题、多次采样，测量提及率、排序、情绪、引用和竞品占位，降低单次回答噪声</w:t>
            </w:r>
          </w:p>
        </w:tc>
        <w:tc>
          <w:tcPr>
            <w:tcW w:type="dxa" w:w="292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评测数据集、指标体系、行业基线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决策层</w:t>
            </w:r>
          </w:p>
        </w:tc>
        <w:tc>
          <w:tcPr>
            <w:tcW w:type="dxa" w:w="5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结合上下文决策与稳健智能体方法，对问题、内容和渠道动作进行优先级排序</w:t>
            </w:r>
          </w:p>
        </w:tc>
        <w:tc>
          <w:tcPr>
            <w:tcW w:type="dxa" w:w="2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策略规则、决策模型、反馈数据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执行层</w:t>
            </w:r>
          </w:p>
        </w:tc>
        <w:tc>
          <w:tcPr>
            <w:tcW w:type="dxa" w:w="514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把诊断直接转为问答树、内容资产、渠道任务和复测计划，形成优化闭环</w:t>
            </w:r>
          </w:p>
        </w:tc>
        <w:tc>
          <w:tcPr>
            <w:tcW w:type="dxa" w:w="292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工作流、模板、行业知识包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工程层</w:t>
            </w:r>
          </w:p>
        </w:tc>
        <w:tc>
          <w:tcPr>
            <w:tcW w:type="dxa" w:w="5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多租户权限、密钥保护、审计、支付、账号开通和企业系统集成</w:t>
            </w:r>
          </w:p>
        </w:tc>
        <w:tc>
          <w:tcPr>
            <w:tcW w:type="dxa" w:w="2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企业平台、部署组件、运维标准</w:t>
            </w:r>
          </w:p>
        </w:tc>
      </w:tr>
    </w:tbl>
    <w:p>
      <w:pPr>
        <w:spacing w:after="0"/>
      </w:pP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项目壁垒并非单一提示词或内容生成能力，而是“可信证据—跨平台评测—智能决策—执行复测—企业工程”的连续系统。随着服务行业、问题组合、模型平台和结果反馈增加，项目可积累行业基线、语义资产模板、任务数据与交付知识，形成数据网络效应和切换成本。</w:t>
      </w:r>
    </w:p>
    <w:p>
      <w:pPr>
        <w:pStyle w:val="Heading2"/>
        <w:keepNext/>
      </w:pPr>
      <w:r>
        <w:t>3.2 自有知识产权与合规状态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项目已形成自研平台代码、数据结构、评测流程、行业问答方法、交付模板与智能体工作流。由于尚未提供软件著作权、专利、商标、域名权属、开源许可清单及研发人员职务成果协议，本稿不将其写为已登记的企业知识产权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10" w:space="0" w:color="C6A452"/>
          <w:left w:val="single" w:sz="10" w:space="0" w:color="C6A452"/>
          <w:bottom w:val="single" w:sz="10" w:space="0" w:color="C6A452"/>
          <w:right w:val="single" w:sz="10" w:space="0" w:color="C6A452"/>
          <w:insideH w:val="single" w:sz="10" w:space="0" w:color="C6A452"/>
          <w:insideV w:val="single" w:sz="10" w:space="0" w:color="C6A452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9253F"/>
                <w:sz w:val="22"/>
              </w:rPr>
              <w:t>提交前建议形成的 IP 证据包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</w:rPr>
              <w:t>软件著作权/专利/商标清单；代码仓库和版本记录；域名与产品页面权属；核心成员保密及职务成果协议；第三方模型、数据与开源组件许可清单；实验室成果的许可、转让或共同研发文件。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与同类方案的差异化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90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6"/>
              </w:rPr>
              <w:t>方案类型</w:t>
            </w:r>
          </w:p>
        </w:tc>
        <w:tc>
          <w:tcPr>
            <w:tcW w:type="dxa" w:w="240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6"/>
              </w:rPr>
              <w:t>典型能力</w:t>
            </w:r>
          </w:p>
        </w:tc>
        <w:tc>
          <w:tcPr>
            <w:tcW w:type="dxa" w:w="252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6"/>
              </w:rPr>
              <w:t>主要局限</w:t>
            </w:r>
          </w:p>
        </w:tc>
        <w:tc>
          <w:tcPr>
            <w:tcW w:type="dxa" w:w="254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6"/>
              </w:rPr>
              <w:t>FrontMind 差异化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6"/>
              </w:rPr>
              <w:t>传统 SEO / 内容服务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关键词、网页排名、内容投放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难解释生成式回答、引用和跨模型波动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以 AI 回答和证据链为优化对象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6"/>
              </w:rPr>
              <w:t>AI 可见度监测工具</w:t>
              <w:br/>
              <w:t>（如 Profound、Scrunch、Peec）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品牌提及、排名、情绪、引用与竞品监测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公开产品多以监测分析为主，企业知识和本地交付深度各异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连接知识库、问答、内容、渠道、复测与中文平台交付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6"/>
              </w:rPr>
              <w:t>通用 AI 咨询 / 开发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战略咨询、模型应用、定制系统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项目制比例高，复用和持续测量不足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以标准化平台承接诊断，以 FDE 完成企业深度集成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Arial Unicode MS" w:hAnsi="Arial Unicode MS" w:eastAsia="Arial Unicode MS" w:cs="Arial Unicode MS"/>
          <w:b w:val="0"/>
          <w:i w:val="0"/>
          <w:color w:val="647084"/>
          <w:sz w:val="18"/>
        </w:rPr>
        <w:t>竞品判断基于其公开产品页的功能分类，用于说明赛道位置，不构成对具体企业性能、价格或市场份额的绝对比较。</w:t>
      </w:r>
    </w:p>
    <w:p>
      <w:pPr>
        <w:pStyle w:val="Heading2"/>
        <w:keepNext/>
      </w:pPr>
      <w:r>
        <w:t>3.4 当前进展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已上线 FrontMind 官方网站、产品说明与在线服务入口，形成 MindPromise、MindReach、MindNexus/FDE 的产品架构。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已实现六类中文主流 AI 平台监测框架，以及知识库、问题选择、意图优化、回答逻辑、持续监测、渠道分发、进度报告和内容资产模块。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已建立从服务选择、合同与支付、账号开通到项目交付的业务闭环基础，具备由研究原型向商业化产品演进的工程条件。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FrontMind 官网公开披露服务“100+ 行业客户/品牌案例”。该数字在申报时须以合同、订单、发票、付款记录或经授权案例清单核验。</w:t>
      </w:r>
    </w:p>
    <w:p>
      <w:pPr>
        <w:pStyle w:val="Heading2"/>
        <w:keepNext/>
      </w:pPr>
      <w:r>
        <w:t>3.5 市场空间与增长逻辑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需求侧正在快速形成：截至 2025 年末，我国生成式人工智能用户规模达 6.02 亿、普及率 42.8%，完成备案的生成式人工智能服务超过 750 款；2025 年我国人工智能核心产业规模超过 1.2 万亿元。深圳 2025 年人工智能核心产业规模超过 2200 亿元、规模以上人工智能企业超过 2600 家，并拥有约 2.6 万家国家高新技术企业。上述企业均面临 AI 时代知识、品牌、产品和渠道重构需求。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GEO 尚缺少统一、可直接引用的官方市场统计口径，因此本项目采用自下而上的可验证测算。以深圳约 2.6 万家国家高新技术企业为初始潜在客户池，若首阶段触达并转化 1%，按年度综合客单价 3 万元测算，对应约 780 万元年服务规模；该测算仅为经营假设，不代表已获得订单或收入。未来可向大湾区、全国科技企业与出海品牌扩展，并通过行业知识包、伙伴渠道和企业级部署提升客单价与续费率。</w:t>
      </w:r>
    </w:p>
    <w:p>
      <w:pPr>
        <w:pStyle w:val="Heading1"/>
        <w:keepNext/>
      </w:pPr>
      <w:r>
        <w:t>四、运营及造血能力</w:t>
      </w:r>
    </w:p>
    <w:p>
      <w:pPr>
        <w:pStyle w:val="Heading2"/>
        <w:keepNext/>
      </w:pPr>
      <w:r>
        <w:t>4.1 现有运营基础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项目已具备独立品牌、公开网站、产品架构和企业服务平台，并形成从诊断、合同、支付、账号开通到持续交付的流程基础。相较仅提供研究报告的项目，FrontMind 已将知识库、监测、权限、审计、服务订单与交付进度纳入统一系统，为后续标准化销售、续费和规模化交付提供条件。</w:t>
      </w:r>
    </w:p>
    <w:p>
      <w:pPr>
        <w:pStyle w:val="Heading2"/>
        <w:keepNext/>
      </w:pPr>
      <w:r>
        <w:t>4.2 经营、融资与资源现状（待企业财务确认）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70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事项</w:t>
            </w:r>
          </w:p>
        </w:tc>
        <w:tc>
          <w:tcPr>
            <w:tcW w:type="dxa" w:w="380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当前申报口径</w:t>
            </w:r>
          </w:p>
        </w:tc>
        <w:tc>
          <w:tcPr>
            <w:tcW w:type="dxa" w:w="386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提交所需证据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企业注册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深圳市超前无限科技有限公司（暂定）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营业执照、注册地址、成立日期、统一社会信用代码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营收与回款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【待补：2025 年、2026 年截至申报月的收入与回款】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财务报表、纳税申报、银行流水、发票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在手订单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【待补：合同数量、未税金额、交付周期、已回款】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合同关键页、订单、验收与回款证明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融资进度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【待补：自筹、股东投入、外部融资轮次与金额】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出资凭证、投资协议或无外部融资说明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合作资源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【待补：企业名下已签协议；实验室合作单独列示】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协议主体页、盖章页、合作内容与期限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人员与社保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【待补：全职/兼职人数、核心成员与社保情况】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花名册、劳动/合作协议、社保清单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10" w:space="0" w:color="C6A452"/>
          <w:left w:val="single" w:sz="10" w:space="0" w:color="C6A452"/>
          <w:bottom w:val="single" w:sz="10" w:space="0" w:color="C6A452"/>
          <w:right w:val="single" w:sz="10" w:space="0" w:color="C6A452"/>
          <w:insideH w:val="single" w:sz="10" w:space="0" w:color="C6A452"/>
          <w:insideV w:val="single" w:sz="10" w:space="0" w:color="C6A452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9253F"/>
                <w:sz w:val="22"/>
              </w:rPr>
              <w:t>不得混写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</w:rPr>
              <w:t>公开案例、意向客户、实验室合作和企业已签订单必须分别统计。只有合同主体为申请企业、金额与履约状态可验证的项目，方可列入在手订单或营业收入。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三年产值与就业目标（建议值，须负责人确认）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25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年度</w:t>
            </w:r>
          </w:p>
        </w:tc>
        <w:tc>
          <w:tcPr>
            <w:tcW w:type="dxa" w:w="180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付费客户目标</w:t>
            </w:r>
          </w:p>
        </w:tc>
        <w:tc>
          <w:tcPr>
            <w:tcW w:type="dxa" w:w="210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综合年客单价假设</w:t>
            </w:r>
          </w:p>
        </w:tc>
        <w:tc>
          <w:tcPr>
            <w:tcW w:type="dxa" w:w="210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预计新增产值</w:t>
            </w:r>
          </w:p>
        </w:tc>
        <w:tc>
          <w:tcPr>
            <w:tcW w:type="dxa" w:w="211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累计新增就业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shd w:fill="E8F3E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8"/>
              </w:rPr>
              <w:t>2027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100 家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3 万元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300 万元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8 人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shd w:fill="E8F3E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8"/>
              </w:rPr>
              <w:t>2028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200 家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4 万元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800 万元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18 人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shd w:fill="E8F3E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8"/>
              </w:rPr>
              <w:t>2029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360 家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5 万元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1,800 万元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8"/>
              </w:rPr>
              <w:t>35 人</w:t>
            </w:r>
          </w:p>
        </w:tc>
      </w:tr>
    </w:tbl>
    <w:p>
      <w:pPr>
        <w:spacing w:after="0"/>
      </w:pP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上述目标按“付费客户数 × 综合年客单价”测算，三年预计新增产值合计 2,900 万元。增长假设来自三个杠杆：标准化监测与知识服务扩大客户数，行业知识包与伙伴渠道降低获客/交付成本，企业 FDE 与定制部署提高客单价。就业岗位主要分布于算法研究、平台工程、数据与知识运营、行业交付、商务及客户成功。</w:t>
      </w:r>
    </w:p>
    <w:p>
      <w:pPr>
        <w:pStyle w:val="Heading2"/>
        <w:keepNext/>
      </w:pPr>
      <w:r>
        <w:t>4.4 资金使用与自我造血路径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65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375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重点投入</w:t>
            </w:r>
          </w:p>
        </w:tc>
        <w:tc>
          <w:tcPr>
            <w:tcW w:type="dxa" w:w="3960"/>
            <w:shd w:fill="19253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可衡量里程碑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0—6 个月</w:t>
            </w:r>
          </w:p>
        </w:tc>
        <w:tc>
          <w:tcPr>
            <w:tcW w:type="dxa" w:w="3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证据型知识引擎、跨平台评测、产品安全与 IP 确权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完成核心版本、测试集、软件著作权/专利申报及首批标杆客户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6—18 个月</w:t>
            </w:r>
          </w:p>
        </w:tc>
        <w:tc>
          <w:tcPr>
            <w:tcW w:type="dxa" w:w="375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行业知识包、伙伴渠道、交付自动化与客户成功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shd w:fill="F7F9FC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形成稳定续费、缩短交付周期、提高订阅收入占比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22A35"/>
                <w:sz w:val="17"/>
              </w:rPr>
              <w:t>18—36 个月</w:t>
            </w:r>
          </w:p>
        </w:tc>
        <w:tc>
          <w:tcPr>
            <w:tcW w:type="dxa" w:w="3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企业 FDE、私有部署、全国与出海市场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7"/>
              </w:rPr>
              <w:t>提升大客户占比、实现多行业复制与正向经营现金流</w:t>
            </w:r>
          </w:p>
        </w:tc>
      </w:tr>
    </w:tbl>
    <w:p>
      <w:pPr>
        <w:spacing w:after="0"/>
      </w:pP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项目将优先以创始团队自筹、客户回款和经营现金流支持研发与交付，并根据发展阶段引入产业资本或科研合作资金。根据管理办法，推荐或邀请入库项目可获得最高 5 万元一次性创新奖励；后续符合条件并在深圳实际运营的项目，可另行申请不超过研发投入 50%、最高 100 万元的研发补助。两类支持应按不同申报条件和程序管理，不纳入已实现收入。</w:t>
      </w:r>
    </w:p>
    <w:p>
      <w:pPr>
        <w:pStyle w:val="Heading1"/>
        <w:keepNext/>
      </w:pPr>
      <w:r>
        <w:t>五、可直接粘贴的项目简介（精简版）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FrontMind 是源自香港中文大学（深圳）智能决策实验室研究与成果转化实践的企业 GEO 与 AI 增长平台，主匹配深圳“20+8”产业集群中的人工智能产业集群，并与软件和信息服务产业集群形成交叉支撑。面向生成式 AI 重塑企业发现、比较与决策入口的新趋势，项目解决企业品牌与产品事实分散、AI 回答易失真、跨平台效果难衡量、监测与执行割裂以及企业级部署安全等痛点。产品由 MindPromise 可信品牌认知、MindReach 意图与增长、MindNexus/FDE 企业部署三层构成，提供事实与证据治理、六平台重复监测、引用/情绪/竞品分析、问答与内容资产、渠道触达、企业工作流集成等服务，采用“标准化 SaaS/订阅 + 专家交付 + 企业级定制部署”的商业模式。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项目负责人夏凡增具备计算机科学、自然语言处理、云计算和生成式 AI 决策研究背景，曾有高校算法研发及云计算工程实践，自 2026 年起担任 FrontMind 联合创始人兼 CEO。项目依托实验室在可信 AI、在线决策、强化学习与 GEO 方向的研究积累，已形成公开官网、企业服务平台、知识库、监测看板、问题与内容资产、合同支付、账号开通、权限与审计等产品化模块。核心创新在于以证据型知识图谱为底座，通过跨模型重复采样减少单次回答噪声，以稳健智能体决策连接问题选择、内容生产、渠道执行与复测，并以多租户权限和系统集成进入企业生产环境。与传统 SEO、单一 AI 监测工具或项目制咨询相比，项目更强调中文主流平台、证据可信度和端到端执行闭环。</w:t>
      </w:r>
    </w:p>
    <w:p>
      <w:pPr>
        <w:spacing w:after="120" w:line="300" w:lineRule="auto"/>
        <w:jc w:val="both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公开资料显示，相关团队拥有多学科研究与产业经验，曾在创新创业赛事中获奖，FrontMind 官网披露服务 100+ 行业客户/品牌案例；以上经营与合作信息将在申报时以合同、订单、授权和证书核验。市场方面，截至 2025 年末我国生成式 AI 用户达 6.02 亿，深圳人工智能核心产业规模超过 2200 亿元，企业对 AI 原生知识、品牌和增长基础设施的需求快速增长。项目拟以深圳为研发和交付中心，建议三年新增产值目标分别为 300 万元、800 万元和 1800 万元，累计新增就业 35 人，重点吸纳算法、工程、数据、交付和客户成功人才。企业实际营收、融资、在手订单、自筹资金及合作协议将以财务与法律文件补充，规划目标不作为已实现业绩。</w:t>
      </w:r>
    </w:p>
    <w:p>
      <w:pPr>
        <w:pStyle w:val="Heading1"/>
        <w:keepNext/>
      </w:pPr>
      <w:r>
        <w:t>六、提交前核验清单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企业：营业执照、统一社会信用代码、注册地址、成立日期、股权结构，确认申请主体法定全称。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负责人：身份证号码、出生日期、手机号、最高学历及证明；核验年龄和学历是否符合管理办法。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团队：至少 2 人的真实核心名单、专业背景、分工、劳动/合作关系及社保材料。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知识产权：专利、软著、商标、域名、代码与数据权属；实验室成果另附许可、转让或共同研发文件。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经营：2025 年及 2026 年截至申报月的财务报表、纳税、流水、发票、客户合同、订单、验收和回款。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融资与自筹：股东投入、银行余额、融资协议或无外部融资说明，明确可支撑的研发周期。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案例与合作：对“100+”公开披露形成可审计清单；合作协议确认主体、期限、金额和履约状态。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获奖与媒体：奖项证书、主办方通知、报道链接；明确获奖主体是个人、实验室、团队还是企业。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测算：由负责人确认 2027—2029 年客户数、客单价、产值、成本、现金流和新增就业目标。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 w:cs="Arial Unicode MS"/>
          <w:b w:val="0"/>
          <w:i w:val="0"/>
          <w:color w:val="222A35"/>
        </w:rPr>
        <w:t>推荐：由香港中文大学（深圳）确认推荐资格、校内流程、盖章主体、联系人与截止日期。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10" w:space="0" w:color="C6A452"/>
          <w:left w:val="single" w:sz="10" w:space="0" w:color="C6A452"/>
          <w:bottom w:val="single" w:sz="10" w:space="0" w:color="C6A452"/>
          <w:right w:val="single" w:sz="10" w:space="0" w:color="C6A452"/>
          <w:insideH w:val="single" w:sz="10" w:space="0" w:color="C6A452"/>
          <w:insideV w:val="single" w:sz="10" w:space="0" w:color="C6A452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80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9253F"/>
                <w:sz w:val="22"/>
              </w:rPr>
              <w:t>最终提交动作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</w:rPr>
              <w:t>将黄色占位全部替换；对照政策准备诚信承诺、知识产权合规声明、专项审计及社保材料；确保推荐表、申请简介、证照、财务与合同中的企业名称、负责人、金额和时间完全一致。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主要依据与公开来源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6900"/>
            <w:shd w:fill="19253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依据</w:t>
            </w:r>
          </w:p>
        </w:tc>
        <w:tc>
          <w:tcPr>
            <w:tcW w:type="dxa" w:w="2460"/>
            <w:shd w:fill="19253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7"/>
              </w:rPr>
              <w:t>链接</w:t>
            </w:r>
          </w:p>
        </w:tc>
      </w:tr>
      <w:tr>
        <w:trPr>
          <w:cantSplit/>
        </w:trPr>
        <w:tc>
          <w:tcPr>
            <w:tcW w:type="dxa" w:w="690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深圳市科技创新局，《深圳鲲鹏青年创新创业项目管理办法》（深科技创新规〔2025〕2 号），用户提供 PDF。</w:t>
            </w:r>
          </w:p>
        </w:tc>
        <w:tc>
          <w:tcPr>
            <w:tcW w:type="dxa" w:w="246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647084"/>
                <w:sz w:val="16"/>
              </w:rPr>
              <w:t>本地材料</w:t>
            </w:r>
          </w:p>
        </w:tc>
      </w:tr>
      <w:tr>
        <w:trPr>
          <w:cantSplit/>
        </w:trPr>
        <w:tc>
          <w:tcPr>
            <w:tcW w:type="dxa" w:w="6900"/>
            <w:tcMar>
              <w:top w:w="60" w:type="dxa"/>
              <w:start w:w="100" w:type="dxa"/>
              <w:bottom w:w="60" w:type="dxa"/>
              <w:end w:w="100" w:type="dxa"/>
            </w:tcMar>
            <w:shd w:fill="F7F9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深圳市科技创新局，2026 年深圳鲲鹏青年创新创业项目通知。</w:t>
            </w:r>
          </w:p>
        </w:tc>
        <w:tc>
          <w:tcPr>
            <w:tcW w:type="dxa" w:w="2460"/>
            <w:tcMar>
              <w:top w:w="60" w:type="dxa"/>
              <w:start w:w="100" w:type="dxa"/>
              <w:bottom w:w="6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hyperlink r:id="rId11">
              <w:r>
                <w:rPr>
                  <w:color w:val="5C4BD9"/>
                  <w:u w:val="single"/>
                </w:rPr>
                <w:t>官方通知</w:t>
              </w:r>
            </w:hyperlink>
          </w:p>
        </w:tc>
      </w:tr>
      <w:tr>
        <w:trPr>
          <w:cantSplit/>
        </w:trPr>
        <w:tc>
          <w:tcPr>
            <w:tcW w:type="dxa" w:w="690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深圳市人民政府：“20+8”产业集群、人工智能政策与 2025 年产业数据。</w:t>
            </w:r>
          </w:p>
        </w:tc>
        <w:tc>
          <w:tcPr>
            <w:tcW w:type="dxa" w:w="246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hyperlink r:id="rId12">
              <w:r>
                <w:rPr>
                  <w:color w:val="5C4BD9"/>
                  <w:u w:val="single"/>
                </w:rPr>
                <w:t>产业集群</w:t>
              </w:r>
            </w:hyperlink>
            <w:r>
              <w:rPr>
                <w:rFonts w:ascii="Arial Unicode MS" w:hAnsi="Arial Unicode MS" w:eastAsia="Arial Unicode MS" w:cs="Arial Unicode MS"/>
                <w:b w:val="0"/>
                <w:i w:val="0"/>
                <w:color w:val="647084"/>
                <w:sz w:val="16"/>
              </w:rPr>
              <w:t xml:space="preserve"> · </w:t>
            </w:r>
            <w:hyperlink r:id="rId13">
              <w:r>
                <w:rPr>
                  <w:color w:val="5C4BD9"/>
                  <w:u w:val="single"/>
                </w:rPr>
                <w:t>人工智能政策</w:t>
              </w:r>
            </w:hyperlink>
            <w:r>
              <w:rPr>
                <w:rFonts w:ascii="Arial Unicode MS" w:hAnsi="Arial Unicode MS" w:eastAsia="Arial Unicode MS" w:cs="Arial Unicode MS"/>
                <w:b w:val="0"/>
                <w:i w:val="0"/>
                <w:color w:val="647084"/>
                <w:sz w:val="16"/>
              </w:rPr>
              <w:t xml:space="preserve"> · </w:t>
            </w:r>
            <w:hyperlink r:id="rId14">
              <w:r>
                <w:rPr>
                  <w:color w:val="5C4BD9"/>
                  <w:u w:val="single"/>
                </w:rPr>
                <w:t>产业数据</w:t>
              </w:r>
            </w:hyperlink>
          </w:p>
        </w:tc>
      </w:tr>
      <w:tr>
        <w:trPr>
          <w:cantSplit/>
        </w:trPr>
        <w:tc>
          <w:tcPr>
            <w:tcW w:type="dxa" w:w="6900"/>
            <w:tcMar>
              <w:top w:w="60" w:type="dxa"/>
              <w:start w:w="100" w:type="dxa"/>
              <w:bottom w:w="60" w:type="dxa"/>
              <w:end w:w="100" w:type="dxa"/>
            </w:tcMar>
            <w:shd w:fill="F7F9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国家统计局与国家互联网信息办公室：人工智能产业、生成式人工智能用户与服务备案数据。</w:t>
            </w:r>
          </w:p>
        </w:tc>
        <w:tc>
          <w:tcPr>
            <w:tcW w:type="dxa" w:w="2460"/>
            <w:tcMar>
              <w:top w:w="60" w:type="dxa"/>
              <w:start w:w="100" w:type="dxa"/>
              <w:bottom w:w="6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hyperlink r:id="rId15">
              <w:r>
                <w:rPr>
                  <w:color w:val="5C4BD9"/>
                  <w:u w:val="single"/>
                </w:rPr>
                <w:t>国家统计局</w:t>
              </w:r>
            </w:hyperlink>
            <w:r>
              <w:rPr>
                <w:rFonts w:ascii="Arial Unicode MS" w:hAnsi="Arial Unicode MS" w:eastAsia="Arial Unicode MS" w:cs="Arial Unicode MS"/>
                <w:b w:val="0"/>
                <w:i w:val="0"/>
                <w:color w:val="647084"/>
                <w:sz w:val="16"/>
              </w:rPr>
              <w:t xml:space="preserve"> · </w:t>
            </w:r>
            <w:hyperlink r:id="rId16">
              <w:r>
                <w:rPr>
                  <w:color w:val="5C4BD9"/>
                  <w:u w:val="single"/>
                </w:rPr>
                <w:t>国家网信办</w:t>
              </w:r>
            </w:hyperlink>
          </w:p>
        </w:tc>
      </w:tr>
      <w:tr>
        <w:trPr>
          <w:cantSplit/>
        </w:trPr>
        <w:tc>
          <w:tcPr>
            <w:tcW w:type="dxa" w:w="690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FrontMind 官方网站与产品页面。</w:t>
            </w:r>
          </w:p>
        </w:tc>
        <w:tc>
          <w:tcPr>
            <w:tcW w:type="dxa" w:w="246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hyperlink r:id="rId17">
              <w:r>
                <w:rPr>
                  <w:color w:val="5C4BD9"/>
                  <w:u w:val="single"/>
                </w:rPr>
                <w:t>frontmind.net</w:t>
              </w:r>
            </w:hyperlink>
          </w:p>
        </w:tc>
      </w:tr>
      <w:tr>
        <w:trPr>
          <w:cantSplit/>
        </w:trPr>
        <w:tc>
          <w:tcPr>
            <w:tcW w:type="dxa" w:w="6900"/>
            <w:tcMar>
              <w:top w:w="60" w:type="dxa"/>
              <w:start w:w="100" w:type="dxa"/>
              <w:bottom w:w="60" w:type="dxa"/>
              <w:end w:w="100" w:type="dxa"/>
            </w:tcMar>
            <w:shd w:fill="F7F9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香港中文大学（深圳）智能决策实验室官方网站、团队与新闻页面。</w:t>
            </w:r>
          </w:p>
        </w:tc>
        <w:tc>
          <w:tcPr>
            <w:tcW w:type="dxa" w:w="2460"/>
            <w:tcMar>
              <w:top w:w="60" w:type="dxa"/>
              <w:start w:w="100" w:type="dxa"/>
              <w:bottom w:w="6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hyperlink r:id="rId18">
              <w:r>
                <w:rPr>
                  <w:color w:val="5C4BD9"/>
                  <w:u w:val="single"/>
                </w:rPr>
                <w:t>cuhkgeo.com</w:t>
              </w:r>
            </w:hyperlink>
          </w:p>
        </w:tc>
      </w:tr>
      <w:tr>
        <w:trPr>
          <w:cantSplit/>
        </w:trPr>
        <w:tc>
          <w:tcPr>
            <w:tcW w:type="dxa" w:w="690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夏凡增个人学术主页。</w:t>
            </w:r>
          </w:p>
        </w:tc>
        <w:tc>
          <w:tcPr>
            <w:tcW w:type="dxa" w:w="246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hyperlink r:id="rId19">
              <w:r>
                <w:rPr>
                  <w:color w:val="5C4BD9"/>
                  <w:u w:val="single"/>
                </w:rPr>
                <w:t>个人主页</w:t>
              </w:r>
            </w:hyperlink>
          </w:p>
        </w:tc>
      </w:tr>
      <w:tr>
        <w:trPr>
          <w:cantSplit/>
        </w:trPr>
        <w:tc>
          <w:tcPr>
            <w:tcW w:type="dxa" w:w="6900"/>
            <w:tcMar>
              <w:top w:w="60" w:type="dxa"/>
              <w:start w:w="100" w:type="dxa"/>
              <w:bottom w:w="60" w:type="dxa"/>
              <w:end w:w="100" w:type="dxa"/>
            </w:tcMar>
            <w:shd w:fill="F7F9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Profound、Scrunch、Peec 公开产品页（仅用于竞品能力分类）。</w:t>
            </w:r>
          </w:p>
        </w:tc>
        <w:tc>
          <w:tcPr>
            <w:tcW w:type="dxa" w:w="2460"/>
            <w:tcMar>
              <w:top w:w="60" w:type="dxa"/>
              <w:start w:w="100" w:type="dxa"/>
              <w:bottom w:w="60" w:type="dxa"/>
              <w:end w:w="100" w:type="dxa"/>
            </w:tcMar>
            <w:shd w:fill="F7F9FC"/>
          </w:tcPr>
          <w:p>
            <w:pPr>
              <w:spacing w:after="0" w:line="240" w:lineRule="auto"/>
            </w:pPr>
            <w:hyperlink r:id="rId20">
              <w:r>
                <w:rPr>
                  <w:color w:val="5C4BD9"/>
                  <w:u w:val="single"/>
                </w:rPr>
                <w:t>Profound</w:t>
              </w:r>
            </w:hyperlink>
            <w:r>
              <w:rPr>
                <w:rFonts w:ascii="Arial Unicode MS" w:hAnsi="Arial Unicode MS" w:eastAsia="Arial Unicode MS" w:cs="Arial Unicode MS"/>
                <w:b w:val="0"/>
                <w:i w:val="0"/>
                <w:color w:val="647084"/>
                <w:sz w:val="16"/>
              </w:rPr>
              <w:t xml:space="preserve"> · </w:t>
            </w:r>
            <w:hyperlink r:id="rId21">
              <w:r>
                <w:rPr>
                  <w:color w:val="5C4BD9"/>
                  <w:u w:val="single"/>
                </w:rPr>
                <w:t>Scrunch</w:t>
              </w:r>
            </w:hyperlink>
            <w:r>
              <w:rPr>
                <w:rFonts w:ascii="Arial Unicode MS" w:hAnsi="Arial Unicode MS" w:eastAsia="Arial Unicode MS" w:cs="Arial Unicode MS"/>
                <w:b w:val="0"/>
                <w:i w:val="0"/>
                <w:color w:val="647084"/>
                <w:sz w:val="16"/>
              </w:rPr>
              <w:t xml:space="preserve"> · </w:t>
            </w:r>
            <w:hyperlink r:id="rId22">
              <w:r>
                <w:rPr>
                  <w:color w:val="5C4BD9"/>
                  <w:u w:val="single"/>
                </w:rPr>
                <w:t>Peec</w:t>
              </w:r>
            </w:hyperlink>
          </w:p>
        </w:tc>
      </w:tr>
      <w:tr>
        <w:trPr>
          <w:cantSplit/>
        </w:trPr>
        <w:tc>
          <w:tcPr>
            <w:tcW w:type="dxa" w:w="690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222A35"/>
                <w:sz w:val="16"/>
              </w:rPr>
              <w:t>FrontMind 项目代码仓库：产品、监测、知识库、支付、合同、账号、权限与审计等模块（本地项目文件夹）。</w:t>
            </w:r>
          </w:p>
        </w:tc>
        <w:tc>
          <w:tcPr>
            <w:tcW w:type="dxa" w:w="246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647084"/>
                <w:sz w:val="16"/>
              </w:rPr>
              <w:t>本地材料</w:t>
            </w:r>
          </w:p>
        </w:tc>
      </w:tr>
    </w:tbl>
    <w:p>
      <w:pPr>
        <w:pStyle w:val="SmallNote"/>
        <w:spacing w:before="120"/>
      </w:pPr>
      <w:r>
        <w:rPr>
          <w:rFonts w:ascii="Arial Unicode MS" w:hAnsi="Arial Unicode MS" w:eastAsia="Arial Unicode MS" w:cs="Arial Unicode MS"/>
          <w:b w:val="0"/>
          <w:i w:val="0"/>
          <w:color w:val="647084"/>
          <w:sz w:val="18"/>
        </w:rPr>
        <w:t>注：本稿为基于现有材料形成的申报草案，不替代主管部门、推荐单位或专业法律/财务意见。政策、截止时间和推荐流程应以当期正式通知为准。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 Unicode MS" w:hAnsi="Arial Unicode MS" w:eastAsia="Arial Unicode MS" w:cs="Arial Unicode MS"/>
        <w:b w:val="0"/>
        <w:i w:val="0"/>
        <w:color w:val="222A35"/>
      </w:rPr>
      <w:t xml:space="preserve">项目申请简介（草拟版）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 w:cs="Arial Unicode MS"/>
        <w:b/>
        <w:i w:val="0"/>
        <w:color w:val="647084"/>
        <w:sz w:val="17"/>
      </w:rPr>
      <w:t>FRONTMIND  |  深圳鲲鹏青年创新创业项目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 w:cs="Arial Unicode MS"/>
      <w:color w:val="22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925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5C4B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925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9253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 Unicode MS" w:hAnsi="Arial Unicode MS" w:eastAsia="Arial Unicode MS" w:cs="Arial Unicode MS"/>
      <w:b w:val="0"/>
      <w:i/>
      <w:iCs/>
      <w:color w:val="64708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222A35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  <w:color w:val="222A35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222A35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69" w:lineRule="auto"/>
    </w:pPr>
    <w:rPr>
      <w:rFonts w:ascii="Arial Unicode MS" w:hAnsi="Arial Unicode MS" w:eastAsia="Arial Unicode MS" w:cs="Arial Unicode MS"/>
      <w:color w:val="64708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tic.sz.gov.cn/xxgk/tzgg/content/post_12903809.html" TargetMode="External"/><Relationship Id="rId12" Type="http://schemas.openxmlformats.org/officeDocument/2006/relationships/hyperlink" Target="https://www.sz.gov.cn/cn/zjsz/gl/content/post_12553610.html" TargetMode="External"/><Relationship Id="rId13" Type="http://schemas.openxmlformats.org/officeDocument/2006/relationships/hyperlink" Target="https://www.sz.gov.cn/zfgb/2025/gb1368/content/post_12114699.html" TargetMode="External"/><Relationship Id="rId14" Type="http://schemas.openxmlformats.org/officeDocument/2006/relationships/hyperlink" Target="https://www.sz.gov.cn/cn/xxgk/zfxxgj/zwdt/content/post_12896926.html" TargetMode="External"/><Relationship Id="rId15" Type="http://schemas.openxmlformats.org/officeDocument/2006/relationships/hyperlink" Target="https://www.stats.gov.cn/sj/sjjd/202606/t20260602_1963861.html" TargetMode="External"/><Relationship Id="rId16" Type="http://schemas.openxmlformats.org/officeDocument/2006/relationships/hyperlink" Target="https://www.cac.gov.cn/2026-04/16/c_1778078563279563.htm" TargetMode="External"/><Relationship Id="rId17" Type="http://schemas.openxmlformats.org/officeDocument/2006/relationships/hyperlink" Target="https://www.frontmind.net/" TargetMode="External"/><Relationship Id="rId18" Type="http://schemas.openxmlformats.org/officeDocument/2006/relationships/hyperlink" Target="https://www.cuhkgeo.com/" TargetMode="External"/><Relationship Id="rId19" Type="http://schemas.openxmlformats.org/officeDocument/2006/relationships/hyperlink" Target="https://xiafanzeng.github.io/" TargetMode="External"/><Relationship Id="rId20" Type="http://schemas.openxmlformats.org/officeDocument/2006/relationships/hyperlink" Target="https://www.tryprofound.com/features" TargetMode="External"/><Relationship Id="rId21" Type="http://schemas.openxmlformats.org/officeDocument/2006/relationships/hyperlink" Target="https://scrunch.com/" TargetMode="External"/><Relationship Id="rId22" Type="http://schemas.openxmlformats.org/officeDocument/2006/relationships/hyperlink" Target="https://peec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FrontMind 深圳鲲鹏青年创新创业项目申请简介</dc:title>
  <dc:subject>深圳鲲鹏青年创新创业项目申报草稿</dc:subject>
  <dc:creator>FrontMind</dc:creator>
  <cp:keywords>FrontMind, 深圳鲲鹏青年, 人工智能, GEO, 可信智能体</cp:keywords>
  <dc:description>基于公开资料、政策文件与项目代码形成；黄色内容提交前需核验。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