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32"/>
          <w:szCs w:val="40"/>
          <w:shd w:val="clear" w:color="auto" w:fill="auto"/>
          <w:lang w:val="en-US" w:eastAsia="zh-CN"/>
        </w:rPr>
      </w:pPr>
      <w:r>
        <w:rPr>
          <w:rFonts w:hint="eastAsia"/>
          <w:b/>
          <w:bCs/>
          <w:sz w:val="32"/>
          <w:szCs w:val="40"/>
          <w:shd w:val="clear" w:color="auto" w:fill="auto"/>
          <w:lang w:val="en-US" w:eastAsia="zh-CN"/>
        </w:rPr>
        <w:t>深化人才多元化安居建设，提升南京引才留才氛围</w:t>
      </w:r>
    </w:p>
    <w:p>
      <w:pPr>
        <w:jc w:val="center"/>
        <w:rPr>
          <w:rFonts w:hint="eastAsia"/>
          <w:shd w:val="clear" w:color="auto" w:fill="auto"/>
        </w:rPr>
      </w:pPr>
      <w:r>
        <w:rPr>
          <w:rFonts w:hint="eastAsia"/>
          <w:shd w:val="clear" w:color="auto" w:fill="auto"/>
        </w:rPr>
        <w:t>武光委员</w:t>
      </w:r>
    </w:p>
    <w:p>
      <w:pPr>
        <w:ind w:firstLine="420"/>
        <w:rPr>
          <w:rFonts w:hint="eastAsia"/>
          <w:shd w:val="clear" w:color="auto" w:fill="auto"/>
        </w:rPr>
      </w:pPr>
    </w:p>
    <w:p>
      <w:pPr>
        <w:pStyle w:val="5"/>
        <w:spacing w:before="50" w:line="360" w:lineRule="auto"/>
        <w:ind w:left="357" w:firstLine="480"/>
        <w:rPr>
          <w:rFonts w:hint="eastAsia"/>
          <w:bCs/>
          <w:sz w:val="24"/>
          <w:lang w:val="en-US" w:eastAsia="zh-CN"/>
        </w:rPr>
      </w:pPr>
      <w:r>
        <w:rPr>
          <w:rFonts w:hint="eastAsia"/>
          <w:bCs/>
          <w:sz w:val="24"/>
          <w:lang w:val="en-US" w:eastAsia="zh-CN"/>
        </w:rPr>
        <w:t>近年来，南京市高质量发展取得新成效，经济总量首次跻身全国前十，三大产业增势良好，创新名城持续推进，市场主体活力进一步释放，新消费业态不断发展，城市综合实力显著增强。吸引高素质人才和多元化人口持续集聚，是实现南京继续在国家“万亿元俱乐部”争先进位、“强富美高”新南京建设的关键支撑，近年来南京市</w:t>
      </w:r>
      <w:r>
        <w:rPr>
          <w:rFonts w:hint="eastAsia"/>
          <w:bCs/>
          <w:sz w:val="24"/>
          <w:lang w:eastAsia="zh-CN"/>
        </w:rPr>
        <w:t>出台了《关于进一步加强人才安居工作的实施意见》等一系列政策文件，在引才建设方面发布了“创业</w:t>
      </w:r>
      <w:r>
        <w:rPr>
          <w:rFonts w:hint="eastAsia"/>
          <w:bCs/>
          <w:sz w:val="24"/>
          <w:lang w:val="en-US" w:eastAsia="zh-CN"/>
        </w:rPr>
        <w:t>南京</w:t>
      </w:r>
      <w:r>
        <w:rPr>
          <w:rFonts w:hint="eastAsia"/>
          <w:bCs/>
          <w:sz w:val="24"/>
          <w:lang w:eastAsia="zh-CN"/>
        </w:rPr>
        <w:t>”</w:t>
      </w:r>
      <w:r>
        <w:rPr>
          <w:rFonts w:hint="eastAsia"/>
          <w:bCs/>
          <w:sz w:val="24"/>
          <w:lang w:val="en-US" w:eastAsia="zh-CN"/>
        </w:rPr>
        <w:t>创新企业家培育计划、</w:t>
      </w:r>
      <w:r>
        <w:rPr>
          <w:rFonts w:hint="eastAsia"/>
          <w:bCs/>
          <w:sz w:val="24"/>
          <w:lang w:eastAsia="zh-CN"/>
        </w:rPr>
        <w:t>“</w:t>
      </w:r>
      <w:r>
        <w:rPr>
          <w:rFonts w:hint="eastAsia"/>
          <w:bCs/>
          <w:sz w:val="24"/>
          <w:lang w:val="en-US" w:eastAsia="zh-CN"/>
        </w:rPr>
        <w:t>345</w:t>
      </w:r>
      <w:r>
        <w:rPr>
          <w:rFonts w:hint="eastAsia"/>
          <w:bCs/>
          <w:sz w:val="24"/>
          <w:lang w:eastAsia="zh-CN"/>
        </w:rPr>
        <w:t>”</w:t>
      </w:r>
      <w:r>
        <w:rPr>
          <w:rFonts w:hint="eastAsia"/>
          <w:bCs/>
          <w:sz w:val="24"/>
          <w:lang w:val="en-US" w:eastAsia="zh-CN"/>
        </w:rPr>
        <w:t>海外高层次人才引进计划、南京中青年拔尖人才选拔培养计划</w:t>
      </w:r>
      <w:r>
        <w:rPr>
          <w:rFonts w:hint="eastAsia"/>
          <w:bCs/>
          <w:sz w:val="24"/>
          <w:lang w:eastAsia="zh-CN"/>
        </w:rPr>
        <w:t>等政策“大礼包”，</w:t>
      </w:r>
      <w:r>
        <w:rPr>
          <w:rFonts w:hint="eastAsia"/>
          <w:bCs/>
          <w:sz w:val="24"/>
          <w:lang w:val="en-US" w:eastAsia="zh-CN"/>
        </w:rPr>
        <w:t>吸引了一波高素质人才，取得了一系列成果</w:t>
      </w:r>
      <w:r>
        <w:rPr>
          <w:rFonts w:hint="eastAsia"/>
          <w:bCs/>
          <w:sz w:val="24"/>
          <w:lang w:eastAsia="zh-CN"/>
        </w:rPr>
        <w:t>。</w:t>
      </w:r>
    </w:p>
    <w:p>
      <w:pPr>
        <w:pStyle w:val="5"/>
        <w:spacing w:before="50" w:line="360" w:lineRule="auto"/>
        <w:ind w:left="357" w:firstLine="480"/>
        <w:rPr>
          <w:rFonts w:hint="eastAsia"/>
          <w:bCs/>
          <w:sz w:val="24"/>
          <w:lang w:val="en-US" w:eastAsia="zh-CN"/>
        </w:rPr>
      </w:pPr>
      <w:r>
        <w:rPr>
          <w:rFonts w:hint="eastAsia"/>
          <w:bCs/>
          <w:sz w:val="24"/>
          <w:lang w:val="en-US" w:eastAsia="zh-CN"/>
        </w:rPr>
        <w:t>南京市十四五规划发展目标中，力争至2025年常住人口突破一千万，距离20年常住人口数据差距150万余，而从南京市“七普”数据来看，过去十年来，南京常住人口仅增加130余万人，与杭州、苏州、合肥等长三角主要城市数据对比中属于靠后位置，在未来城市化速度趋缓、人口生育率持续下降、各城市对于人才争夺的态势愈发白热化的背景下，实现该体量级的人口增长目标任重道远。</w:t>
      </w:r>
    </w:p>
    <w:p>
      <w:pPr>
        <w:pStyle w:val="5"/>
        <w:spacing w:before="50" w:line="360" w:lineRule="auto"/>
        <w:ind w:left="357" w:firstLine="480"/>
        <w:rPr>
          <w:rFonts w:hint="eastAsia"/>
          <w:bCs/>
          <w:sz w:val="24"/>
          <w:lang w:val="en-US" w:eastAsia="zh-CN"/>
        </w:rPr>
      </w:pPr>
      <w:r>
        <w:rPr>
          <w:rFonts w:hint="eastAsia"/>
          <w:bCs/>
          <w:sz w:val="24"/>
          <w:lang w:val="en-US" w:eastAsia="zh-CN"/>
        </w:rPr>
        <w:t>实现千万人口集聚目标，持续性贯彻“居者有其屋”保障方针是增强人口凝聚力的重要保障，</w:t>
      </w:r>
      <w:r>
        <w:rPr>
          <w:rFonts w:hint="eastAsia"/>
          <w:bCs/>
          <w:sz w:val="24"/>
          <w:lang w:eastAsia="zh-CN"/>
        </w:rPr>
        <w:t>利用好</w:t>
      </w:r>
      <w:r>
        <w:rPr>
          <w:rFonts w:hint="eastAsia"/>
          <w:bCs/>
          <w:sz w:val="24"/>
          <w:lang w:val="en-US" w:eastAsia="zh-CN"/>
        </w:rPr>
        <w:t>创新名城</w:t>
      </w:r>
      <w:r>
        <w:rPr>
          <w:rFonts w:hint="eastAsia"/>
          <w:bCs/>
          <w:sz w:val="24"/>
          <w:lang w:eastAsia="zh-CN"/>
        </w:rPr>
        <w:t>建设契机，引进</w:t>
      </w:r>
      <w:r>
        <w:rPr>
          <w:rFonts w:hint="eastAsia"/>
          <w:bCs/>
          <w:sz w:val="24"/>
          <w:lang w:val="en-US" w:eastAsia="zh-CN"/>
        </w:rPr>
        <w:t>高层次人才，是实现综合性国家科学中心和科技产业创新中心建设的关键引领；吸引大量本科</w:t>
      </w:r>
      <w:r>
        <w:rPr>
          <w:rFonts w:hint="eastAsia"/>
          <w:bCs/>
          <w:sz w:val="24"/>
          <w:lang w:eastAsia="zh-CN"/>
        </w:rPr>
        <w:t>产业</w:t>
      </w:r>
      <w:r>
        <w:rPr>
          <w:rFonts w:hint="eastAsia"/>
          <w:bCs/>
          <w:sz w:val="24"/>
          <w:lang w:val="en-US" w:eastAsia="zh-CN"/>
        </w:rPr>
        <w:t>知识</w:t>
      </w:r>
      <w:r>
        <w:rPr>
          <w:rFonts w:hint="eastAsia"/>
          <w:bCs/>
          <w:sz w:val="24"/>
          <w:lang w:eastAsia="zh-CN"/>
        </w:rPr>
        <w:t>型</w:t>
      </w:r>
      <w:r>
        <w:rPr>
          <w:rFonts w:hint="eastAsia"/>
          <w:bCs/>
          <w:sz w:val="24"/>
          <w:lang w:val="en-US" w:eastAsia="zh-CN"/>
        </w:rPr>
        <w:t>人才，产业</w:t>
      </w:r>
      <w:r>
        <w:rPr>
          <w:rFonts w:hint="eastAsia"/>
          <w:bCs/>
          <w:sz w:val="24"/>
          <w:lang w:eastAsia="zh-CN"/>
        </w:rPr>
        <w:t>技能型人才</w:t>
      </w:r>
      <w:r>
        <w:rPr>
          <w:rFonts w:hint="eastAsia"/>
          <w:bCs/>
          <w:sz w:val="24"/>
          <w:lang w:val="en-US" w:eastAsia="zh-CN"/>
        </w:rPr>
        <w:t>是提振发展实体经济、优化升级现代产业体系基础保障；保障社会服务业新市民安居</w:t>
      </w:r>
      <w:r>
        <w:rPr>
          <w:rFonts w:hint="eastAsia"/>
          <w:bCs/>
          <w:sz w:val="24"/>
          <w:lang w:eastAsia="zh-CN"/>
        </w:rPr>
        <w:t>，</w:t>
      </w:r>
      <w:r>
        <w:rPr>
          <w:rFonts w:hint="eastAsia"/>
          <w:bCs/>
          <w:sz w:val="24"/>
          <w:lang w:val="en-US" w:eastAsia="zh-CN"/>
        </w:rPr>
        <w:t>是畅通经济高效循环、服务支撑新发展格局</w:t>
      </w:r>
      <w:r>
        <w:rPr>
          <w:rFonts w:hint="eastAsia"/>
          <w:bCs/>
          <w:sz w:val="24"/>
          <w:lang w:eastAsia="zh-CN"/>
        </w:rPr>
        <w:t>有力支撑。目前</w:t>
      </w:r>
      <w:r>
        <w:rPr>
          <w:rFonts w:hint="eastAsia"/>
          <w:bCs/>
          <w:sz w:val="24"/>
          <w:lang w:val="en-US" w:eastAsia="zh-CN"/>
        </w:rPr>
        <w:t>南京</w:t>
      </w:r>
      <w:r>
        <w:rPr>
          <w:rFonts w:hint="eastAsia"/>
          <w:bCs/>
          <w:sz w:val="24"/>
          <w:lang w:eastAsia="zh-CN"/>
        </w:rPr>
        <w:t>颁布的</w:t>
      </w:r>
      <w:r>
        <w:rPr>
          <w:rFonts w:hint="eastAsia"/>
          <w:bCs/>
          <w:sz w:val="24"/>
          <w:lang w:val="en-US" w:eastAsia="zh-CN"/>
        </w:rPr>
        <w:t>人才安居</w:t>
      </w:r>
      <w:r>
        <w:rPr>
          <w:rFonts w:hint="eastAsia"/>
          <w:bCs/>
          <w:sz w:val="24"/>
          <w:lang w:eastAsia="zh-CN"/>
        </w:rPr>
        <w:t>政策，侧重于创业团队，专家，高层次研发人才的培养扶持，</w:t>
      </w:r>
      <w:r>
        <w:rPr>
          <w:rFonts w:hint="eastAsia"/>
          <w:bCs/>
          <w:sz w:val="24"/>
          <w:lang w:val="en-US" w:eastAsia="zh-CN"/>
        </w:rPr>
        <w:t>而高层次人才、本科学历基础性人才、</w:t>
      </w:r>
      <w:r>
        <w:rPr>
          <w:rFonts w:hint="eastAsia"/>
          <w:bCs/>
          <w:sz w:val="24"/>
          <w:lang w:eastAsia="zh-CN"/>
        </w:rPr>
        <w:t>产业技能型人才与</w:t>
      </w:r>
      <w:r>
        <w:rPr>
          <w:rFonts w:hint="eastAsia"/>
          <w:bCs/>
          <w:sz w:val="24"/>
          <w:lang w:val="en-US" w:eastAsia="zh-CN"/>
        </w:rPr>
        <w:t>社会服务型新市民</w:t>
      </w:r>
      <w:r>
        <w:rPr>
          <w:rFonts w:hint="eastAsia"/>
          <w:bCs/>
          <w:sz w:val="24"/>
          <w:lang w:eastAsia="zh-CN"/>
        </w:rPr>
        <w:t>同为</w:t>
      </w:r>
      <w:r>
        <w:rPr>
          <w:rFonts w:hint="eastAsia"/>
          <w:bCs/>
          <w:sz w:val="24"/>
          <w:lang w:val="en-US" w:eastAsia="zh-CN"/>
        </w:rPr>
        <w:t>实现高素质人口增量</w:t>
      </w:r>
      <w:r>
        <w:rPr>
          <w:rFonts w:hint="eastAsia"/>
          <w:bCs/>
          <w:sz w:val="24"/>
          <w:lang w:eastAsia="zh-CN"/>
        </w:rPr>
        <w:t>的重要组成部分，</w:t>
      </w:r>
      <w:r>
        <w:rPr>
          <w:rFonts w:hint="eastAsia"/>
          <w:bCs/>
          <w:sz w:val="24"/>
          <w:lang w:val="en-US" w:eastAsia="zh-CN"/>
        </w:rPr>
        <w:t>互为支撑，</w:t>
      </w:r>
      <w:r>
        <w:rPr>
          <w:rFonts w:hint="eastAsia"/>
          <w:bCs/>
          <w:sz w:val="24"/>
          <w:lang w:eastAsia="zh-CN"/>
        </w:rPr>
        <w:t>缺一不可，</w:t>
      </w:r>
      <w:r>
        <w:rPr>
          <w:rFonts w:hint="eastAsia"/>
          <w:bCs/>
          <w:sz w:val="24"/>
          <w:lang w:val="en-US" w:eastAsia="zh-CN"/>
        </w:rPr>
        <w:t>持续性构建多层次多元的新居民层次结构才能稳步为南京高质量发展</w:t>
      </w:r>
      <w:r>
        <w:rPr>
          <w:rFonts w:hint="eastAsia"/>
          <w:bCs/>
          <w:sz w:val="24"/>
          <w:lang w:eastAsia="zh-CN"/>
        </w:rPr>
        <w:t>提速增效，</w:t>
      </w:r>
      <w:r>
        <w:rPr>
          <w:rFonts w:hint="eastAsia"/>
          <w:bCs/>
          <w:sz w:val="24"/>
        </w:rPr>
        <w:t>推动形成</w:t>
      </w:r>
      <w:r>
        <w:rPr>
          <w:rFonts w:hint="eastAsia"/>
          <w:bCs/>
          <w:sz w:val="24"/>
          <w:lang w:eastAsia="zh-CN"/>
        </w:rPr>
        <w:t>研发，技能</w:t>
      </w:r>
      <w:r>
        <w:rPr>
          <w:rFonts w:hint="eastAsia"/>
          <w:bCs/>
          <w:sz w:val="24"/>
        </w:rPr>
        <w:t>与产业同频共振、</w:t>
      </w:r>
      <w:r>
        <w:rPr>
          <w:rFonts w:hint="eastAsia"/>
          <w:bCs/>
          <w:sz w:val="24"/>
          <w:lang w:val="en-US" w:eastAsia="zh-CN"/>
        </w:rPr>
        <w:t>良性循环</w:t>
      </w:r>
      <w:r>
        <w:rPr>
          <w:rFonts w:hint="eastAsia"/>
          <w:bCs/>
          <w:sz w:val="24"/>
        </w:rPr>
        <w:t>协调发展的良好局面</w:t>
      </w:r>
      <w:r>
        <w:rPr>
          <w:rFonts w:hint="eastAsia"/>
          <w:bCs/>
          <w:sz w:val="24"/>
          <w:lang w:eastAsia="zh-CN"/>
        </w:rPr>
        <w:t>。</w:t>
      </w:r>
    </w:p>
    <w:p>
      <w:pPr>
        <w:pStyle w:val="5"/>
        <w:spacing w:before="50" w:line="360" w:lineRule="auto"/>
        <w:ind w:left="357" w:firstLine="480"/>
        <w:rPr>
          <w:rFonts w:hint="eastAsia"/>
          <w:bCs/>
          <w:sz w:val="24"/>
          <w:lang w:val="en-US" w:eastAsia="zh-CN"/>
        </w:rPr>
      </w:pPr>
      <w:r>
        <w:rPr>
          <w:rFonts w:hint="eastAsia"/>
          <w:bCs/>
          <w:sz w:val="24"/>
          <w:lang w:val="en-US" w:eastAsia="zh-CN"/>
        </w:rPr>
        <w:t>在多元化的居民层次结构中，本科学历基础性人才、</w:t>
      </w:r>
      <w:r>
        <w:rPr>
          <w:rFonts w:hint="eastAsia"/>
          <w:bCs/>
          <w:sz w:val="24"/>
          <w:lang w:eastAsia="zh-CN"/>
        </w:rPr>
        <w:t>产业技能型人才与</w:t>
      </w:r>
      <w:r>
        <w:rPr>
          <w:rFonts w:hint="eastAsia"/>
          <w:bCs/>
          <w:sz w:val="24"/>
          <w:lang w:val="en-US" w:eastAsia="zh-CN"/>
        </w:rPr>
        <w:t>社会服务型新市民是实现高素质人口增量最基础、最庞大的</w:t>
      </w:r>
      <w:r>
        <w:rPr>
          <w:rFonts w:hint="eastAsia"/>
          <w:bCs/>
          <w:sz w:val="24"/>
          <w:lang w:eastAsia="zh-CN"/>
        </w:rPr>
        <w:t>重要</w:t>
      </w:r>
      <w:r>
        <w:rPr>
          <w:rFonts w:hint="eastAsia"/>
          <w:bCs/>
          <w:sz w:val="24"/>
          <w:lang w:val="en-US" w:eastAsia="zh-CN"/>
        </w:rPr>
        <w:t>群体</w:t>
      </w:r>
      <w:r>
        <w:rPr>
          <w:rFonts w:hint="eastAsia"/>
          <w:bCs/>
          <w:sz w:val="24"/>
          <w:lang w:eastAsia="zh-CN"/>
        </w:rPr>
        <w:t>，</w:t>
      </w:r>
      <w:r>
        <w:rPr>
          <w:rFonts w:hint="eastAsia"/>
          <w:bCs/>
          <w:sz w:val="24"/>
          <w:lang w:val="en-US" w:eastAsia="zh-CN"/>
        </w:rPr>
        <w:t>横向对比长三角兄弟城市，南京的房价收入比相对过高，是客观存在的事实，这些新市民群体对于定居的成本顾虑较高层次人才更加敏感。目前南京发放的600元/月的租赁补贴对比其他长三角同类城市补贴力度偏低，与南京的经济发展水平和住房成本实际情况有所偏离，建议参考杭州市和合肥市起步800元/月租赁补贴的水平，同时根据不同行政区，不同行业实际情况制定专项行业补贴，免息贷款，首套贷款贴息等多元化人才住房政策，加强城市对于青年新居民的吸引力和人才凝聚力水平。</w:t>
      </w:r>
    </w:p>
    <w:p>
      <w:pPr>
        <w:pStyle w:val="5"/>
        <w:spacing w:before="50" w:line="360" w:lineRule="auto"/>
        <w:ind w:left="357" w:firstLine="480"/>
        <w:rPr>
          <w:rFonts w:hint="eastAsia"/>
          <w:bCs/>
          <w:sz w:val="24"/>
          <w:lang w:val="en-US" w:eastAsia="zh-CN"/>
        </w:rPr>
      </w:pPr>
      <w:r>
        <w:rPr>
          <w:rFonts w:hint="eastAsia"/>
          <w:bCs/>
          <w:sz w:val="24"/>
          <w:lang w:val="en-US" w:eastAsia="zh-CN"/>
        </w:rPr>
        <w:t>对比货币化补贴，为高素质、高技能新市民群体提供新时代的租赁社区能够构建更加具有共鸣交流、凝心聚力的社区成长空间，</w:t>
      </w:r>
      <w:r>
        <w:rPr>
          <w:rFonts w:hint="eastAsia"/>
          <w:bCs/>
          <w:sz w:val="24"/>
          <w:lang w:eastAsia="zh-CN"/>
        </w:rPr>
        <w:t>建议</w:t>
      </w:r>
      <w:r>
        <w:rPr>
          <w:rFonts w:hint="eastAsia"/>
          <w:bCs/>
          <w:sz w:val="24"/>
          <w:lang w:val="en-US" w:eastAsia="zh-CN"/>
        </w:rPr>
        <w:t>南京市在聚焦新兴产业培育、保障高端人才公寓建设的同时，同步考虑为南京经济、税收、就业贡献支柱地位的存量规上工业企业单位引进人才大量产业人才，从规划政策上予以扶持，进一步鼓励规上企业利用闲置用地建设员工宿舍并进一步落实加强配套补贴政策，推动人才安居由增量扩张向增存并重转变。</w:t>
      </w:r>
    </w:p>
    <w:p>
      <w:pPr>
        <w:pStyle w:val="5"/>
        <w:spacing w:before="50" w:line="360" w:lineRule="auto"/>
        <w:ind w:left="357" w:firstLine="480"/>
        <w:rPr>
          <w:rFonts w:hint="default"/>
          <w:bCs/>
          <w:sz w:val="24"/>
          <w:lang w:val="en-US" w:eastAsia="zh-CN"/>
        </w:rPr>
      </w:pPr>
      <w:r>
        <w:rPr>
          <w:rFonts w:hint="eastAsia"/>
          <w:bCs/>
          <w:sz w:val="24"/>
          <w:lang w:val="en-US" w:eastAsia="zh-CN"/>
        </w:rPr>
        <w:t>以江北新区为例，作为未来南京主城拓展极，</w:t>
      </w:r>
      <w:bookmarkStart w:id="0" w:name="_GoBack"/>
      <w:bookmarkEnd w:id="0"/>
      <w:r>
        <w:rPr>
          <w:rFonts w:hint="eastAsia"/>
          <w:bCs/>
          <w:sz w:val="24"/>
          <w:lang w:val="en-US" w:eastAsia="zh-CN"/>
        </w:rPr>
        <w:t>在保障中央商务区、研创园、生物医药谷高端人才公寓建设的同时，统筹兼顾加快青年新市民租赁小区的投资建设和管理力度，规划布局葛塘街道-智能制造产业园、大厂街道-新材料产业园的等老产业基地企业配套人才社区作为补充，放权配套政策,让社会资本有积极性共同参与，</w:t>
      </w:r>
      <w:r>
        <w:rPr>
          <w:rFonts w:hint="eastAsia"/>
          <w:bCs/>
          <w:sz w:val="24"/>
          <w:lang w:eastAsia="zh-CN"/>
        </w:rPr>
        <w:t>激发企业</w:t>
      </w:r>
      <w:r>
        <w:rPr>
          <w:rFonts w:hint="eastAsia"/>
          <w:bCs/>
          <w:sz w:val="24"/>
          <w:lang w:val="en-US" w:eastAsia="zh-CN"/>
        </w:rPr>
        <w:t>社会责任感和促民生积极性</w:t>
      </w:r>
      <w:r>
        <w:rPr>
          <w:rFonts w:hint="eastAsia"/>
          <w:bCs/>
          <w:sz w:val="24"/>
          <w:lang w:eastAsia="zh-CN"/>
        </w:rPr>
        <w:t>，</w:t>
      </w:r>
      <w:r>
        <w:rPr>
          <w:rFonts w:hint="eastAsia"/>
          <w:bCs/>
          <w:sz w:val="24"/>
          <w:lang w:val="en-US" w:eastAsia="zh-CN"/>
        </w:rPr>
        <w:t>将引才留才建设工作与老工业基地低效资源盘活，新旧动能转换战略有机融合，</w:t>
      </w:r>
      <w:r>
        <w:rPr>
          <w:rFonts w:hint="eastAsia"/>
          <w:bCs/>
          <w:sz w:val="24"/>
          <w:lang w:eastAsia="zh-CN"/>
        </w:rPr>
        <w:t>助推</w:t>
      </w:r>
      <w:r>
        <w:rPr>
          <w:rFonts w:hint="eastAsia"/>
          <w:bCs/>
          <w:sz w:val="24"/>
          <w:lang w:val="en-US" w:eastAsia="zh-CN"/>
        </w:rPr>
        <w:t>南京</w:t>
      </w:r>
      <w:r>
        <w:rPr>
          <w:rFonts w:hint="eastAsia"/>
          <w:bCs/>
          <w:sz w:val="24"/>
          <w:lang w:eastAsia="zh-CN"/>
        </w:rPr>
        <w:t>建设成为宜居宜业宜创</w:t>
      </w:r>
      <w:r>
        <w:rPr>
          <w:rFonts w:hint="eastAsia"/>
          <w:bCs/>
          <w:sz w:val="24"/>
          <w:lang w:val="en-US" w:eastAsia="zh-CN"/>
        </w:rPr>
        <w:t>的</w:t>
      </w:r>
      <w:r>
        <w:rPr>
          <w:rFonts w:hint="default"/>
          <w:bCs/>
          <w:sz w:val="24"/>
          <w:lang w:eastAsia="zh-CN"/>
        </w:rPr>
        <w:t>人才政策高地、人才集聚高地和人才生态高地</w:t>
      </w:r>
      <w:r>
        <w:rPr>
          <w:rFonts w:hint="eastAsia"/>
          <w:bCs/>
          <w:sz w:val="24"/>
          <w:lang w:eastAsia="zh-CN"/>
        </w:rPr>
        <w:t>。</w:t>
      </w:r>
    </w:p>
    <w:p>
      <w:pPr>
        <w:pStyle w:val="5"/>
        <w:spacing w:before="50" w:line="360" w:lineRule="auto"/>
        <w:ind w:left="357" w:firstLine="480"/>
        <w:rPr>
          <w:rFonts w:hint="default"/>
          <w:bCs/>
          <w:sz w:val="24"/>
          <w:lang w:val="en-US" w:eastAsia="zh-CN"/>
        </w:rPr>
      </w:pPr>
    </w:p>
    <w:p>
      <w:pPr>
        <w:ind w:firstLine="420"/>
        <w:rPr>
          <w:rFonts w:hint="eastAsia"/>
          <w:bCs/>
          <w:sz w:val="24"/>
          <w:lang w:eastAsia="zh-CN"/>
        </w:rPr>
      </w:pPr>
    </w:p>
    <w:p>
      <w:pPr>
        <w:ind w:firstLine="420"/>
        <w:rPr>
          <w:rFonts w:hint="eastAsia"/>
          <w:bCs/>
          <w:sz w:val="24"/>
          <w:lang w:eastAsia="zh-CN"/>
        </w:rPr>
      </w:pPr>
    </w:p>
    <w:p>
      <w:pPr>
        <w:ind w:firstLine="420"/>
        <w:rPr>
          <w:rFonts w:hint="eastAsia"/>
          <w:sz w:val="28"/>
          <w:szCs w:val="36"/>
          <w:shd w:val="clear" w:color="auto" w:fill="auto"/>
        </w:rPr>
      </w:pPr>
      <w:r>
        <w:rPr>
          <w:rFonts w:hint="eastAsia"/>
          <w:sz w:val="28"/>
          <w:szCs w:val="36"/>
          <w:shd w:val="clear" w:color="auto" w:fill="auto"/>
        </w:rPr>
        <w:t>。</w:t>
      </w:r>
    </w:p>
    <w:p>
      <w:pPr>
        <w:rPr>
          <w:rFonts w:hint="default" w:eastAsiaTheme="minorEastAsia"/>
          <w:sz w:val="28"/>
          <w:szCs w:val="36"/>
          <w:shd w:val="clear" w:color="auto" w:fill="auto"/>
          <w:lang w:val="en-US" w:eastAsia="zh-CN"/>
        </w:rPr>
      </w:pPr>
      <w:r>
        <w:rPr>
          <w:rFonts w:hint="eastAsia"/>
          <w:sz w:val="28"/>
          <w:szCs w:val="36"/>
          <w:shd w:val="clear" w:color="auto" w:fill="auto"/>
          <w:lang w:val="en-US" w:eastAsia="zh-CN"/>
        </w:rPr>
        <w:t xml:space="preserve">                                                       </w:t>
      </w:r>
    </w:p>
    <w:sectPr>
      <w:type w:val="continuous"/>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505F15"/>
    <w:rsid w:val="016C2E61"/>
    <w:rsid w:val="02206D6D"/>
    <w:rsid w:val="09B22E06"/>
    <w:rsid w:val="0F146AF8"/>
    <w:rsid w:val="168F5F92"/>
    <w:rsid w:val="19C3702C"/>
    <w:rsid w:val="20ED4838"/>
    <w:rsid w:val="24CC1841"/>
    <w:rsid w:val="2A340E9F"/>
    <w:rsid w:val="2C02237E"/>
    <w:rsid w:val="2D9B5364"/>
    <w:rsid w:val="2EAE2522"/>
    <w:rsid w:val="30B24195"/>
    <w:rsid w:val="3EB0581C"/>
    <w:rsid w:val="4AA85A47"/>
    <w:rsid w:val="58073ED5"/>
    <w:rsid w:val="5B3C6463"/>
    <w:rsid w:val="5D8B5B79"/>
    <w:rsid w:val="63B05363"/>
    <w:rsid w:val="678F61B3"/>
    <w:rsid w:val="70340FEC"/>
    <w:rsid w:val="70AA6E93"/>
    <w:rsid w:val="79C93B22"/>
    <w:rsid w:val="7CCC0B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Office_11.1.0.11194_F1E327BC-269C-435d-A152-05C5408002CA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2021-09-24T04:27:00Z</dcterms:created>
  <dc:creator>Felex</dc:creator>
  <cp:lastModifiedBy>黑土豆</cp:lastModifiedBy>
  <dcterms:modified xsi:type="dcterms:W3CDTF">2021-12-24T02:40:13Z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2052-11.1.0.11194</vt:lpwstr>
  </property>
  <property fmtid="{D5CDD505-2E9C-101B-9397-08002B2CF9AE}" pid="3" name="ICV">
    <vt:lpwstr>AE8FAF8C28DC441D92B3E9CC76276D7F</vt:lpwstr>
  </property>
</Properties>
</file>