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36"/>
        </w:rPr>
        <w:t>项目分工策划</w:t>
      </w:r>
    </w:p>
    <w:p>
      <w:pPr>
        <w:spacing w:before="160" w:after="80" w:lineRule="exact" w:line="400"/>
      </w:pPr>
      <w:r>
        <w:rPr>
          <w:rFonts w:ascii="Times New Roman" w:hAnsi="Times New Roman" w:eastAsia="黑体"/>
          <w:b/>
          <w:sz w:val="28"/>
        </w:rPr>
        <w:t>一、设计分工策划</w:t>
      </w:r>
    </w:p>
    <w:p>
      <w:pPr>
        <w:spacing w:before="120" w:after="40" w:lineRule="exact" w:line="400"/>
      </w:pPr>
      <w:r>
        <w:rPr>
          <w:rFonts w:ascii="Times New Roman" w:hAnsi="Times New Roman" w:eastAsia="黑体"/>
          <w:b/>
          <w:sz w:val="24"/>
        </w:rPr>
        <w:t>1. 设计分工整体情况</w:t>
      </w:r>
    </w:p>
    <w:p>
      <w:pPr>
        <w:spacing w:before="0" w:after="0" w:lineRule="exact" w:line="400"/>
        <w:ind w:firstLine="420"/>
      </w:pPr>
      <w:r>
        <w:rPr>
          <w:rFonts w:ascii="Times New Roman" w:hAnsi="Times New Roman" w:eastAsia="宋体"/>
          <w:b w:val="0"/>
          <w:sz w:val="24"/>
        </w:rPr>
        <w:t>本项目设计建议按三方分工组织。第一部分为主装置系统设计，负责主生产装置范围内的工艺、设备、管道、结构、仪表、电气及相关接口设计，并对主装置系统完整性、关键设备接口和性能边界负责。第二部分为公用工程和配套系统设计，负责总图、储运、公用工程、消防、变配电、建筑结构以及厂外管线、外部公用工程接入等设计，并对全厂配套系统的完整性和可实施性负责。第三部分为本地深化设计，负责消防、暖通、电气、弱电等本地审批敏感专业的深化、报审和施工转换图。</w:t>
      </w:r>
    </w:p>
    <w:p>
      <w:pPr>
        <w:spacing w:before="120" w:after="40" w:lineRule="exact" w:line="400"/>
      </w:pPr>
      <w:r>
        <w:rPr>
          <w:rFonts w:ascii="Times New Roman" w:hAnsi="Times New Roman" w:eastAsia="黑体"/>
          <w:b/>
          <w:sz w:val="24"/>
        </w:rPr>
        <w:t>2. 主装置设计范围</w:t>
      </w:r>
    </w:p>
    <w:p>
      <w:pPr>
        <w:spacing w:before="0" w:after="0" w:lineRule="exact" w:line="400"/>
        <w:ind w:firstLine="420"/>
      </w:pPr>
      <w:r>
        <w:rPr>
          <w:rFonts w:ascii="Times New Roman" w:hAnsi="Times New Roman" w:eastAsia="宋体"/>
          <w:b w:val="0"/>
          <w:sz w:val="24"/>
        </w:rPr>
        <w:t>主装置设计范围覆盖预处理、主生产和制氢等核心工艺系统，设计内容包括工艺流程、设备布置、管道布置、结构平台、设备基础条件、仪表和电气接口、消防接口及相关建筑机电配套。主装置设计责任包含关键设备、成套包和多专业接口的统一组织。主要设备类型包括反应器、炉类、压缩机、离心机、泵、换热器、塔器及相关关键阀门和控制系统。这部分工作建议由 Technip 统一负责。</w:t>
      </w:r>
    </w:p>
    <w:p>
      <w:pPr>
        <w:spacing w:before="120" w:after="40" w:lineRule="exact" w:line="400"/>
      </w:pPr>
      <w:r>
        <w:rPr>
          <w:rFonts w:ascii="Times New Roman" w:hAnsi="Times New Roman" w:eastAsia="黑体"/>
          <w:b/>
          <w:sz w:val="24"/>
        </w:rPr>
        <w:t>3. 配套系统设计范围</w:t>
      </w:r>
    </w:p>
    <w:p>
      <w:pPr>
        <w:spacing w:before="0" w:after="0" w:lineRule="exact" w:line="400"/>
        <w:ind w:firstLine="420"/>
      </w:pPr>
      <w:r>
        <w:rPr>
          <w:rFonts w:ascii="Times New Roman" w:hAnsi="Times New Roman" w:eastAsia="宋体"/>
          <w:b w:val="0"/>
          <w:sz w:val="24"/>
        </w:rPr>
        <w:t>配套系统设计范围包括总图场平、办公和控制建筑、仓库和维修设施、罐区、装卸设施、管廊、外管、地管、水处理、蒸汽锅炉、冷却水、工厂风和仪表风、氮气、天然气、余热回收、火炬、IETS、消防水及变配电系统等。该部分设计覆盖储运、公用工程、建筑、电气和消防等多个专业，与全厂施工组织、系统移交和最终投用条件直接相关。这部分工作建议由华东院统一负责。</w:t>
      </w:r>
    </w:p>
    <w:p>
      <w:pPr>
        <w:spacing w:before="120" w:after="40" w:lineRule="exact" w:line="400"/>
      </w:pPr>
      <w:r>
        <w:rPr>
          <w:rFonts w:ascii="Times New Roman" w:hAnsi="Times New Roman" w:eastAsia="黑体"/>
          <w:b/>
          <w:sz w:val="24"/>
        </w:rPr>
        <w:t>4. 公用工程成套包设计与管理方式</w:t>
      </w:r>
    </w:p>
    <w:p>
      <w:pPr>
        <w:spacing w:before="0" w:after="0" w:lineRule="exact" w:line="400"/>
        <w:ind w:firstLine="420"/>
      </w:pPr>
      <w:r>
        <w:rPr>
          <w:rFonts w:ascii="Times New Roman" w:hAnsi="Times New Roman" w:eastAsia="宋体"/>
          <w:b w:val="0"/>
          <w:sz w:val="24"/>
        </w:rPr>
        <w:t>公用工程范围内的锅炉、燃气、空压站、水处理、IETS 等成套系统，建议按“设计方提供界面和参数、专业成套厂家负责成套设计、NCC 负责 EPC 管理”的方式组织。主装置设计方和配套系统设计方负责提出边界条件、接口参数和总体技术要求，专业成套厂家负责包内工艺、设备、控制和成套图纸设计，NCC 负责采购、设计协调、制造、发运、现场安装和接口关闭的全过程管理。这样更有利于减少不同成套厂家之间的界面反复协调问题。</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设计范围</w:t>
            </w:r>
          </w:p>
        </w:tc>
        <w:tc>
          <w:tcPr>
            <w:tcW w:type="dxa" w:w="2197"/>
          </w:tcPr>
          <w:p>
            <w:pPr>
              <w:spacing w:lineRule="exact" w:line="320"/>
              <w:jc w:val="center"/>
            </w:pPr>
            <w:r>
              <w:rPr>
                <w:rFonts w:ascii="Times New Roman" w:hAnsi="Times New Roman" w:eastAsia="黑体"/>
                <w:b/>
                <w:sz w:val="21"/>
              </w:rPr>
              <w:t>主要单元名称</w:t>
            </w:r>
          </w:p>
        </w:tc>
        <w:tc>
          <w:tcPr>
            <w:tcW w:type="dxa" w:w="2197"/>
          </w:tcPr>
          <w:p>
            <w:pPr>
              <w:spacing w:lineRule="exact" w:line="320"/>
              <w:jc w:val="center"/>
            </w:pPr>
            <w:r>
              <w:rPr>
                <w:rFonts w:ascii="Times New Roman" w:hAnsi="Times New Roman" w:eastAsia="黑体"/>
                <w:b/>
                <w:sz w:val="21"/>
              </w:rPr>
              <w:t>主要设备/设施</w:t>
            </w:r>
          </w:p>
        </w:tc>
        <w:tc>
          <w:tcPr>
            <w:tcW w:type="dxa" w:w="2197"/>
          </w:tcPr>
          <w:p>
            <w:pPr>
              <w:spacing w:lineRule="exact" w:line="320"/>
              <w:jc w:val="center"/>
            </w:pPr>
            <w:r>
              <w:rPr>
                <w:rFonts w:ascii="Times New Roman" w:hAnsi="Times New Roman" w:eastAsia="黑体"/>
                <w:b/>
                <w:sz w:val="21"/>
              </w:rPr>
              <w:t>建议责任方</w:t>
            </w:r>
          </w:p>
        </w:tc>
      </w:tr>
      <w:tr>
        <w:tc>
          <w:tcPr>
            <w:tcW w:type="dxa" w:w="2197"/>
          </w:tcPr>
          <w:p>
            <w:pPr>
              <w:spacing w:lineRule="exact" w:line="320"/>
            </w:pPr>
            <w:r>
              <w:rPr>
                <w:rFonts w:ascii="Times New Roman" w:hAnsi="Times New Roman" w:eastAsia="宋体"/>
                <w:b w:val="0"/>
                <w:sz w:val="21"/>
              </w:rPr>
              <w:t>主装置系统设计</w:t>
            </w:r>
          </w:p>
        </w:tc>
        <w:tc>
          <w:tcPr>
            <w:tcW w:type="dxa" w:w="2197"/>
          </w:tcPr>
          <w:p>
            <w:pPr>
              <w:spacing w:lineRule="exact" w:line="320"/>
            </w:pPr>
            <w:r>
              <w:rPr>
                <w:rFonts w:ascii="Times New Roman" w:hAnsi="Times New Roman" w:eastAsia="宋体"/>
                <w:b w:val="0"/>
                <w:sz w:val="21"/>
              </w:rPr>
              <w:t>预处理单元、可再生燃料生产单元、制氢单元</w:t>
            </w:r>
          </w:p>
        </w:tc>
        <w:tc>
          <w:tcPr>
            <w:tcW w:type="dxa" w:w="2197"/>
          </w:tcPr>
          <w:p>
            <w:pPr>
              <w:spacing w:lineRule="exact" w:line="320"/>
            </w:pPr>
            <w:r>
              <w:rPr>
                <w:rFonts w:ascii="Times New Roman" w:hAnsi="Times New Roman" w:eastAsia="宋体"/>
                <w:b w:val="0"/>
                <w:sz w:val="21"/>
              </w:rPr>
              <w:t>反应器、加热炉、转化炉、压缩机、离心机、泵、换热器、塔器、关键阀门、DCS/SIS 接口</w:t>
            </w:r>
          </w:p>
        </w:tc>
        <w:tc>
          <w:tcPr>
            <w:tcW w:type="dxa" w:w="2197"/>
          </w:tcPr>
          <w:p>
            <w:pPr>
              <w:spacing w:lineRule="exact" w:line="320"/>
            </w:pPr>
            <w:r>
              <w:rPr>
                <w:rFonts w:ascii="Times New Roman" w:hAnsi="Times New Roman" w:eastAsia="宋体"/>
                <w:b w:val="0"/>
                <w:sz w:val="21"/>
              </w:rPr>
              <w:t>Technip</w:t>
            </w:r>
          </w:p>
        </w:tc>
      </w:tr>
      <w:tr>
        <w:tc>
          <w:tcPr>
            <w:tcW w:type="dxa" w:w="2197"/>
          </w:tcPr>
          <w:p>
            <w:pPr>
              <w:spacing w:lineRule="exact" w:line="320"/>
            </w:pPr>
            <w:r>
              <w:rPr>
                <w:rFonts w:ascii="Times New Roman" w:hAnsi="Times New Roman" w:eastAsia="宋体"/>
                <w:b w:val="0"/>
                <w:sz w:val="21"/>
              </w:rPr>
              <w:t>储运与装卸系统设计</w:t>
            </w:r>
          </w:p>
        </w:tc>
        <w:tc>
          <w:tcPr>
            <w:tcW w:type="dxa" w:w="2197"/>
          </w:tcPr>
          <w:p>
            <w:pPr>
              <w:spacing w:lineRule="exact" w:line="320"/>
            </w:pPr>
            <w:r>
              <w:rPr>
                <w:rFonts w:ascii="Times New Roman" w:hAnsi="Times New Roman" w:eastAsia="宋体"/>
                <w:b w:val="0"/>
                <w:sz w:val="21"/>
              </w:rPr>
              <w:t>一号罐区、二号罐区、三号罐区、装卸站、内管廊、外管</w:t>
            </w:r>
          </w:p>
        </w:tc>
        <w:tc>
          <w:tcPr>
            <w:tcW w:type="dxa" w:w="2197"/>
          </w:tcPr>
          <w:p>
            <w:pPr>
              <w:spacing w:lineRule="exact" w:line="320"/>
            </w:pPr>
            <w:r>
              <w:rPr>
                <w:rFonts w:ascii="Times New Roman" w:hAnsi="Times New Roman" w:eastAsia="宋体"/>
                <w:b w:val="0"/>
                <w:sz w:val="21"/>
              </w:rPr>
              <w:t>原料油罐区、可持续航空燃料（SAF）罐区、加氢植物油（HVO）罐区及其他工艺储罐，装卸臂、鹤管、装车设施、罐区输送泵、转输泵、内管廊、外管、厂外管线</w:t>
            </w:r>
          </w:p>
        </w:tc>
        <w:tc>
          <w:tcPr>
            <w:tcW w:type="dxa" w:w="2197"/>
          </w:tcPr>
          <w:p>
            <w:pPr>
              <w:spacing w:lineRule="exact" w:line="320"/>
            </w:pPr>
            <w:r>
              <w:rPr>
                <w:rFonts w:ascii="Times New Roman" w:hAnsi="Times New Roman" w:eastAsia="宋体"/>
                <w:b w:val="0"/>
                <w:sz w:val="21"/>
              </w:rPr>
              <w:t>华东院</w:t>
            </w:r>
          </w:p>
        </w:tc>
      </w:tr>
      <w:tr>
        <w:tc>
          <w:tcPr>
            <w:tcW w:type="dxa" w:w="2197"/>
          </w:tcPr>
          <w:p>
            <w:pPr>
              <w:spacing w:lineRule="exact" w:line="320"/>
            </w:pPr>
            <w:r>
              <w:rPr>
                <w:rFonts w:ascii="Times New Roman" w:hAnsi="Times New Roman" w:eastAsia="宋体"/>
                <w:b w:val="0"/>
                <w:sz w:val="21"/>
              </w:rPr>
              <w:t>公用工程系统设计</w:t>
            </w:r>
          </w:p>
        </w:tc>
        <w:tc>
          <w:tcPr>
            <w:tcW w:type="dxa" w:w="2197"/>
          </w:tcPr>
          <w:p>
            <w:pPr>
              <w:spacing w:lineRule="exact" w:line="320"/>
            </w:pPr>
            <w:r>
              <w:rPr>
                <w:rFonts w:ascii="Times New Roman" w:hAnsi="Times New Roman" w:eastAsia="宋体"/>
                <w:b w:val="0"/>
                <w:sz w:val="21"/>
              </w:rPr>
              <w:t>水处理系统、蒸汽锅炉系统、冷却水系统、工厂风/仪表风系统、氮气系统、天然气设施、余热蒸汽回收系统、地面火炬系统、工艺污水处理系统、消防水系统、应急柴油发电</w:t>
            </w:r>
          </w:p>
        </w:tc>
        <w:tc>
          <w:tcPr>
            <w:tcW w:type="dxa" w:w="2197"/>
          </w:tcPr>
          <w:p>
            <w:pPr>
              <w:spacing w:lineRule="exact" w:line="320"/>
            </w:pPr>
            <w:r>
              <w:rPr>
                <w:rFonts w:ascii="Times New Roman" w:hAnsi="Times New Roman" w:eastAsia="宋体"/>
                <w:b w:val="0"/>
                <w:sz w:val="21"/>
              </w:rPr>
              <w:t>水处理装置、锅炉本体及辅机、冷却塔、循环水泵、仪表风压缩机、工厂风压缩机、氮气成套装置、天然气调压设施、余热回收装置、火炬、污水处理设备、消防泵、稳压泵、消防水罐、应急柴油发电机</w:t>
            </w:r>
          </w:p>
        </w:tc>
        <w:tc>
          <w:tcPr>
            <w:tcW w:type="dxa" w:w="2197"/>
          </w:tcPr>
          <w:p>
            <w:pPr>
              <w:spacing w:lineRule="exact" w:line="320"/>
            </w:pPr>
            <w:r>
              <w:rPr>
                <w:rFonts w:ascii="Times New Roman" w:hAnsi="Times New Roman" w:eastAsia="宋体"/>
                <w:b w:val="0"/>
                <w:sz w:val="21"/>
              </w:rPr>
              <w:t>华东院</w:t>
            </w:r>
          </w:p>
        </w:tc>
      </w:tr>
      <w:tr>
        <w:tc>
          <w:tcPr>
            <w:tcW w:type="dxa" w:w="2197"/>
          </w:tcPr>
          <w:p>
            <w:pPr>
              <w:spacing w:lineRule="exact" w:line="320"/>
            </w:pPr>
            <w:r>
              <w:rPr>
                <w:rFonts w:ascii="Times New Roman" w:hAnsi="Times New Roman" w:eastAsia="宋体"/>
                <w:b w:val="0"/>
                <w:sz w:val="21"/>
              </w:rPr>
              <w:t>变配电与全厂电气设计</w:t>
            </w:r>
          </w:p>
        </w:tc>
        <w:tc>
          <w:tcPr>
            <w:tcW w:type="dxa" w:w="2197"/>
          </w:tcPr>
          <w:p>
            <w:pPr>
              <w:spacing w:lineRule="exact" w:line="320"/>
            </w:pPr>
            <w:r>
              <w:rPr>
                <w:rFonts w:ascii="Times New Roman" w:hAnsi="Times New Roman" w:eastAsia="宋体"/>
                <w:b w:val="0"/>
                <w:sz w:val="21"/>
              </w:rPr>
              <w:t>主变电站、二号变电站、三号变电站、四号变电站、全厂供电照明、全厂防雷接地</w:t>
            </w:r>
          </w:p>
        </w:tc>
        <w:tc>
          <w:tcPr>
            <w:tcW w:type="dxa" w:w="2197"/>
          </w:tcPr>
          <w:p>
            <w:pPr>
              <w:spacing w:lineRule="exact" w:line="320"/>
            </w:pPr>
            <w:r>
              <w:rPr>
                <w:rFonts w:ascii="Times New Roman" w:hAnsi="Times New Roman" w:eastAsia="宋体"/>
                <w:b w:val="0"/>
                <w:sz w:val="21"/>
              </w:rPr>
              <w:t>主变压器、高低压开关柜、配电盘、变频器、UPS、母线桥、电缆桥架、照明系统、防雷接地系统</w:t>
            </w:r>
          </w:p>
        </w:tc>
        <w:tc>
          <w:tcPr>
            <w:tcW w:type="dxa" w:w="2197"/>
          </w:tcPr>
          <w:p>
            <w:pPr>
              <w:spacing w:lineRule="exact" w:line="320"/>
            </w:pPr>
            <w:r>
              <w:rPr>
                <w:rFonts w:ascii="Times New Roman" w:hAnsi="Times New Roman" w:eastAsia="宋体"/>
                <w:b w:val="0"/>
                <w:sz w:val="21"/>
              </w:rPr>
              <w:t>华东院</w:t>
            </w:r>
          </w:p>
        </w:tc>
      </w:tr>
      <w:tr>
        <w:tc>
          <w:tcPr>
            <w:tcW w:type="dxa" w:w="2197"/>
          </w:tcPr>
          <w:p>
            <w:pPr>
              <w:spacing w:lineRule="exact" w:line="320"/>
            </w:pPr>
            <w:r>
              <w:rPr>
                <w:rFonts w:ascii="Times New Roman" w:hAnsi="Times New Roman" w:eastAsia="宋体"/>
                <w:b w:val="0"/>
                <w:sz w:val="21"/>
              </w:rPr>
              <w:t>建筑与总图设计</w:t>
            </w:r>
          </w:p>
        </w:tc>
        <w:tc>
          <w:tcPr>
            <w:tcW w:type="dxa" w:w="2197"/>
          </w:tcPr>
          <w:p>
            <w:pPr>
              <w:spacing w:lineRule="exact" w:line="320"/>
            </w:pPr>
            <w:r>
              <w:rPr>
                <w:rFonts w:ascii="Times New Roman" w:hAnsi="Times New Roman" w:eastAsia="宋体"/>
                <w:b w:val="0"/>
                <w:sz w:val="21"/>
              </w:rPr>
              <w:t>总图场平、道路和铺装面、围墙大门、门卫室、仓库、维修车间、办公楼/控制室、垃圾房</w:t>
            </w:r>
          </w:p>
        </w:tc>
        <w:tc>
          <w:tcPr>
            <w:tcW w:type="dxa" w:w="2197"/>
          </w:tcPr>
          <w:p>
            <w:pPr>
              <w:spacing w:lineRule="exact" w:line="320"/>
            </w:pPr>
            <w:r>
              <w:rPr>
                <w:rFonts w:ascii="Times New Roman" w:hAnsi="Times New Roman" w:eastAsia="宋体"/>
                <w:b w:val="0"/>
                <w:sz w:val="21"/>
              </w:rPr>
              <w:t>总图场平、道路、围墙、大门、仓库、维修车间、办公楼/控制室、垃圾房，以及建筑内空调通风、建筑消防、给排水、照明、CCTV、门禁和其他弱电配套设施</w:t>
            </w:r>
          </w:p>
        </w:tc>
        <w:tc>
          <w:tcPr>
            <w:tcW w:type="dxa" w:w="2197"/>
          </w:tcPr>
          <w:p>
            <w:pPr>
              <w:spacing w:lineRule="exact" w:line="320"/>
            </w:pPr>
            <w:r>
              <w:rPr>
                <w:rFonts w:ascii="Times New Roman" w:hAnsi="Times New Roman" w:eastAsia="宋体"/>
                <w:b w:val="0"/>
                <w:sz w:val="21"/>
              </w:rPr>
              <w:t>华东院</w:t>
            </w:r>
          </w:p>
        </w:tc>
      </w:tr>
      <w:tr>
        <w:tc>
          <w:tcPr>
            <w:tcW w:type="dxa" w:w="2197"/>
          </w:tcPr>
          <w:p>
            <w:pPr>
              <w:spacing w:lineRule="exact" w:line="320"/>
            </w:pPr>
            <w:r>
              <w:rPr>
                <w:rFonts w:ascii="Times New Roman" w:hAnsi="Times New Roman" w:eastAsia="宋体"/>
                <w:b w:val="0"/>
                <w:sz w:val="21"/>
              </w:rPr>
              <w:t>本地深化设计</w:t>
            </w:r>
          </w:p>
        </w:tc>
        <w:tc>
          <w:tcPr>
            <w:tcW w:type="dxa" w:w="2197"/>
          </w:tcPr>
          <w:p>
            <w:pPr>
              <w:spacing w:lineRule="exact" w:line="320"/>
            </w:pPr>
            <w:r>
              <w:rPr>
                <w:rFonts w:ascii="Times New Roman" w:hAnsi="Times New Roman" w:eastAsia="宋体"/>
                <w:b w:val="0"/>
                <w:sz w:val="21"/>
              </w:rPr>
              <w:t>办公楼/控制室、变电站、公用工程站房及部分主装置配套区域</w:t>
            </w:r>
          </w:p>
        </w:tc>
        <w:tc>
          <w:tcPr>
            <w:tcW w:type="dxa" w:w="2197"/>
          </w:tcPr>
          <w:p>
            <w:pPr>
              <w:spacing w:lineRule="exact" w:line="320"/>
            </w:pPr>
            <w:r>
              <w:rPr>
                <w:rFonts w:ascii="Times New Roman" w:hAnsi="Times New Roman" w:eastAsia="宋体"/>
                <w:b w:val="0"/>
                <w:sz w:val="21"/>
              </w:rPr>
              <w:t>消防、暖通、电气、弱电、报审图和施工转换图</w:t>
            </w:r>
          </w:p>
        </w:tc>
        <w:tc>
          <w:tcPr>
            <w:tcW w:type="dxa" w:w="2197"/>
          </w:tcPr>
          <w:p>
            <w:pPr>
              <w:spacing w:lineRule="exact" w:line="320"/>
            </w:pPr>
            <w:r>
              <w:rPr>
                <w:rFonts w:ascii="Times New Roman" w:hAnsi="Times New Roman" w:eastAsia="宋体"/>
                <w:b w:val="0"/>
                <w:sz w:val="21"/>
              </w:rPr>
              <w:t>马来设计院</w:t>
            </w:r>
          </w:p>
        </w:tc>
      </w:tr>
      <w:tr>
        <w:tc>
          <w:tcPr>
            <w:tcW w:type="dxa" w:w="2197"/>
          </w:tcPr>
          <w:p>
            <w:pPr>
              <w:spacing w:lineRule="exact" w:line="320"/>
            </w:pPr>
            <w:r>
              <w:rPr>
                <w:rFonts w:ascii="Times New Roman" w:hAnsi="Times New Roman" w:eastAsia="宋体"/>
                <w:b w:val="0"/>
                <w:sz w:val="21"/>
              </w:rPr>
              <w:t>公用工程成套包界面设计</w:t>
            </w:r>
          </w:p>
        </w:tc>
        <w:tc>
          <w:tcPr>
            <w:tcW w:type="dxa" w:w="2197"/>
          </w:tcPr>
          <w:p>
            <w:pPr>
              <w:spacing w:lineRule="exact" w:line="320"/>
            </w:pPr>
            <w:r>
              <w:rPr>
                <w:rFonts w:ascii="Times New Roman" w:hAnsi="Times New Roman" w:eastAsia="宋体"/>
                <w:b w:val="0"/>
                <w:sz w:val="21"/>
              </w:rPr>
              <w:t>蒸汽锅炉系统、工厂风/仪表风系统、氮气系统、天然气设施、工艺污水处理系统等</w:t>
            </w:r>
          </w:p>
        </w:tc>
        <w:tc>
          <w:tcPr>
            <w:tcW w:type="dxa" w:w="2197"/>
          </w:tcPr>
          <w:p>
            <w:pPr>
              <w:spacing w:lineRule="exact" w:line="320"/>
            </w:pPr>
            <w:r>
              <w:rPr>
                <w:rFonts w:ascii="Times New Roman" w:hAnsi="Times New Roman" w:eastAsia="宋体"/>
                <w:b w:val="0"/>
                <w:sz w:val="21"/>
              </w:rPr>
              <w:t>锅炉、工厂风/仪表风、氮气、天然气、IETS 等成套系统界面和参数</w:t>
            </w:r>
          </w:p>
        </w:tc>
        <w:tc>
          <w:tcPr>
            <w:tcW w:type="dxa" w:w="2197"/>
          </w:tcPr>
          <w:p>
            <w:pPr>
              <w:spacing w:lineRule="exact" w:line="320"/>
            </w:pPr>
            <w:r>
              <w:rPr>
                <w:rFonts w:ascii="Times New Roman" w:hAnsi="Times New Roman" w:eastAsia="宋体"/>
                <w:b w:val="0"/>
                <w:sz w:val="21"/>
              </w:rPr>
              <w:t>设计方提条件，成套厂家做包内设计，NCC 做 EPC 管理</w:t>
            </w:r>
          </w:p>
        </w:tc>
      </w:tr>
    </w:tbl>
    <w:p/>
    <w:p>
      <w:pPr>
        <w:spacing w:before="120" w:after="40" w:lineRule="exact" w:line="400"/>
      </w:pPr>
      <w:r>
        <w:rPr>
          <w:rFonts w:ascii="Times New Roman" w:hAnsi="Times New Roman" w:eastAsia="黑体"/>
          <w:b/>
          <w:sz w:val="24"/>
        </w:rPr>
        <w:t>5. 本地深化设计范围</w:t>
      </w:r>
    </w:p>
    <w:p>
      <w:pPr>
        <w:spacing w:before="0" w:after="0" w:lineRule="exact" w:line="400"/>
        <w:ind w:firstLine="420"/>
      </w:pPr>
      <w:r>
        <w:rPr>
          <w:rFonts w:ascii="Times New Roman" w:hAnsi="Times New Roman" w:eastAsia="宋体"/>
          <w:b w:val="0"/>
          <w:sz w:val="24"/>
        </w:rPr>
        <w:t>本地深化设计重点集中在消防、暖通、电气和弱电四类专业，主要内容包括消防系统布置、气体灭火和泡沫系统图、暖通设备定位和风管布置、电缆路由、配电箱和面板图、CCTV 和门禁布置图等。这部分图纸与当地消防报审、建筑验收、电气验收和施工落地关系密切。本地深化重点放在站房建筑、公用工程、辅助设施及配套区域，主装置中仅保留与本地法规、建筑机电和配套接口直接相关的深化内容。这部分工作建议由马来设计院负责。</w:t>
      </w:r>
    </w:p>
    <w:p>
      <w:pPr>
        <w:spacing w:before="120" w:after="40" w:lineRule="exact" w:line="400"/>
      </w:pPr>
      <w:r>
        <w:rPr>
          <w:rFonts w:ascii="Times New Roman" w:hAnsi="Times New Roman" w:eastAsia="黑体"/>
          <w:b/>
          <w:sz w:val="24"/>
        </w:rPr>
        <w:t>6. 设计章节结论</w:t>
      </w:r>
    </w:p>
    <w:p>
      <w:pPr>
        <w:spacing w:before="0" w:after="0" w:lineRule="exact" w:line="400"/>
        <w:ind w:firstLine="420"/>
      </w:pPr>
      <w:r>
        <w:rPr>
          <w:rFonts w:ascii="Times New Roman" w:hAnsi="Times New Roman" w:eastAsia="宋体"/>
          <w:b w:val="0"/>
          <w:sz w:val="24"/>
        </w:rPr>
        <w:t>设计责任应同时覆盖主装置系统设计、公用工程和配套系统设计、公用工程成套包设计管理、本地深化设计四个层次。主装置设计责任、配套系统设计责任、成套包界面责任和本地深化责任应在项目初期分别列明，并同步落实到采购、施工、报审和进度策划界面中，以减少后续接口交叉、责任不清和报审滞后的问题。</w:t>
      </w:r>
    </w:p>
    <w:p>
      <w:pPr>
        <w:spacing w:before="160" w:after="80" w:lineRule="exact" w:line="400"/>
      </w:pPr>
      <w:r>
        <w:rPr>
          <w:rFonts w:ascii="Times New Roman" w:hAnsi="Times New Roman" w:eastAsia="黑体"/>
          <w:b/>
          <w:sz w:val="28"/>
        </w:rPr>
        <w:t>二、采购分工策划</w:t>
      </w:r>
    </w:p>
    <w:p>
      <w:pPr>
        <w:spacing w:before="120" w:after="40" w:lineRule="exact" w:line="400"/>
      </w:pPr>
      <w:r>
        <w:rPr>
          <w:rFonts w:ascii="Times New Roman" w:hAnsi="Times New Roman" w:eastAsia="黑体"/>
          <w:b/>
          <w:sz w:val="24"/>
        </w:rPr>
        <w:t>1. 采购分工整体情况</w:t>
      </w:r>
    </w:p>
    <w:p>
      <w:pPr>
        <w:spacing w:before="0" w:after="0" w:lineRule="exact" w:line="400"/>
        <w:ind w:firstLine="420"/>
      </w:pPr>
      <w:r>
        <w:rPr>
          <w:rFonts w:ascii="Times New Roman" w:hAnsi="Times New Roman" w:eastAsia="宋体"/>
          <w:b w:val="0"/>
          <w:sz w:val="24"/>
        </w:rPr>
        <w:t>采购分工建议按系统责任、预制组织方式和现场接口强弱来划分。关键设备、关键成套包和对主装置性能责任敏感的物资，应由主装置系统责任方控制；大宗主材、预制关联材料和施工强接口物资，应由执行方控制；属地响应速度要求高、与现场窗口联动紧密的物资，应纳入本地采购链管理。</w:t>
      </w:r>
    </w:p>
    <w:p>
      <w:pPr>
        <w:spacing w:before="120" w:after="40" w:lineRule="exact" w:line="400"/>
      </w:pPr>
      <w:r>
        <w:rPr>
          <w:rFonts w:ascii="Times New Roman" w:hAnsi="Times New Roman" w:eastAsia="黑体"/>
          <w:b/>
          <w:sz w:val="24"/>
        </w:rPr>
        <w:t>2. 采购标准建议</w:t>
      </w:r>
    </w:p>
    <w:p>
      <w:pPr>
        <w:spacing w:before="0" w:after="0" w:lineRule="exact" w:line="400"/>
        <w:ind w:firstLine="420"/>
      </w:pPr>
      <w:r>
        <w:rPr>
          <w:rFonts w:ascii="Times New Roman" w:hAnsi="Times New Roman" w:eastAsia="宋体"/>
          <w:b w:val="0"/>
          <w:sz w:val="24"/>
        </w:rPr>
        <w:t>采购标准建议优先采用 `ASME + 中国标准` 的组合方式组织。压力设备、管道、材料和焊接等关键技术要求宜以 ASME 体系作为主线，同时尽量匹配中国成熟设备厂家、材料体系和制造标准。这样更有利于发挥中国供应链在设备制造、材料配套、预制加工和交货周期上的优势，也更有利于后续国内预制、跨境发运和现场安装衔接。</w:t>
      </w:r>
    </w:p>
    <w:p>
      <w:pPr>
        <w:spacing w:before="120" w:after="40" w:lineRule="exact" w:line="400"/>
      </w:pPr>
      <w:r>
        <w:rPr>
          <w:rFonts w:ascii="Times New Roman" w:hAnsi="Times New Roman" w:eastAsia="黑体"/>
          <w:b/>
          <w:sz w:val="24"/>
        </w:rPr>
        <w:t>3. Technip 主导采购范围</w:t>
      </w:r>
    </w:p>
    <w:p>
      <w:pPr>
        <w:spacing w:before="0" w:after="0" w:lineRule="exact" w:line="400"/>
        <w:ind w:firstLine="420"/>
      </w:pPr>
      <w:r>
        <w:rPr>
          <w:rFonts w:ascii="Times New Roman" w:hAnsi="Times New Roman" w:eastAsia="宋体"/>
          <w:b w:val="0"/>
          <w:sz w:val="24"/>
        </w:rPr>
        <w:t>Technip 主导采购范围建议集中在关键设备、关键成套包、关键控制系统和对性能责任敏感的设备。重点包括反应器、炉类、压缩机、离心机、关键控制阀、关键安全阀、DCS/SIS 及相关关键成套包。此类物资通常同时具备三个特点，即系统责任强、制造周期长、接口边界复杂，因此更适合由 Technip 统一控制技术澄清、厂家锁定、交货状态和供货责任。</w:t>
      </w:r>
    </w:p>
    <w:p>
      <w:pPr>
        <w:spacing w:before="120" w:after="40" w:lineRule="exact" w:line="400"/>
      </w:pPr>
      <w:r>
        <w:rPr>
          <w:rFonts w:ascii="Times New Roman" w:hAnsi="Times New Roman" w:eastAsia="黑体"/>
          <w:b/>
          <w:sz w:val="24"/>
        </w:rPr>
        <w:t>4. 主要设备供应商和品牌建议</w:t>
      </w:r>
    </w:p>
    <w:p>
      <w:pPr>
        <w:spacing w:before="0" w:after="0" w:lineRule="exact" w:line="400"/>
        <w:ind w:firstLine="420"/>
      </w:pPr>
      <w:r>
        <w:rPr>
          <w:rFonts w:ascii="Times New Roman" w:hAnsi="Times New Roman" w:eastAsia="宋体"/>
          <w:b w:val="0"/>
          <w:sz w:val="24"/>
        </w:rPr>
        <w:t>主要设备供应商建议优先选择在马来西亚有项目业绩、能提供当地售后服务、交付周期相对稳定的品牌和厂家。过往项目中，压缩机主要厂家包括沈鼓和沈阳远大；炉类设备主要厂家包括托普工业和上海卓然；离心机主要厂家为阿法拉伐；DCS/SIS 主要厂家为艾默生；阀门和控制阀样本中出现较多的厂家包括凯斯通、阀泰科技和莱斯安全阀门。对本项目而言，品牌建议不宜理解为最终定版清单，更适合作为优先询价和优先技术澄清名单。Technip 主导采购的关键设备建议优先锁定反应器、炉类、压缩机、离心机、关键控制阀、DCS/SIS 等设备的主选品牌和备选品牌，避免在采购后期因单一厂家交期或接口问题影响整体节奏。</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设备/物资类别</w:t>
            </w:r>
          </w:p>
        </w:tc>
        <w:tc>
          <w:tcPr>
            <w:tcW w:type="dxa" w:w="2197"/>
          </w:tcPr>
          <w:p>
            <w:pPr>
              <w:spacing w:lineRule="exact" w:line="320"/>
              <w:jc w:val="center"/>
            </w:pPr>
            <w:r>
              <w:rPr>
                <w:rFonts w:ascii="Times New Roman" w:hAnsi="Times New Roman" w:eastAsia="黑体"/>
                <w:b/>
                <w:sz w:val="21"/>
              </w:rPr>
              <w:t>过往项目主要厂家/品牌</w:t>
            </w:r>
          </w:p>
        </w:tc>
        <w:tc>
          <w:tcPr>
            <w:tcW w:type="dxa" w:w="2197"/>
          </w:tcPr>
          <w:p>
            <w:pPr>
              <w:spacing w:lineRule="exact" w:line="320"/>
              <w:jc w:val="center"/>
            </w:pPr>
            <w:r>
              <w:rPr>
                <w:rFonts w:ascii="Times New Roman" w:hAnsi="Times New Roman" w:eastAsia="黑体"/>
                <w:b/>
                <w:sz w:val="21"/>
              </w:rPr>
              <w:t>本项目建议归口</w:t>
            </w:r>
          </w:p>
        </w:tc>
        <w:tc>
          <w:tcPr>
            <w:tcW w:type="dxa" w:w="2197"/>
          </w:tcPr>
          <w:p>
            <w:pPr>
              <w:spacing w:lineRule="exact" w:line="320"/>
              <w:jc w:val="center"/>
            </w:pPr>
            <w:r>
              <w:rPr>
                <w:rFonts w:ascii="Times New Roman" w:hAnsi="Times New Roman" w:eastAsia="黑体"/>
                <w:b/>
                <w:sz w:val="21"/>
              </w:rPr>
              <w:t>备注</w:t>
            </w:r>
          </w:p>
        </w:tc>
      </w:tr>
      <w:tr>
        <w:tc>
          <w:tcPr>
            <w:tcW w:type="dxa" w:w="2197"/>
          </w:tcPr>
          <w:p>
            <w:pPr>
              <w:spacing w:lineRule="exact" w:line="320"/>
            </w:pPr>
            <w:r>
              <w:rPr>
                <w:rFonts w:ascii="Times New Roman" w:hAnsi="Times New Roman" w:eastAsia="宋体"/>
                <w:b w:val="0"/>
                <w:sz w:val="21"/>
              </w:rPr>
              <w:t>反应器</w:t>
            </w:r>
          </w:p>
        </w:tc>
        <w:tc>
          <w:tcPr>
            <w:tcW w:type="dxa" w:w="2197"/>
          </w:tcPr>
          <w:p>
            <w:pPr>
              <w:spacing w:lineRule="exact" w:line="320"/>
            </w:pPr>
            <w:r>
              <w:rPr>
                <w:rFonts w:ascii="Times New Roman" w:hAnsi="Times New Roman" w:eastAsia="宋体"/>
                <w:b w:val="0"/>
                <w:sz w:val="21"/>
              </w:rPr>
              <w:t>抚顺机械、江苏江锅</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关键工艺设备，宜优先锁定主选和备选厂家</w:t>
            </w:r>
          </w:p>
        </w:tc>
      </w:tr>
      <w:tr>
        <w:tc>
          <w:tcPr>
            <w:tcW w:type="dxa" w:w="2197"/>
          </w:tcPr>
          <w:p>
            <w:pPr>
              <w:spacing w:lineRule="exact" w:line="320"/>
            </w:pPr>
            <w:r>
              <w:rPr>
                <w:rFonts w:ascii="Times New Roman" w:hAnsi="Times New Roman" w:eastAsia="宋体"/>
                <w:b w:val="0"/>
                <w:sz w:val="21"/>
              </w:rPr>
              <w:t>制氢炉/加热炉/转化炉</w:t>
            </w:r>
          </w:p>
        </w:tc>
        <w:tc>
          <w:tcPr>
            <w:tcW w:type="dxa" w:w="2197"/>
          </w:tcPr>
          <w:p>
            <w:pPr>
              <w:spacing w:lineRule="exact" w:line="320"/>
            </w:pPr>
            <w:r>
              <w:rPr>
                <w:rFonts w:ascii="Times New Roman" w:hAnsi="Times New Roman" w:eastAsia="宋体"/>
                <w:b w:val="0"/>
                <w:sz w:val="21"/>
              </w:rPr>
              <w:t>托普工业、上海卓然</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大件设备，需同步考虑运输和安装条件</w:t>
            </w:r>
          </w:p>
        </w:tc>
      </w:tr>
      <w:tr>
        <w:tc>
          <w:tcPr>
            <w:tcW w:type="dxa" w:w="2197"/>
          </w:tcPr>
          <w:p>
            <w:pPr>
              <w:spacing w:lineRule="exact" w:line="320"/>
            </w:pPr>
            <w:r>
              <w:rPr>
                <w:rFonts w:ascii="Times New Roman" w:hAnsi="Times New Roman" w:eastAsia="宋体"/>
                <w:b w:val="0"/>
                <w:sz w:val="21"/>
              </w:rPr>
              <w:t>压缩机</w:t>
            </w:r>
          </w:p>
        </w:tc>
        <w:tc>
          <w:tcPr>
            <w:tcW w:type="dxa" w:w="2197"/>
          </w:tcPr>
          <w:p>
            <w:pPr>
              <w:spacing w:lineRule="exact" w:line="320"/>
            </w:pPr>
            <w:r>
              <w:rPr>
                <w:rFonts w:ascii="Times New Roman" w:hAnsi="Times New Roman" w:eastAsia="宋体"/>
                <w:b w:val="0"/>
                <w:sz w:val="21"/>
              </w:rPr>
              <w:t>沈鼓、沈阳远大、复盛易利达</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关键动设备，建议优先技术澄清和交期锁定</w:t>
            </w:r>
          </w:p>
        </w:tc>
      </w:tr>
      <w:tr>
        <w:tc>
          <w:tcPr>
            <w:tcW w:type="dxa" w:w="2197"/>
          </w:tcPr>
          <w:p>
            <w:pPr>
              <w:spacing w:lineRule="exact" w:line="320"/>
            </w:pPr>
            <w:r>
              <w:rPr>
                <w:rFonts w:ascii="Times New Roman" w:hAnsi="Times New Roman" w:eastAsia="宋体"/>
                <w:b w:val="0"/>
                <w:sz w:val="21"/>
              </w:rPr>
              <w:t>离心机</w:t>
            </w:r>
          </w:p>
        </w:tc>
        <w:tc>
          <w:tcPr>
            <w:tcW w:type="dxa" w:w="2197"/>
          </w:tcPr>
          <w:p>
            <w:pPr>
              <w:spacing w:lineRule="exact" w:line="320"/>
            </w:pPr>
            <w:r>
              <w:rPr>
                <w:rFonts w:ascii="Times New Roman" w:hAnsi="Times New Roman" w:eastAsia="宋体"/>
                <w:b w:val="0"/>
                <w:sz w:val="21"/>
              </w:rPr>
              <w:t>阿法拉伐 Denmark、Alfa Laval Sweden、Alfa Laval India、Alfa Laval China</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国际运输周期较长，宜单独前置</w:t>
            </w:r>
          </w:p>
        </w:tc>
      </w:tr>
      <w:tr>
        <w:tc>
          <w:tcPr>
            <w:tcW w:type="dxa" w:w="2197"/>
          </w:tcPr>
          <w:p>
            <w:pPr>
              <w:spacing w:lineRule="exact" w:line="320"/>
            </w:pPr>
            <w:r>
              <w:rPr>
                <w:rFonts w:ascii="Times New Roman" w:hAnsi="Times New Roman" w:eastAsia="宋体"/>
                <w:b w:val="0"/>
                <w:sz w:val="21"/>
              </w:rPr>
              <w:t>泵</w:t>
            </w:r>
          </w:p>
        </w:tc>
        <w:tc>
          <w:tcPr>
            <w:tcW w:type="dxa" w:w="2197"/>
          </w:tcPr>
          <w:p>
            <w:pPr>
              <w:spacing w:lineRule="exact" w:line="320"/>
            </w:pPr>
            <w:r>
              <w:rPr>
                <w:rFonts w:ascii="Times New Roman" w:hAnsi="Times New Roman" w:eastAsia="宋体"/>
                <w:b w:val="0"/>
                <w:sz w:val="21"/>
              </w:rPr>
              <w:t>里瓦、大连深蓝、嘉利特荏原</w:t>
            </w:r>
          </w:p>
        </w:tc>
        <w:tc>
          <w:tcPr>
            <w:tcW w:type="dxa" w:w="2197"/>
          </w:tcPr>
          <w:p>
            <w:pPr>
              <w:spacing w:lineRule="exact" w:line="320"/>
            </w:pPr>
            <w:r>
              <w:rPr>
                <w:rFonts w:ascii="Times New Roman" w:hAnsi="Times New Roman" w:eastAsia="宋体"/>
                <w:b w:val="0"/>
                <w:sz w:val="21"/>
              </w:rPr>
              <w:t>视系统重要性划分</w:t>
            </w:r>
          </w:p>
        </w:tc>
        <w:tc>
          <w:tcPr>
            <w:tcW w:type="dxa" w:w="2197"/>
          </w:tcPr>
          <w:p>
            <w:pPr>
              <w:spacing w:lineRule="exact" w:line="320"/>
            </w:pPr>
            <w:r>
              <w:rPr>
                <w:rFonts w:ascii="Times New Roman" w:hAnsi="Times New Roman" w:eastAsia="宋体"/>
                <w:b w:val="0"/>
                <w:sz w:val="21"/>
              </w:rPr>
              <w:t>关键泵可纳入 Technip，一般泵可由 NCC 组织</w:t>
            </w:r>
          </w:p>
        </w:tc>
      </w:tr>
      <w:tr>
        <w:tc>
          <w:tcPr>
            <w:tcW w:type="dxa" w:w="2197"/>
          </w:tcPr>
          <w:p>
            <w:pPr>
              <w:spacing w:lineRule="exact" w:line="320"/>
            </w:pPr>
            <w:r>
              <w:rPr>
                <w:rFonts w:ascii="Times New Roman" w:hAnsi="Times New Roman" w:eastAsia="宋体"/>
                <w:b w:val="0"/>
                <w:sz w:val="21"/>
              </w:rPr>
              <w:t>DCS/SIS</w:t>
            </w:r>
          </w:p>
        </w:tc>
        <w:tc>
          <w:tcPr>
            <w:tcW w:type="dxa" w:w="2197"/>
          </w:tcPr>
          <w:p>
            <w:pPr>
              <w:spacing w:lineRule="exact" w:line="320"/>
            </w:pPr>
            <w:r>
              <w:rPr>
                <w:rFonts w:ascii="Times New Roman" w:hAnsi="Times New Roman" w:eastAsia="宋体"/>
                <w:b w:val="0"/>
                <w:sz w:val="21"/>
              </w:rPr>
              <w:t>艾默生</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控制系统接口复杂，宜统一控制</w:t>
            </w:r>
          </w:p>
        </w:tc>
      </w:tr>
      <w:tr>
        <w:tc>
          <w:tcPr>
            <w:tcW w:type="dxa" w:w="2197"/>
          </w:tcPr>
          <w:p>
            <w:pPr>
              <w:spacing w:lineRule="exact" w:line="320"/>
            </w:pPr>
            <w:r>
              <w:rPr>
                <w:rFonts w:ascii="Times New Roman" w:hAnsi="Times New Roman" w:eastAsia="宋体"/>
                <w:b w:val="0"/>
                <w:sz w:val="21"/>
              </w:rPr>
              <w:t>关键控制阀/调节阀</w:t>
            </w:r>
          </w:p>
        </w:tc>
        <w:tc>
          <w:tcPr>
            <w:tcW w:type="dxa" w:w="2197"/>
          </w:tcPr>
          <w:p>
            <w:pPr>
              <w:spacing w:lineRule="exact" w:line="320"/>
            </w:pPr>
            <w:r>
              <w:rPr>
                <w:rFonts w:ascii="Times New Roman" w:hAnsi="Times New Roman" w:eastAsia="宋体"/>
                <w:b w:val="0"/>
                <w:sz w:val="21"/>
              </w:rPr>
              <w:t>阀泰科技、凯斯通</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对系统控制和联锁影响较大</w:t>
            </w:r>
          </w:p>
        </w:tc>
      </w:tr>
      <w:tr>
        <w:tc>
          <w:tcPr>
            <w:tcW w:type="dxa" w:w="2197"/>
          </w:tcPr>
          <w:p>
            <w:pPr>
              <w:spacing w:lineRule="exact" w:line="320"/>
            </w:pPr>
            <w:r>
              <w:rPr>
                <w:rFonts w:ascii="Times New Roman" w:hAnsi="Times New Roman" w:eastAsia="宋体"/>
                <w:b w:val="0"/>
                <w:sz w:val="21"/>
              </w:rPr>
              <w:t>安全阀</w:t>
            </w:r>
          </w:p>
        </w:tc>
        <w:tc>
          <w:tcPr>
            <w:tcW w:type="dxa" w:w="2197"/>
          </w:tcPr>
          <w:p>
            <w:pPr>
              <w:spacing w:lineRule="exact" w:line="320"/>
            </w:pPr>
            <w:r>
              <w:rPr>
                <w:rFonts w:ascii="Times New Roman" w:hAnsi="Times New Roman" w:eastAsia="宋体"/>
                <w:b w:val="0"/>
                <w:sz w:val="21"/>
              </w:rPr>
              <w:t>Leser、莱斯安全阀门</w:t>
            </w:r>
          </w:p>
        </w:tc>
        <w:tc>
          <w:tcPr>
            <w:tcW w:type="dxa" w:w="2197"/>
          </w:tcPr>
          <w:p>
            <w:pPr>
              <w:spacing w:lineRule="exact" w:line="320"/>
            </w:pPr>
            <w:r>
              <w:rPr>
                <w:rFonts w:ascii="Times New Roman" w:hAnsi="Times New Roman" w:eastAsia="宋体"/>
                <w:b w:val="0"/>
                <w:sz w:val="21"/>
              </w:rPr>
              <w:t>Technip 主导或按系统划分</w:t>
            </w:r>
          </w:p>
        </w:tc>
        <w:tc>
          <w:tcPr>
            <w:tcW w:type="dxa" w:w="2197"/>
          </w:tcPr>
          <w:p>
            <w:pPr>
              <w:spacing w:lineRule="exact" w:line="320"/>
            </w:pPr>
            <w:r>
              <w:rPr>
                <w:rFonts w:ascii="Times New Roman" w:hAnsi="Times New Roman" w:eastAsia="宋体"/>
                <w:b w:val="0"/>
                <w:sz w:val="21"/>
              </w:rPr>
              <w:t>宜优先考虑认证和当地验收要求</w:t>
            </w:r>
          </w:p>
        </w:tc>
      </w:tr>
      <w:tr>
        <w:tc>
          <w:tcPr>
            <w:tcW w:type="dxa" w:w="2197"/>
          </w:tcPr>
          <w:p>
            <w:pPr>
              <w:spacing w:lineRule="exact" w:line="320"/>
            </w:pPr>
            <w:r>
              <w:rPr>
                <w:rFonts w:ascii="Times New Roman" w:hAnsi="Times New Roman" w:eastAsia="宋体"/>
                <w:b w:val="0"/>
                <w:sz w:val="21"/>
              </w:rPr>
              <w:t>高压/工艺阀门</w:t>
            </w:r>
          </w:p>
        </w:tc>
        <w:tc>
          <w:tcPr>
            <w:tcW w:type="dxa" w:w="2197"/>
          </w:tcPr>
          <w:p>
            <w:pPr>
              <w:spacing w:lineRule="exact" w:line="320"/>
            </w:pPr>
            <w:r>
              <w:rPr>
                <w:rFonts w:ascii="Times New Roman" w:hAnsi="Times New Roman" w:eastAsia="宋体"/>
                <w:b w:val="0"/>
                <w:sz w:val="21"/>
              </w:rPr>
              <w:t>凯斯通、江苏大阀、大高、安徽铜都</w:t>
            </w:r>
          </w:p>
        </w:tc>
        <w:tc>
          <w:tcPr>
            <w:tcW w:type="dxa" w:w="2197"/>
          </w:tcPr>
          <w:p>
            <w:pPr>
              <w:spacing w:lineRule="exact" w:line="320"/>
            </w:pPr>
            <w:r>
              <w:rPr>
                <w:rFonts w:ascii="Times New Roman" w:hAnsi="Times New Roman" w:eastAsia="宋体"/>
                <w:b w:val="0"/>
                <w:sz w:val="21"/>
              </w:rPr>
              <w:t>NCC 跨境采购为主</w:t>
            </w:r>
          </w:p>
        </w:tc>
        <w:tc>
          <w:tcPr>
            <w:tcW w:type="dxa" w:w="2197"/>
          </w:tcPr>
          <w:p>
            <w:pPr>
              <w:spacing w:lineRule="exact" w:line="320"/>
            </w:pPr>
            <w:r>
              <w:rPr>
                <w:rFonts w:ascii="Times New Roman" w:hAnsi="Times New Roman" w:eastAsia="宋体"/>
                <w:b w:val="0"/>
                <w:sz w:val="21"/>
              </w:rPr>
              <w:t>与管道安装和预制衔接紧密</w:t>
            </w:r>
          </w:p>
        </w:tc>
      </w:tr>
      <w:tr>
        <w:tc>
          <w:tcPr>
            <w:tcW w:type="dxa" w:w="2197"/>
          </w:tcPr>
          <w:p>
            <w:pPr>
              <w:spacing w:lineRule="exact" w:line="320"/>
            </w:pPr>
            <w:r>
              <w:rPr>
                <w:rFonts w:ascii="Times New Roman" w:hAnsi="Times New Roman" w:eastAsia="宋体"/>
                <w:b w:val="0"/>
                <w:sz w:val="21"/>
              </w:rPr>
              <w:t>消防阀门</w:t>
            </w:r>
          </w:p>
        </w:tc>
        <w:tc>
          <w:tcPr>
            <w:tcW w:type="dxa" w:w="2197"/>
          </w:tcPr>
          <w:p>
            <w:pPr>
              <w:spacing w:lineRule="exact" w:line="320"/>
            </w:pPr>
            <w:r>
              <w:rPr>
                <w:rFonts w:ascii="Times New Roman" w:hAnsi="Times New Roman" w:eastAsia="宋体"/>
                <w:b w:val="0"/>
                <w:sz w:val="21"/>
              </w:rPr>
              <w:t>安徽铜都等</w:t>
            </w:r>
          </w:p>
        </w:tc>
        <w:tc>
          <w:tcPr>
            <w:tcW w:type="dxa" w:w="2197"/>
          </w:tcPr>
          <w:p>
            <w:pPr>
              <w:spacing w:lineRule="exact" w:line="320"/>
            </w:pPr>
            <w:r>
              <w:rPr>
                <w:rFonts w:ascii="Times New Roman" w:hAnsi="Times New Roman" w:eastAsia="宋体"/>
                <w:b w:val="0"/>
                <w:sz w:val="21"/>
              </w:rPr>
              <w:t>NCC 跨境采购或本地补充</w:t>
            </w:r>
          </w:p>
        </w:tc>
        <w:tc>
          <w:tcPr>
            <w:tcW w:type="dxa" w:w="2197"/>
          </w:tcPr>
          <w:p>
            <w:pPr>
              <w:spacing w:lineRule="exact" w:line="320"/>
            </w:pPr>
            <w:r>
              <w:rPr>
                <w:rFonts w:ascii="Times New Roman" w:hAnsi="Times New Roman" w:eastAsia="宋体"/>
                <w:b w:val="0"/>
                <w:sz w:val="21"/>
              </w:rPr>
              <w:t>与消防系统成套和当地验收联动较强</w:t>
            </w:r>
          </w:p>
        </w:tc>
      </w:tr>
      <w:tr>
        <w:tc>
          <w:tcPr>
            <w:tcW w:type="dxa" w:w="2197"/>
          </w:tcPr>
          <w:p>
            <w:pPr>
              <w:spacing w:lineRule="exact" w:line="320"/>
            </w:pPr>
            <w:r>
              <w:rPr>
                <w:rFonts w:ascii="Times New Roman" w:hAnsi="Times New Roman" w:eastAsia="宋体"/>
                <w:b w:val="0"/>
                <w:sz w:val="21"/>
              </w:rPr>
              <w:t>仪表管阀件/仪表附件</w:t>
            </w:r>
          </w:p>
        </w:tc>
        <w:tc>
          <w:tcPr>
            <w:tcW w:type="dxa" w:w="2197"/>
          </w:tcPr>
          <w:p>
            <w:pPr>
              <w:spacing w:lineRule="exact" w:line="320"/>
            </w:pPr>
            <w:r>
              <w:rPr>
                <w:rFonts w:ascii="Times New Roman" w:hAnsi="Times New Roman" w:eastAsia="宋体"/>
                <w:b w:val="0"/>
                <w:sz w:val="21"/>
              </w:rPr>
              <w:t>海纬、横河、ABB</w:t>
            </w:r>
          </w:p>
        </w:tc>
        <w:tc>
          <w:tcPr>
            <w:tcW w:type="dxa" w:w="2197"/>
          </w:tcPr>
          <w:p>
            <w:pPr>
              <w:spacing w:lineRule="exact" w:line="320"/>
            </w:pPr>
            <w:r>
              <w:rPr>
                <w:rFonts w:ascii="Times New Roman" w:hAnsi="Times New Roman" w:eastAsia="宋体"/>
                <w:b w:val="0"/>
                <w:sz w:val="21"/>
              </w:rPr>
              <w:t>NCC 跨境采购为主</w:t>
            </w:r>
          </w:p>
        </w:tc>
        <w:tc>
          <w:tcPr>
            <w:tcW w:type="dxa" w:w="2197"/>
          </w:tcPr>
          <w:p>
            <w:pPr>
              <w:spacing w:lineRule="exact" w:line="320"/>
            </w:pPr>
            <w:r>
              <w:rPr>
                <w:rFonts w:ascii="Times New Roman" w:hAnsi="Times New Roman" w:eastAsia="宋体"/>
                <w:b w:val="0"/>
                <w:sz w:val="21"/>
              </w:rPr>
              <w:t>后期调试和系统完善用量较多</w:t>
            </w:r>
          </w:p>
        </w:tc>
      </w:tr>
      <w:tr>
        <w:tc>
          <w:tcPr>
            <w:tcW w:type="dxa" w:w="2197"/>
          </w:tcPr>
          <w:p>
            <w:pPr>
              <w:spacing w:lineRule="exact" w:line="320"/>
            </w:pPr>
            <w:r>
              <w:rPr>
                <w:rFonts w:ascii="Times New Roman" w:hAnsi="Times New Roman" w:eastAsia="宋体"/>
                <w:b w:val="0"/>
                <w:sz w:val="21"/>
              </w:rPr>
              <w:t>质量流量计/分析仪表</w:t>
            </w:r>
          </w:p>
        </w:tc>
        <w:tc>
          <w:tcPr>
            <w:tcW w:type="dxa" w:w="2197"/>
          </w:tcPr>
          <w:p>
            <w:pPr>
              <w:spacing w:lineRule="exact" w:line="320"/>
            </w:pPr>
            <w:r>
              <w:rPr>
                <w:rFonts w:ascii="Times New Roman" w:hAnsi="Times New Roman" w:eastAsia="宋体"/>
                <w:b w:val="0"/>
                <w:sz w:val="21"/>
              </w:rPr>
              <w:t>横河、ABB</w:t>
            </w:r>
          </w:p>
        </w:tc>
        <w:tc>
          <w:tcPr>
            <w:tcW w:type="dxa" w:w="2197"/>
          </w:tcPr>
          <w:p>
            <w:pPr>
              <w:spacing w:lineRule="exact" w:line="320"/>
            </w:pPr>
            <w:r>
              <w:rPr>
                <w:rFonts w:ascii="Times New Roman" w:hAnsi="Times New Roman" w:eastAsia="宋体"/>
                <w:b w:val="0"/>
                <w:sz w:val="21"/>
              </w:rPr>
              <w:t>视系统重要性划分</w:t>
            </w:r>
          </w:p>
        </w:tc>
        <w:tc>
          <w:tcPr>
            <w:tcW w:type="dxa" w:w="2197"/>
          </w:tcPr>
          <w:p>
            <w:pPr>
              <w:spacing w:lineRule="exact" w:line="320"/>
            </w:pPr>
            <w:r>
              <w:rPr>
                <w:rFonts w:ascii="Times New Roman" w:hAnsi="Times New Roman" w:eastAsia="宋体"/>
                <w:b w:val="0"/>
                <w:sz w:val="21"/>
              </w:rPr>
              <w:t>关键分析仪表宜提前锁定</w:t>
            </w:r>
          </w:p>
        </w:tc>
      </w:tr>
      <w:tr>
        <w:tc>
          <w:tcPr>
            <w:tcW w:type="dxa" w:w="2197"/>
          </w:tcPr>
          <w:p>
            <w:pPr>
              <w:spacing w:lineRule="exact" w:line="320"/>
            </w:pPr>
            <w:r>
              <w:rPr>
                <w:rFonts w:ascii="Times New Roman" w:hAnsi="Times New Roman" w:eastAsia="宋体"/>
                <w:b w:val="0"/>
                <w:sz w:val="21"/>
              </w:rPr>
              <w:t>白土输送系统/循环水成套包</w:t>
            </w:r>
          </w:p>
        </w:tc>
        <w:tc>
          <w:tcPr>
            <w:tcW w:type="dxa" w:w="2197"/>
          </w:tcPr>
          <w:p>
            <w:pPr>
              <w:spacing w:lineRule="exact" w:line="320"/>
            </w:pPr>
            <w:r>
              <w:rPr>
                <w:rFonts w:ascii="Times New Roman" w:hAnsi="Times New Roman" w:eastAsia="宋体"/>
                <w:b w:val="0"/>
                <w:sz w:val="21"/>
              </w:rPr>
              <w:t>过往项目已有成套系统供货样本</w:t>
            </w:r>
          </w:p>
        </w:tc>
        <w:tc>
          <w:tcPr>
            <w:tcW w:type="dxa" w:w="2197"/>
          </w:tcPr>
          <w:p>
            <w:pPr>
              <w:spacing w:lineRule="exact" w:line="320"/>
            </w:pPr>
            <w:r>
              <w:rPr>
                <w:rFonts w:ascii="Times New Roman" w:hAnsi="Times New Roman" w:eastAsia="宋体"/>
                <w:b w:val="0"/>
                <w:sz w:val="21"/>
              </w:rPr>
              <w:t>Technip 或 NCC EPC 管理</w:t>
            </w:r>
          </w:p>
        </w:tc>
        <w:tc>
          <w:tcPr>
            <w:tcW w:type="dxa" w:w="2197"/>
          </w:tcPr>
          <w:p>
            <w:pPr>
              <w:spacing w:lineRule="exact" w:line="320"/>
            </w:pPr>
            <w:r>
              <w:rPr>
                <w:rFonts w:ascii="Times New Roman" w:hAnsi="Times New Roman" w:eastAsia="宋体"/>
                <w:b w:val="0"/>
                <w:sz w:val="21"/>
              </w:rPr>
              <w:t>应按成套包界面方式单独管理</w:t>
            </w:r>
          </w:p>
        </w:tc>
      </w:tr>
      <w:tr>
        <w:tc>
          <w:tcPr>
            <w:tcW w:type="dxa" w:w="2197"/>
          </w:tcPr>
          <w:p>
            <w:pPr>
              <w:spacing w:lineRule="exact" w:line="320"/>
            </w:pPr>
            <w:r>
              <w:rPr>
                <w:rFonts w:ascii="Times New Roman" w:hAnsi="Times New Roman" w:eastAsia="宋体"/>
                <w:b w:val="0"/>
                <w:sz w:val="21"/>
              </w:rPr>
              <w:t>水处理/IETS/锅炉/燃气/空压站成套包</w:t>
            </w:r>
          </w:p>
        </w:tc>
        <w:tc>
          <w:tcPr>
            <w:tcW w:type="dxa" w:w="2197"/>
          </w:tcPr>
          <w:p>
            <w:pPr>
              <w:spacing w:lineRule="exact" w:line="320"/>
            </w:pPr>
            <w:r>
              <w:rPr>
                <w:rFonts w:ascii="Times New Roman" w:hAnsi="Times New Roman" w:eastAsia="宋体"/>
                <w:b w:val="0"/>
                <w:sz w:val="21"/>
              </w:rPr>
              <w:t>过往项目为多厂家分包模式</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由设计方提界面，厂家做包内设计，NCC 统一管理</w:t>
            </w:r>
          </w:p>
        </w:tc>
      </w:tr>
      <w:tr>
        <w:tc>
          <w:tcPr>
            <w:tcW w:type="dxa" w:w="2197"/>
          </w:tcPr>
          <w:p>
            <w:pPr>
              <w:spacing w:lineRule="exact" w:line="320"/>
            </w:pPr>
            <w:r>
              <w:rPr>
                <w:rFonts w:ascii="Times New Roman" w:hAnsi="Times New Roman" w:eastAsia="宋体"/>
                <w:b w:val="0"/>
                <w:sz w:val="21"/>
              </w:rPr>
              <w:t>钢结构</w:t>
            </w:r>
          </w:p>
        </w:tc>
        <w:tc>
          <w:tcPr>
            <w:tcW w:type="dxa" w:w="2197"/>
          </w:tcPr>
          <w:p>
            <w:pPr>
              <w:spacing w:lineRule="exact" w:line="320"/>
            </w:pPr>
            <w:r>
              <w:rPr>
                <w:rFonts w:ascii="Times New Roman" w:hAnsi="Times New Roman" w:eastAsia="宋体"/>
                <w:b w:val="0"/>
                <w:sz w:val="21"/>
              </w:rPr>
              <w:t>过往项目由 NCC 组织多批采购和预制</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建议由 NCC 负责国内采购和预制</w:t>
            </w:r>
          </w:p>
        </w:tc>
      </w:tr>
      <w:tr>
        <w:tc>
          <w:tcPr>
            <w:tcW w:type="dxa" w:w="2197"/>
          </w:tcPr>
          <w:p>
            <w:pPr>
              <w:spacing w:lineRule="exact" w:line="320"/>
            </w:pPr>
            <w:r>
              <w:rPr>
                <w:rFonts w:ascii="Times New Roman" w:hAnsi="Times New Roman" w:eastAsia="宋体"/>
                <w:b w:val="0"/>
                <w:sz w:val="21"/>
              </w:rPr>
              <w:t>管道主材/管件/法兰</w:t>
            </w:r>
          </w:p>
        </w:tc>
        <w:tc>
          <w:tcPr>
            <w:tcW w:type="dxa" w:w="2197"/>
          </w:tcPr>
          <w:p>
            <w:pPr>
              <w:spacing w:lineRule="exact" w:line="320"/>
            </w:pPr>
            <w:r>
              <w:rPr>
                <w:rFonts w:ascii="Times New Roman" w:hAnsi="Times New Roman" w:eastAsia="宋体"/>
                <w:b w:val="0"/>
                <w:sz w:val="21"/>
              </w:rPr>
              <w:t>实华、武进等样本厂家</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直接关系预制和安装窗口</w:t>
            </w:r>
          </w:p>
        </w:tc>
      </w:tr>
      <w:tr>
        <w:tc>
          <w:tcPr>
            <w:tcW w:type="dxa" w:w="2197"/>
          </w:tcPr>
          <w:p>
            <w:pPr>
              <w:spacing w:lineRule="exact" w:line="320"/>
            </w:pPr>
            <w:r>
              <w:rPr>
                <w:rFonts w:ascii="Times New Roman" w:hAnsi="Times New Roman" w:eastAsia="宋体"/>
                <w:b w:val="0"/>
                <w:sz w:val="21"/>
              </w:rPr>
              <w:t>预制罐板/储罐附件</w:t>
            </w:r>
          </w:p>
        </w:tc>
        <w:tc>
          <w:tcPr>
            <w:tcW w:type="dxa" w:w="2197"/>
          </w:tcPr>
          <w:p>
            <w:pPr>
              <w:spacing w:lineRule="exact" w:line="320"/>
            </w:pPr>
            <w:r>
              <w:rPr>
                <w:rFonts w:ascii="Times New Roman" w:hAnsi="Times New Roman" w:eastAsia="宋体"/>
                <w:b w:val="0"/>
                <w:sz w:val="21"/>
              </w:rPr>
              <w:t>过往项目由 NCC 组织多批采购和发运</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建议与储罐施工和物流计划一体化管理</w:t>
            </w:r>
          </w:p>
        </w:tc>
      </w:tr>
      <w:tr>
        <w:tc>
          <w:tcPr>
            <w:tcW w:type="dxa" w:w="2197"/>
          </w:tcPr>
          <w:p>
            <w:pPr>
              <w:spacing w:lineRule="exact" w:line="320"/>
            </w:pPr>
            <w:r>
              <w:rPr>
                <w:rFonts w:ascii="Times New Roman" w:hAnsi="Times New Roman" w:eastAsia="宋体"/>
                <w:b w:val="0"/>
                <w:sz w:val="21"/>
              </w:rPr>
              <w:t>电缆/桥架/盘柜/变频器</w:t>
            </w:r>
          </w:p>
        </w:tc>
        <w:tc>
          <w:tcPr>
            <w:tcW w:type="dxa" w:w="2197"/>
          </w:tcPr>
          <w:p>
            <w:pPr>
              <w:spacing w:lineRule="exact" w:line="320"/>
            </w:pPr>
            <w:r>
              <w:rPr>
                <w:rFonts w:ascii="Times New Roman" w:hAnsi="Times New Roman" w:eastAsia="宋体"/>
                <w:b w:val="0"/>
                <w:sz w:val="21"/>
              </w:rPr>
              <w:t>天康、西门子等样本品牌</w:t>
            </w:r>
          </w:p>
        </w:tc>
        <w:tc>
          <w:tcPr>
            <w:tcW w:type="dxa" w:w="2197"/>
          </w:tcPr>
          <w:p>
            <w:pPr>
              <w:spacing w:lineRule="exact" w:line="320"/>
            </w:pPr>
            <w:r>
              <w:rPr>
                <w:rFonts w:ascii="Times New Roman" w:hAnsi="Times New Roman" w:eastAsia="宋体"/>
                <w:b w:val="0"/>
                <w:sz w:val="21"/>
              </w:rPr>
              <w:t>NCC 本地采购与跨境采购结合</w:t>
            </w:r>
          </w:p>
        </w:tc>
        <w:tc>
          <w:tcPr>
            <w:tcW w:type="dxa" w:w="2197"/>
          </w:tcPr>
          <w:p>
            <w:pPr>
              <w:spacing w:lineRule="exact" w:line="320"/>
            </w:pPr>
            <w:r>
              <w:rPr>
                <w:rFonts w:ascii="Times New Roman" w:hAnsi="Times New Roman" w:eastAsia="宋体"/>
                <w:b w:val="0"/>
                <w:sz w:val="21"/>
              </w:rPr>
              <w:t>应按当地规范和到场窗口滚动释放</w:t>
            </w:r>
          </w:p>
        </w:tc>
      </w:tr>
    </w:tbl>
    <w:p/>
    <w:p>
      <w:pPr>
        <w:spacing w:before="120" w:after="40" w:lineRule="exact" w:line="400"/>
      </w:pPr>
      <w:r>
        <w:rPr>
          <w:rFonts w:ascii="Times New Roman" w:hAnsi="Times New Roman" w:eastAsia="黑体"/>
          <w:b/>
          <w:sz w:val="24"/>
        </w:rPr>
        <w:t>5. 主要成套系统、钢结构和储罐材料厂家建议</w:t>
      </w:r>
    </w:p>
    <w:p>
      <w:pPr>
        <w:spacing w:before="0" w:after="0" w:lineRule="exact" w:line="400"/>
        <w:ind w:firstLine="420"/>
      </w:pPr>
      <w:r>
        <w:rPr>
          <w:rFonts w:ascii="Times New Roman" w:hAnsi="Times New Roman" w:eastAsia="宋体"/>
          <w:b w:val="0"/>
          <w:sz w:val="24"/>
        </w:rPr>
        <w:t>过往项目资料已能支持部分成套系统厂家、储罐钢板品牌和钢结构厂家信息。对这类物资，建议区分“系统厂家/品牌”“材料品牌”“供货或预制单位”三个层次理解，避免把成套系统厂家、钢板品牌和现场预制安装单位混为一类。</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类别</w:t>
            </w:r>
          </w:p>
        </w:tc>
        <w:tc>
          <w:tcPr>
            <w:tcW w:type="dxa" w:w="2197"/>
          </w:tcPr>
          <w:p>
            <w:pPr>
              <w:spacing w:lineRule="exact" w:line="320"/>
              <w:jc w:val="center"/>
            </w:pPr>
            <w:r>
              <w:rPr>
                <w:rFonts w:ascii="Times New Roman" w:hAnsi="Times New Roman" w:eastAsia="黑体"/>
                <w:b/>
                <w:sz w:val="21"/>
              </w:rPr>
              <w:t>过往项目主要厂家/品牌或供货单位</w:t>
            </w:r>
          </w:p>
        </w:tc>
        <w:tc>
          <w:tcPr>
            <w:tcW w:type="dxa" w:w="2197"/>
          </w:tcPr>
          <w:p>
            <w:pPr>
              <w:spacing w:lineRule="exact" w:line="320"/>
              <w:jc w:val="center"/>
            </w:pPr>
            <w:r>
              <w:rPr>
                <w:rFonts w:ascii="Times New Roman" w:hAnsi="Times New Roman" w:eastAsia="黑体"/>
                <w:b/>
                <w:sz w:val="21"/>
              </w:rPr>
              <w:t>本项目建议归口</w:t>
            </w:r>
          </w:p>
        </w:tc>
        <w:tc>
          <w:tcPr>
            <w:tcW w:type="dxa" w:w="2197"/>
          </w:tcPr>
          <w:p>
            <w:pPr>
              <w:spacing w:lineRule="exact" w:line="320"/>
              <w:jc w:val="center"/>
            </w:pPr>
            <w:r>
              <w:rPr>
                <w:rFonts w:ascii="Times New Roman" w:hAnsi="Times New Roman" w:eastAsia="黑体"/>
                <w:b/>
                <w:sz w:val="21"/>
              </w:rPr>
              <w:t>备注</w:t>
            </w:r>
          </w:p>
        </w:tc>
      </w:tr>
      <w:tr>
        <w:tc>
          <w:tcPr>
            <w:tcW w:type="dxa" w:w="2197"/>
          </w:tcPr>
          <w:p>
            <w:pPr>
              <w:spacing w:lineRule="exact" w:line="320"/>
            </w:pPr>
            <w:r>
              <w:rPr>
                <w:rFonts w:ascii="Times New Roman" w:hAnsi="Times New Roman" w:eastAsia="宋体"/>
                <w:b w:val="0"/>
                <w:sz w:val="21"/>
              </w:rPr>
              <w:t>地面火炬系统</w:t>
            </w:r>
          </w:p>
        </w:tc>
        <w:tc>
          <w:tcPr>
            <w:tcW w:type="dxa" w:w="2197"/>
          </w:tcPr>
          <w:p>
            <w:pPr>
              <w:spacing w:lineRule="exact" w:line="320"/>
            </w:pPr>
            <w:r>
              <w:rPr>
                <w:rFonts w:ascii="Times New Roman" w:hAnsi="Times New Roman" w:eastAsia="宋体"/>
                <w:b w:val="0"/>
                <w:sz w:val="21"/>
              </w:rPr>
              <w:t>柘科 ZEECO</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成套系统，宜明确交货状态和界面</w:t>
            </w:r>
          </w:p>
        </w:tc>
      </w:tr>
      <w:tr>
        <w:tc>
          <w:tcPr>
            <w:tcW w:type="dxa" w:w="2197"/>
          </w:tcPr>
          <w:p>
            <w:pPr>
              <w:spacing w:lineRule="exact" w:line="320"/>
            </w:pPr>
            <w:r>
              <w:rPr>
                <w:rFonts w:ascii="Times New Roman" w:hAnsi="Times New Roman" w:eastAsia="宋体"/>
                <w:b w:val="0"/>
                <w:sz w:val="21"/>
              </w:rPr>
              <w:t>蒸汽锅炉系统</w:t>
            </w:r>
          </w:p>
        </w:tc>
        <w:tc>
          <w:tcPr>
            <w:tcW w:type="dxa" w:w="2197"/>
          </w:tcPr>
          <w:p>
            <w:pPr>
              <w:spacing w:lineRule="exact" w:line="320"/>
            </w:pPr>
            <w:r>
              <w:rPr>
                <w:rFonts w:ascii="Times New Roman" w:hAnsi="Times New Roman" w:eastAsia="宋体"/>
                <w:b w:val="0"/>
                <w:sz w:val="21"/>
              </w:rPr>
              <w:t>太湖锅炉 TAIHU</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典型公用工程成套包</w:t>
            </w:r>
          </w:p>
        </w:tc>
      </w:tr>
      <w:tr>
        <w:tc>
          <w:tcPr>
            <w:tcW w:type="dxa" w:w="2197"/>
          </w:tcPr>
          <w:p>
            <w:pPr>
              <w:spacing w:lineRule="exact" w:line="320"/>
            </w:pPr>
            <w:r>
              <w:rPr>
                <w:rFonts w:ascii="Times New Roman" w:hAnsi="Times New Roman" w:eastAsia="宋体"/>
                <w:b w:val="0"/>
                <w:sz w:val="21"/>
              </w:rPr>
              <w:t>脱盐水系统</w:t>
            </w:r>
          </w:p>
        </w:tc>
        <w:tc>
          <w:tcPr>
            <w:tcW w:type="dxa" w:w="2197"/>
          </w:tcPr>
          <w:p>
            <w:pPr>
              <w:spacing w:lineRule="exact" w:line="320"/>
            </w:pPr>
            <w:r>
              <w:rPr>
                <w:rFonts w:ascii="Times New Roman" w:hAnsi="Times New Roman" w:eastAsia="宋体"/>
                <w:b w:val="0"/>
                <w:sz w:val="21"/>
              </w:rPr>
              <w:t>山东格瑞 Gretech</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水处理成套系统之一</w:t>
            </w:r>
          </w:p>
        </w:tc>
      </w:tr>
      <w:tr>
        <w:tc>
          <w:tcPr>
            <w:tcW w:type="dxa" w:w="2197"/>
          </w:tcPr>
          <w:p>
            <w:pPr>
              <w:spacing w:lineRule="exact" w:line="320"/>
            </w:pPr>
            <w:r>
              <w:rPr>
                <w:rFonts w:ascii="Times New Roman" w:hAnsi="Times New Roman" w:eastAsia="宋体"/>
                <w:b w:val="0"/>
                <w:sz w:val="21"/>
              </w:rPr>
              <w:t>制氮系统</w:t>
            </w:r>
          </w:p>
        </w:tc>
        <w:tc>
          <w:tcPr>
            <w:tcW w:type="dxa" w:w="2197"/>
          </w:tcPr>
          <w:p>
            <w:pPr>
              <w:spacing w:lineRule="exact" w:line="320"/>
            </w:pPr>
            <w:r>
              <w:rPr>
                <w:rFonts w:ascii="Times New Roman" w:hAnsi="Times New Roman" w:eastAsia="宋体"/>
                <w:b w:val="0"/>
                <w:sz w:val="21"/>
              </w:rPr>
              <w:t>杭州川空 Hangzhou Chuankong</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与公用工程接口较多</w:t>
            </w:r>
          </w:p>
        </w:tc>
      </w:tr>
      <w:tr>
        <w:tc>
          <w:tcPr>
            <w:tcW w:type="dxa" w:w="2197"/>
          </w:tcPr>
          <w:p>
            <w:pPr>
              <w:spacing w:lineRule="exact" w:line="320"/>
            </w:pPr>
            <w:r>
              <w:rPr>
                <w:rFonts w:ascii="Times New Roman" w:hAnsi="Times New Roman" w:eastAsia="宋体"/>
                <w:b w:val="0"/>
                <w:sz w:val="21"/>
              </w:rPr>
              <w:t>抽真空系统</w:t>
            </w:r>
          </w:p>
        </w:tc>
        <w:tc>
          <w:tcPr>
            <w:tcW w:type="dxa" w:w="2197"/>
          </w:tcPr>
          <w:p>
            <w:pPr>
              <w:spacing w:lineRule="exact" w:line="320"/>
            </w:pPr>
            <w:r>
              <w:rPr>
                <w:rFonts w:ascii="Times New Roman" w:hAnsi="Times New Roman" w:eastAsia="宋体"/>
                <w:b w:val="0"/>
                <w:sz w:val="21"/>
              </w:rPr>
              <w:t>浙江杭真 Hangzhen</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建议由 NCC 统一协调成套设计和安装</w:t>
            </w:r>
          </w:p>
        </w:tc>
      </w:tr>
      <w:tr>
        <w:tc>
          <w:tcPr>
            <w:tcW w:type="dxa" w:w="2197"/>
          </w:tcPr>
          <w:p>
            <w:pPr>
              <w:spacing w:lineRule="exact" w:line="320"/>
            </w:pPr>
            <w:r>
              <w:rPr>
                <w:rFonts w:ascii="Times New Roman" w:hAnsi="Times New Roman" w:eastAsia="宋体"/>
                <w:b w:val="0"/>
                <w:sz w:val="21"/>
              </w:rPr>
              <w:t>循环水系统</w:t>
            </w:r>
          </w:p>
        </w:tc>
        <w:tc>
          <w:tcPr>
            <w:tcW w:type="dxa" w:w="2197"/>
          </w:tcPr>
          <w:p>
            <w:pPr>
              <w:spacing w:lineRule="exact" w:line="320"/>
            </w:pPr>
            <w:r>
              <w:rPr>
                <w:rFonts w:ascii="Times New Roman" w:hAnsi="Times New Roman" w:eastAsia="宋体"/>
                <w:b w:val="0"/>
                <w:sz w:val="21"/>
              </w:rPr>
              <w:t>江苏海鸥 SEAGULL</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与主装置和公用工程接口较多</w:t>
            </w:r>
          </w:p>
        </w:tc>
      </w:tr>
      <w:tr>
        <w:tc>
          <w:tcPr>
            <w:tcW w:type="dxa" w:w="2197"/>
          </w:tcPr>
          <w:p>
            <w:pPr>
              <w:spacing w:lineRule="exact" w:line="320"/>
            </w:pPr>
            <w:r>
              <w:rPr>
                <w:rFonts w:ascii="Times New Roman" w:hAnsi="Times New Roman" w:eastAsia="宋体"/>
                <w:b w:val="0"/>
                <w:sz w:val="21"/>
              </w:rPr>
              <w:t>IETS 系统</w:t>
            </w:r>
          </w:p>
        </w:tc>
        <w:tc>
          <w:tcPr>
            <w:tcW w:type="dxa" w:w="2197"/>
          </w:tcPr>
          <w:p>
            <w:pPr>
              <w:spacing w:lineRule="exact" w:line="320"/>
            </w:pPr>
            <w:r>
              <w:rPr>
                <w:rFonts w:ascii="Times New Roman" w:hAnsi="Times New Roman" w:eastAsia="宋体"/>
                <w:b w:val="0"/>
                <w:sz w:val="21"/>
              </w:rPr>
              <w:t>麦王 Mcwong</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过往项目界面协调工作量较大</w:t>
            </w:r>
          </w:p>
        </w:tc>
      </w:tr>
      <w:tr>
        <w:tc>
          <w:tcPr>
            <w:tcW w:type="dxa" w:w="2197"/>
          </w:tcPr>
          <w:p>
            <w:pPr>
              <w:spacing w:lineRule="exact" w:line="320"/>
            </w:pPr>
            <w:r>
              <w:rPr>
                <w:rFonts w:ascii="Times New Roman" w:hAnsi="Times New Roman" w:eastAsia="宋体"/>
                <w:b w:val="0"/>
                <w:sz w:val="21"/>
              </w:rPr>
              <w:t>白土输送系统/拆包系统</w:t>
            </w:r>
          </w:p>
        </w:tc>
        <w:tc>
          <w:tcPr>
            <w:tcW w:type="dxa" w:w="2197"/>
          </w:tcPr>
          <w:p>
            <w:pPr>
              <w:spacing w:lineRule="exact" w:line="320"/>
            </w:pPr>
            <w:r>
              <w:rPr>
                <w:rFonts w:ascii="Times New Roman" w:hAnsi="Times New Roman" w:eastAsia="宋体"/>
                <w:b w:val="0"/>
                <w:sz w:val="21"/>
              </w:rPr>
              <w:t>章鼓 ZhangGu</w:t>
            </w:r>
          </w:p>
        </w:tc>
        <w:tc>
          <w:tcPr>
            <w:tcW w:type="dxa" w:w="2197"/>
          </w:tcPr>
          <w:p>
            <w:pPr>
              <w:spacing w:lineRule="exact" w:line="320"/>
            </w:pPr>
            <w:r>
              <w:rPr>
                <w:rFonts w:ascii="Times New Roman" w:hAnsi="Times New Roman" w:eastAsia="宋体"/>
                <w:b w:val="0"/>
                <w:sz w:val="21"/>
              </w:rPr>
              <w:t>Technip 或 NCC EPC 管理</w:t>
            </w:r>
          </w:p>
        </w:tc>
        <w:tc>
          <w:tcPr>
            <w:tcW w:type="dxa" w:w="2197"/>
          </w:tcPr>
          <w:p>
            <w:pPr>
              <w:spacing w:lineRule="exact" w:line="320"/>
            </w:pPr>
            <w:r>
              <w:rPr>
                <w:rFonts w:ascii="Times New Roman" w:hAnsi="Times New Roman" w:eastAsia="宋体"/>
                <w:b w:val="0"/>
                <w:sz w:val="21"/>
              </w:rPr>
              <w:t>视系统边界和性能责任划分</w:t>
            </w:r>
          </w:p>
        </w:tc>
      </w:tr>
      <w:tr>
        <w:tc>
          <w:tcPr>
            <w:tcW w:type="dxa" w:w="2197"/>
          </w:tcPr>
          <w:p>
            <w:pPr>
              <w:spacing w:lineRule="exact" w:line="320"/>
            </w:pPr>
            <w:r>
              <w:rPr>
                <w:rFonts w:ascii="Times New Roman" w:hAnsi="Times New Roman" w:eastAsia="宋体"/>
                <w:b w:val="0"/>
                <w:sz w:val="21"/>
              </w:rPr>
              <w:t>加药系统</w:t>
            </w:r>
          </w:p>
        </w:tc>
        <w:tc>
          <w:tcPr>
            <w:tcW w:type="dxa" w:w="2197"/>
          </w:tcPr>
          <w:p>
            <w:pPr>
              <w:spacing w:lineRule="exact" w:line="320"/>
            </w:pPr>
            <w:r>
              <w:rPr>
                <w:rFonts w:ascii="Times New Roman" w:hAnsi="Times New Roman" w:eastAsia="宋体"/>
                <w:b w:val="0"/>
                <w:sz w:val="21"/>
              </w:rPr>
              <w:t>里瓦 LEWA</w:t>
            </w:r>
          </w:p>
        </w:tc>
        <w:tc>
          <w:tcPr>
            <w:tcW w:type="dxa" w:w="2197"/>
          </w:tcPr>
          <w:p>
            <w:pPr>
              <w:spacing w:lineRule="exact" w:line="320"/>
            </w:pPr>
            <w:r>
              <w:rPr>
                <w:rFonts w:ascii="Times New Roman" w:hAnsi="Times New Roman" w:eastAsia="宋体"/>
                <w:b w:val="0"/>
                <w:sz w:val="21"/>
              </w:rPr>
              <w:t>Technip 或 NCC EPC 管理</w:t>
            </w:r>
          </w:p>
        </w:tc>
        <w:tc>
          <w:tcPr>
            <w:tcW w:type="dxa" w:w="2197"/>
          </w:tcPr>
          <w:p>
            <w:pPr>
              <w:spacing w:lineRule="exact" w:line="320"/>
            </w:pPr>
            <w:r>
              <w:rPr>
                <w:rFonts w:ascii="Times New Roman" w:hAnsi="Times New Roman" w:eastAsia="宋体"/>
                <w:b w:val="0"/>
                <w:sz w:val="21"/>
              </w:rPr>
              <w:t>应根据系统责任决定归口</w:t>
            </w:r>
          </w:p>
        </w:tc>
      </w:tr>
      <w:tr>
        <w:tc>
          <w:tcPr>
            <w:tcW w:type="dxa" w:w="2197"/>
          </w:tcPr>
          <w:p>
            <w:pPr>
              <w:spacing w:lineRule="exact" w:line="320"/>
            </w:pPr>
            <w:r>
              <w:rPr>
                <w:rFonts w:ascii="Times New Roman" w:hAnsi="Times New Roman" w:eastAsia="宋体"/>
                <w:b w:val="0"/>
                <w:sz w:val="21"/>
              </w:rPr>
              <w:t>油料预处理/精炼成套设备</w:t>
            </w:r>
          </w:p>
        </w:tc>
        <w:tc>
          <w:tcPr>
            <w:tcW w:type="dxa" w:w="2197"/>
          </w:tcPr>
          <w:p>
            <w:pPr>
              <w:spacing w:lineRule="exact" w:line="320"/>
            </w:pPr>
            <w:r>
              <w:rPr>
                <w:rFonts w:ascii="Times New Roman" w:hAnsi="Times New Roman" w:eastAsia="宋体"/>
                <w:b w:val="0"/>
                <w:sz w:val="21"/>
              </w:rPr>
              <w:t>迈安德 Myande</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更接近主装置系统责任</w:t>
            </w:r>
          </w:p>
        </w:tc>
      </w:tr>
      <w:tr>
        <w:tc>
          <w:tcPr>
            <w:tcW w:type="dxa" w:w="2197"/>
          </w:tcPr>
          <w:p>
            <w:pPr>
              <w:spacing w:lineRule="exact" w:line="320"/>
            </w:pPr>
            <w:r>
              <w:rPr>
                <w:rFonts w:ascii="Times New Roman" w:hAnsi="Times New Roman" w:eastAsia="宋体"/>
                <w:b w:val="0"/>
                <w:sz w:val="21"/>
              </w:rPr>
              <w:t>膜分离提氢成套装置</w:t>
            </w:r>
          </w:p>
        </w:tc>
        <w:tc>
          <w:tcPr>
            <w:tcW w:type="dxa" w:w="2197"/>
          </w:tcPr>
          <w:p>
            <w:pPr>
              <w:spacing w:lineRule="exact" w:line="320"/>
            </w:pPr>
            <w:r>
              <w:rPr>
                <w:rFonts w:ascii="Times New Roman" w:hAnsi="Times New Roman" w:eastAsia="宋体"/>
                <w:b w:val="0"/>
                <w:sz w:val="21"/>
              </w:rPr>
              <w:t>大连欧科膜 Eurofilm</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与制氢系统性能边界关系紧密</w:t>
            </w:r>
          </w:p>
        </w:tc>
      </w:tr>
      <w:tr>
        <w:tc>
          <w:tcPr>
            <w:tcW w:type="dxa" w:w="2197"/>
          </w:tcPr>
          <w:p>
            <w:pPr>
              <w:spacing w:lineRule="exact" w:line="320"/>
            </w:pPr>
            <w:r>
              <w:rPr>
                <w:rFonts w:ascii="Times New Roman" w:hAnsi="Times New Roman" w:eastAsia="宋体"/>
                <w:b w:val="0"/>
                <w:sz w:val="21"/>
              </w:rPr>
              <w:t>仪表风/工厂风系统</w:t>
            </w:r>
          </w:p>
        </w:tc>
        <w:tc>
          <w:tcPr>
            <w:tcW w:type="dxa" w:w="2197"/>
          </w:tcPr>
          <w:p>
            <w:pPr>
              <w:spacing w:lineRule="exact" w:line="320"/>
            </w:pPr>
            <w:r>
              <w:rPr>
                <w:rFonts w:ascii="Times New Roman" w:hAnsi="Times New Roman" w:eastAsia="宋体"/>
                <w:b w:val="0"/>
                <w:sz w:val="21"/>
              </w:rPr>
              <w:t>复盛易利达 FS-Elliott</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成套系统，宜统一组织采购和安装</w:t>
            </w:r>
          </w:p>
        </w:tc>
      </w:tr>
      <w:tr>
        <w:tc>
          <w:tcPr>
            <w:tcW w:type="dxa" w:w="2197"/>
          </w:tcPr>
          <w:p>
            <w:pPr>
              <w:spacing w:lineRule="exact" w:line="320"/>
            </w:pPr>
            <w:r>
              <w:rPr>
                <w:rFonts w:ascii="Times New Roman" w:hAnsi="Times New Roman" w:eastAsia="宋体"/>
                <w:b w:val="0"/>
                <w:sz w:val="21"/>
              </w:rPr>
              <w:t>储罐钢板品牌</w:t>
            </w:r>
          </w:p>
        </w:tc>
        <w:tc>
          <w:tcPr>
            <w:tcW w:type="dxa" w:w="2197"/>
          </w:tcPr>
          <w:p>
            <w:pPr>
              <w:spacing w:lineRule="exact" w:line="320"/>
            </w:pPr>
            <w:r>
              <w:rPr>
                <w:rFonts w:ascii="Times New Roman" w:hAnsi="Times New Roman" w:eastAsia="宋体"/>
                <w:b w:val="0"/>
                <w:sz w:val="21"/>
              </w:rPr>
              <w:t>太钢、张浦、沙钢、马钢、新余</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这里更接近材料品牌，而非单一设备厂家</w:t>
            </w:r>
          </w:p>
        </w:tc>
      </w:tr>
      <w:tr>
        <w:tc>
          <w:tcPr>
            <w:tcW w:type="dxa" w:w="2197"/>
          </w:tcPr>
          <w:p>
            <w:pPr>
              <w:spacing w:lineRule="exact" w:line="320"/>
            </w:pPr>
            <w:r>
              <w:rPr>
                <w:rFonts w:ascii="Times New Roman" w:hAnsi="Times New Roman" w:eastAsia="宋体"/>
                <w:b w:val="0"/>
                <w:sz w:val="21"/>
              </w:rPr>
              <w:t>储罐钢板供货单位</w:t>
            </w:r>
          </w:p>
        </w:tc>
        <w:tc>
          <w:tcPr>
            <w:tcW w:type="dxa" w:w="2197"/>
          </w:tcPr>
          <w:p>
            <w:pPr>
              <w:spacing w:lineRule="exact" w:line="320"/>
            </w:pPr>
            <w:r>
              <w:rPr>
                <w:rFonts w:ascii="Times New Roman" w:hAnsi="Times New Roman" w:eastAsia="宋体"/>
                <w:b w:val="0"/>
                <w:sz w:val="21"/>
              </w:rPr>
              <w:t>杭州热联集团、南京嘉上环保科技</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过往项目中已形成采购合同样本</w:t>
            </w:r>
          </w:p>
        </w:tc>
      </w:tr>
      <w:tr>
        <w:tc>
          <w:tcPr>
            <w:tcW w:type="dxa" w:w="2197"/>
          </w:tcPr>
          <w:p>
            <w:pPr>
              <w:spacing w:lineRule="exact" w:line="320"/>
            </w:pPr>
            <w:r>
              <w:rPr>
                <w:rFonts w:ascii="Times New Roman" w:hAnsi="Times New Roman" w:eastAsia="宋体"/>
                <w:b w:val="0"/>
                <w:sz w:val="21"/>
              </w:rPr>
              <w:t>储罐附件型钢品牌</w:t>
            </w:r>
          </w:p>
        </w:tc>
        <w:tc>
          <w:tcPr>
            <w:tcW w:type="dxa" w:w="2197"/>
          </w:tcPr>
          <w:p>
            <w:pPr>
              <w:spacing w:lineRule="exact" w:line="320"/>
            </w:pPr>
            <w:r>
              <w:rPr>
                <w:rFonts w:ascii="Times New Roman" w:hAnsi="Times New Roman" w:eastAsia="宋体"/>
                <w:b w:val="0"/>
                <w:sz w:val="21"/>
              </w:rPr>
              <w:t>唐山正丰、常州东方高精新材料、马钢</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与储罐施工和预制配套关系紧密</w:t>
            </w:r>
          </w:p>
        </w:tc>
      </w:tr>
      <w:tr>
        <w:tc>
          <w:tcPr>
            <w:tcW w:type="dxa" w:w="2197"/>
          </w:tcPr>
          <w:p>
            <w:pPr>
              <w:spacing w:lineRule="exact" w:line="320"/>
            </w:pPr>
            <w:r>
              <w:rPr>
                <w:rFonts w:ascii="Times New Roman" w:hAnsi="Times New Roman" w:eastAsia="宋体"/>
                <w:b w:val="0"/>
                <w:sz w:val="21"/>
              </w:rPr>
              <w:t>土建钢结构/结构钢品牌</w:t>
            </w:r>
          </w:p>
        </w:tc>
        <w:tc>
          <w:tcPr>
            <w:tcW w:type="dxa" w:w="2197"/>
          </w:tcPr>
          <w:p>
            <w:pPr>
              <w:spacing w:lineRule="exact" w:line="320"/>
            </w:pPr>
            <w:r>
              <w:rPr>
                <w:rFonts w:ascii="Times New Roman" w:hAnsi="Times New Roman" w:eastAsia="宋体"/>
                <w:b w:val="0"/>
                <w:sz w:val="21"/>
              </w:rPr>
              <w:t>杭萧 HANGXIAO</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可作为钢结构品牌参考样本</w:t>
            </w:r>
          </w:p>
        </w:tc>
      </w:tr>
      <w:tr>
        <w:tc>
          <w:tcPr>
            <w:tcW w:type="dxa" w:w="2197"/>
          </w:tcPr>
          <w:p>
            <w:pPr>
              <w:spacing w:lineRule="exact" w:line="320"/>
            </w:pPr>
            <w:r>
              <w:rPr>
                <w:rFonts w:ascii="Times New Roman" w:hAnsi="Times New Roman" w:eastAsia="宋体"/>
                <w:b w:val="0"/>
                <w:sz w:val="21"/>
              </w:rPr>
              <w:t>储罐钢结构及栏杆扶手预制安装单位</w:t>
            </w:r>
          </w:p>
        </w:tc>
        <w:tc>
          <w:tcPr>
            <w:tcW w:type="dxa" w:w="2197"/>
          </w:tcPr>
          <w:p>
            <w:pPr>
              <w:spacing w:lineRule="exact" w:line="320"/>
            </w:pPr>
            <w:r>
              <w:rPr>
                <w:rFonts w:ascii="Times New Roman" w:hAnsi="Times New Roman" w:eastAsia="宋体"/>
                <w:b w:val="0"/>
                <w:sz w:val="21"/>
              </w:rPr>
              <w:t>GUANGLEI STEEL STRUCTURE ENGINEERING MALAYSIA SDN. BHD.</w:t>
            </w:r>
          </w:p>
        </w:tc>
        <w:tc>
          <w:tcPr>
            <w:tcW w:type="dxa" w:w="2197"/>
          </w:tcPr>
          <w:p>
            <w:pPr>
              <w:spacing w:lineRule="exact" w:line="320"/>
            </w:pPr>
            <w:r>
              <w:rPr>
                <w:rFonts w:ascii="Times New Roman" w:hAnsi="Times New Roman" w:eastAsia="宋体"/>
                <w:b w:val="0"/>
                <w:sz w:val="21"/>
              </w:rPr>
              <w:t>NCC 组织</w:t>
            </w:r>
          </w:p>
        </w:tc>
        <w:tc>
          <w:tcPr>
            <w:tcW w:type="dxa" w:w="2197"/>
          </w:tcPr>
          <w:p>
            <w:pPr>
              <w:spacing w:lineRule="exact" w:line="320"/>
            </w:pPr>
            <w:r>
              <w:rPr>
                <w:rFonts w:ascii="Times New Roman" w:hAnsi="Times New Roman" w:eastAsia="宋体"/>
                <w:b w:val="0"/>
                <w:sz w:val="21"/>
              </w:rPr>
              <w:t>更接近现场预制安装单位，不属于材料品牌</w:t>
            </w:r>
          </w:p>
        </w:tc>
      </w:tr>
    </w:tbl>
    <w:p/>
    <w:p>
      <w:pPr>
        <w:spacing w:before="120" w:after="40" w:lineRule="exact" w:line="400"/>
      </w:pPr>
      <w:r>
        <w:rPr>
          <w:rFonts w:ascii="Times New Roman" w:hAnsi="Times New Roman" w:eastAsia="黑体"/>
          <w:b/>
          <w:sz w:val="24"/>
        </w:rPr>
        <w:t>6. NCC 跨境采购范围</w:t>
      </w:r>
    </w:p>
    <w:p>
      <w:pPr>
        <w:spacing w:before="0" w:after="0" w:lineRule="exact" w:line="400"/>
        <w:ind w:firstLine="420"/>
      </w:pPr>
      <w:r>
        <w:rPr>
          <w:rFonts w:ascii="Times New Roman" w:hAnsi="Times New Roman" w:eastAsia="宋体"/>
          <w:b w:val="0"/>
          <w:sz w:val="24"/>
        </w:rPr>
        <w:t>NCC 跨境采购范围建议集中在国内采购、国内预制后再出口的主材和安装型物资，重点包括钢结构、储罐主材、管道主材、法兰管件、常规阀门、预制管道材料、预制罐板及附件、防腐保温材料和部分安装型设备。钢结构建议由 NCC 负责国内采购和国内预制，再统一组织出运和现场安装衔接。此类物资与国内预制、分段、防腐、包装和海运组织关系紧密，由 NCC 统一组织更有利于把采购、预制、发运和现场安装连成一条线。</w:t>
      </w:r>
    </w:p>
    <w:p>
      <w:pPr>
        <w:spacing w:before="120" w:after="40" w:lineRule="exact" w:line="400"/>
      </w:pPr>
      <w:r>
        <w:rPr>
          <w:rFonts w:ascii="Times New Roman" w:hAnsi="Times New Roman" w:eastAsia="黑体"/>
          <w:b/>
          <w:sz w:val="24"/>
        </w:rPr>
        <w:t>7. 公用工程成套包采购与管理范围</w:t>
      </w:r>
    </w:p>
    <w:p>
      <w:pPr>
        <w:spacing w:before="0" w:after="0" w:lineRule="exact" w:line="400"/>
        <w:ind w:firstLine="420"/>
      </w:pPr>
      <w:r>
        <w:rPr>
          <w:rFonts w:ascii="Times New Roman" w:hAnsi="Times New Roman" w:eastAsia="宋体"/>
          <w:b w:val="0"/>
          <w:sz w:val="24"/>
        </w:rPr>
        <w:t>锅炉、燃气、空压站、水处理、IETS 等公用工程成套包，建议纳入 NCC 范围，由 NCC 进行 EPC 管理。主装置和配套系统设计方负责提供接口条件和设计参数，专业成套厂家负责包内设计和设备供货，NCC 负责成套包的技术协调、采购组织、制造催交、物流发运、现场安装和界面关闭。过往项目中，这类成套系统因分别选用不同厂家，现场界面和协调工作较多，因此本项目更适合由 NCC 统一管理。</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成套系统</w:t>
            </w:r>
          </w:p>
        </w:tc>
        <w:tc>
          <w:tcPr>
            <w:tcW w:type="dxa" w:w="2197"/>
          </w:tcPr>
          <w:p>
            <w:pPr>
              <w:spacing w:lineRule="exact" w:line="320"/>
              <w:jc w:val="center"/>
            </w:pPr>
            <w:r>
              <w:rPr>
                <w:rFonts w:ascii="Times New Roman" w:hAnsi="Times New Roman" w:eastAsia="黑体"/>
                <w:b/>
                <w:sz w:val="21"/>
              </w:rPr>
              <w:t>设计方责任</w:t>
            </w:r>
          </w:p>
        </w:tc>
        <w:tc>
          <w:tcPr>
            <w:tcW w:type="dxa" w:w="2197"/>
          </w:tcPr>
          <w:p>
            <w:pPr>
              <w:spacing w:lineRule="exact" w:line="320"/>
              <w:jc w:val="center"/>
            </w:pPr>
            <w:r>
              <w:rPr>
                <w:rFonts w:ascii="Times New Roman" w:hAnsi="Times New Roman" w:eastAsia="黑体"/>
                <w:b/>
                <w:sz w:val="21"/>
              </w:rPr>
              <w:t>成套厂家责任</w:t>
            </w:r>
          </w:p>
        </w:tc>
        <w:tc>
          <w:tcPr>
            <w:tcW w:type="dxa" w:w="2197"/>
          </w:tcPr>
          <w:p>
            <w:pPr>
              <w:spacing w:lineRule="exact" w:line="320"/>
              <w:jc w:val="center"/>
            </w:pPr>
            <w:r>
              <w:rPr>
                <w:rFonts w:ascii="Times New Roman" w:hAnsi="Times New Roman" w:eastAsia="黑体"/>
                <w:b/>
                <w:sz w:val="21"/>
              </w:rPr>
              <w:t>NCC 责任</w:t>
            </w:r>
          </w:p>
        </w:tc>
      </w:tr>
      <w:tr>
        <w:tc>
          <w:tcPr>
            <w:tcW w:type="dxa" w:w="2197"/>
          </w:tcPr>
          <w:p>
            <w:pPr>
              <w:spacing w:lineRule="exact" w:line="320"/>
            </w:pPr>
            <w:r>
              <w:rPr>
                <w:rFonts w:ascii="Times New Roman" w:hAnsi="Times New Roman" w:eastAsia="宋体"/>
                <w:b w:val="0"/>
                <w:sz w:val="21"/>
              </w:rPr>
              <w:t>锅炉系统</w:t>
            </w:r>
          </w:p>
        </w:tc>
        <w:tc>
          <w:tcPr>
            <w:tcW w:type="dxa" w:w="2197"/>
          </w:tcPr>
          <w:p>
            <w:pPr>
              <w:spacing w:lineRule="exact" w:line="320"/>
            </w:pPr>
            <w:r>
              <w:rPr>
                <w:rFonts w:ascii="Times New Roman" w:hAnsi="Times New Roman" w:eastAsia="宋体"/>
                <w:b w:val="0"/>
                <w:sz w:val="21"/>
              </w:rPr>
              <w:t>提供界面条件、蒸汽参数、接入要求</w:t>
            </w:r>
          </w:p>
        </w:tc>
        <w:tc>
          <w:tcPr>
            <w:tcW w:type="dxa" w:w="2197"/>
          </w:tcPr>
          <w:p>
            <w:pPr>
              <w:spacing w:lineRule="exact" w:line="320"/>
            </w:pPr>
            <w:r>
              <w:rPr>
                <w:rFonts w:ascii="Times New Roman" w:hAnsi="Times New Roman" w:eastAsia="宋体"/>
                <w:b w:val="0"/>
                <w:sz w:val="21"/>
              </w:rPr>
              <w:t>负责包内设计和成套供货</w:t>
            </w:r>
          </w:p>
        </w:tc>
        <w:tc>
          <w:tcPr>
            <w:tcW w:type="dxa" w:w="2197"/>
          </w:tcPr>
          <w:p>
            <w:pPr>
              <w:spacing w:lineRule="exact" w:line="320"/>
            </w:pPr>
            <w:r>
              <w:rPr>
                <w:rFonts w:ascii="Times New Roman" w:hAnsi="Times New Roman" w:eastAsia="宋体"/>
                <w:b w:val="0"/>
                <w:sz w:val="21"/>
              </w:rPr>
              <w:t>负责 EPC 管理、催交、安装和界面关闭</w:t>
            </w:r>
          </w:p>
        </w:tc>
      </w:tr>
      <w:tr>
        <w:tc>
          <w:tcPr>
            <w:tcW w:type="dxa" w:w="2197"/>
          </w:tcPr>
          <w:p>
            <w:pPr>
              <w:spacing w:lineRule="exact" w:line="320"/>
            </w:pPr>
            <w:r>
              <w:rPr>
                <w:rFonts w:ascii="Times New Roman" w:hAnsi="Times New Roman" w:eastAsia="宋体"/>
                <w:b w:val="0"/>
                <w:sz w:val="21"/>
              </w:rPr>
              <w:t>燃气系统</w:t>
            </w:r>
          </w:p>
        </w:tc>
        <w:tc>
          <w:tcPr>
            <w:tcW w:type="dxa" w:w="2197"/>
          </w:tcPr>
          <w:p>
            <w:pPr>
              <w:spacing w:lineRule="exact" w:line="320"/>
            </w:pPr>
            <w:r>
              <w:rPr>
                <w:rFonts w:ascii="Times New Roman" w:hAnsi="Times New Roman" w:eastAsia="宋体"/>
                <w:b w:val="0"/>
                <w:sz w:val="21"/>
              </w:rPr>
              <w:t>提供边界条件和工艺参数</w:t>
            </w:r>
          </w:p>
        </w:tc>
        <w:tc>
          <w:tcPr>
            <w:tcW w:type="dxa" w:w="2197"/>
          </w:tcPr>
          <w:p>
            <w:pPr>
              <w:spacing w:lineRule="exact" w:line="320"/>
            </w:pPr>
            <w:r>
              <w:rPr>
                <w:rFonts w:ascii="Times New Roman" w:hAnsi="Times New Roman" w:eastAsia="宋体"/>
                <w:b w:val="0"/>
                <w:sz w:val="21"/>
              </w:rPr>
              <w:t>负责包内设计和设备成套</w:t>
            </w:r>
          </w:p>
        </w:tc>
        <w:tc>
          <w:tcPr>
            <w:tcW w:type="dxa" w:w="2197"/>
          </w:tcPr>
          <w:p>
            <w:pPr>
              <w:spacing w:lineRule="exact" w:line="320"/>
            </w:pPr>
            <w:r>
              <w:rPr>
                <w:rFonts w:ascii="Times New Roman" w:hAnsi="Times New Roman" w:eastAsia="宋体"/>
                <w:b w:val="0"/>
                <w:sz w:val="21"/>
              </w:rPr>
              <w:t>负责采购组织、发运、现场安装和协调</w:t>
            </w:r>
          </w:p>
        </w:tc>
      </w:tr>
      <w:tr>
        <w:tc>
          <w:tcPr>
            <w:tcW w:type="dxa" w:w="2197"/>
          </w:tcPr>
          <w:p>
            <w:pPr>
              <w:spacing w:lineRule="exact" w:line="320"/>
            </w:pPr>
            <w:r>
              <w:rPr>
                <w:rFonts w:ascii="Times New Roman" w:hAnsi="Times New Roman" w:eastAsia="宋体"/>
                <w:b w:val="0"/>
                <w:sz w:val="21"/>
              </w:rPr>
              <w:t>空压站</w:t>
            </w:r>
          </w:p>
        </w:tc>
        <w:tc>
          <w:tcPr>
            <w:tcW w:type="dxa" w:w="2197"/>
          </w:tcPr>
          <w:p>
            <w:pPr>
              <w:spacing w:lineRule="exact" w:line="320"/>
            </w:pPr>
            <w:r>
              <w:rPr>
                <w:rFonts w:ascii="Times New Roman" w:hAnsi="Times New Roman" w:eastAsia="宋体"/>
                <w:b w:val="0"/>
                <w:sz w:val="21"/>
              </w:rPr>
              <w:t>提供接口和公用工程参数</w:t>
            </w:r>
          </w:p>
        </w:tc>
        <w:tc>
          <w:tcPr>
            <w:tcW w:type="dxa" w:w="2197"/>
          </w:tcPr>
          <w:p>
            <w:pPr>
              <w:spacing w:lineRule="exact" w:line="320"/>
            </w:pPr>
            <w:r>
              <w:rPr>
                <w:rFonts w:ascii="Times New Roman" w:hAnsi="Times New Roman" w:eastAsia="宋体"/>
                <w:b w:val="0"/>
                <w:sz w:val="21"/>
              </w:rPr>
              <w:t>负责包内设计和设备供货</w:t>
            </w:r>
          </w:p>
        </w:tc>
        <w:tc>
          <w:tcPr>
            <w:tcW w:type="dxa" w:w="2197"/>
          </w:tcPr>
          <w:p>
            <w:pPr>
              <w:spacing w:lineRule="exact" w:line="320"/>
            </w:pPr>
            <w:r>
              <w:rPr>
                <w:rFonts w:ascii="Times New Roman" w:hAnsi="Times New Roman" w:eastAsia="宋体"/>
                <w:b w:val="0"/>
                <w:sz w:val="21"/>
              </w:rPr>
              <w:t>负责制造协调、安装和系统交付</w:t>
            </w:r>
          </w:p>
        </w:tc>
      </w:tr>
      <w:tr>
        <w:tc>
          <w:tcPr>
            <w:tcW w:type="dxa" w:w="2197"/>
          </w:tcPr>
          <w:p>
            <w:pPr>
              <w:spacing w:lineRule="exact" w:line="320"/>
            </w:pPr>
            <w:r>
              <w:rPr>
                <w:rFonts w:ascii="Times New Roman" w:hAnsi="Times New Roman" w:eastAsia="宋体"/>
                <w:b w:val="0"/>
                <w:sz w:val="21"/>
              </w:rPr>
              <w:t>水处理系统</w:t>
            </w:r>
          </w:p>
        </w:tc>
        <w:tc>
          <w:tcPr>
            <w:tcW w:type="dxa" w:w="2197"/>
          </w:tcPr>
          <w:p>
            <w:pPr>
              <w:spacing w:lineRule="exact" w:line="320"/>
            </w:pPr>
            <w:r>
              <w:rPr>
                <w:rFonts w:ascii="Times New Roman" w:hAnsi="Times New Roman" w:eastAsia="宋体"/>
                <w:b w:val="0"/>
                <w:sz w:val="21"/>
              </w:rPr>
              <w:t>提供进出水指标和边界条件</w:t>
            </w:r>
          </w:p>
        </w:tc>
        <w:tc>
          <w:tcPr>
            <w:tcW w:type="dxa" w:w="2197"/>
          </w:tcPr>
          <w:p>
            <w:pPr>
              <w:spacing w:lineRule="exact" w:line="320"/>
            </w:pPr>
            <w:r>
              <w:rPr>
                <w:rFonts w:ascii="Times New Roman" w:hAnsi="Times New Roman" w:eastAsia="宋体"/>
                <w:b w:val="0"/>
                <w:sz w:val="21"/>
              </w:rPr>
              <w:t>负责包内工艺、设备和控制设计</w:t>
            </w:r>
          </w:p>
        </w:tc>
        <w:tc>
          <w:tcPr>
            <w:tcW w:type="dxa" w:w="2197"/>
          </w:tcPr>
          <w:p>
            <w:pPr>
              <w:spacing w:lineRule="exact" w:line="320"/>
            </w:pPr>
            <w:r>
              <w:rPr>
                <w:rFonts w:ascii="Times New Roman" w:hAnsi="Times New Roman" w:eastAsia="宋体"/>
                <w:b w:val="0"/>
                <w:sz w:val="21"/>
              </w:rPr>
              <w:t>负责 EPC 管理和现场实施</w:t>
            </w:r>
          </w:p>
        </w:tc>
      </w:tr>
      <w:tr>
        <w:tc>
          <w:tcPr>
            <w:tcW w:type="dxa" w:w="2197"/>
          </w:tcPr>
          <w:p>
            <w:pPr>
              <w:spacing w:lineRule="exact" w:line="320"/>
            </w:pPr>
            <w:r>
              <w:rPr>
                <w:rFonts w:ascii="Times New Roman" w:hAnsi="Times New Roman" w:eastAsia="宋体"/>
                <w:b w:val="0"/>
                <w:sz w:val="21"/>
              </w:rPr>
              <w:t>IETS</w:t>
            </w:r>
          </w:p>
        </w:tc>
        <w:tc>
          <w:tcPr>
            <w:tcW w:type="dxa" w:w="2197"/>
          </w:tcPr>
          <w:p>
            <w:pPr>
              <w:spacing w:lineRule="exact" w:line="320"/>
            </w:pPr>
            <w:r>
              <w:rPr>
                <w:rFonts w:ascii="Times New Roman" w:hAnsi="Times New Roman" w:eastAsia="宋体"/>
                <w:b w:val="0"/>
                <w:sz w:val="21"/>
              </w:rPr>
              <w:t>提供总体界面和参数要求</w:t>
            </w:r>
          </w:p>
        </w:tc>
        <w:tc>
          <w:tcPr>
            <w:tcW w:type="dxa" w:w="2197"/>
          </w:tcPr>
          <w:p>
            <w:pPr>
              <w:spacing w:lineRule="exact" w:line="320"/>
            </w:pPr>
            <w:r>
              <w:rPr>
                <w:rFonts w:ascii="Times New Roman" w:hAnsi="Times New Roman" w:eastAsia="宋体"/>
                <w:b w:val="0"/>
                <w:sz w:val="21"/>
              </w:rPr>
              <w:t>负责包内系统设计和成套供货</w:t>
            </w:r>
          </w:p>
        </w:tc>
        <w:tc>
          <w:tcPr>
            <w:tcW w:type="dxa" w:w="2197"/>
          </w:tcPr>
          <w:p>
            <w:pPr>
              <w:spacing w:lineRule="exact" w:line="320"/>
            </w:pPr>
            <w:r>
              <w:rPr>
                <w:rFonts w:ascii="Times New Roman" w:hAnsi="Times New Roman" w:eastAsia="宋体"/>
                <w:b w:val="0"/>
                <w:sz w:val="21"/>
              </w:rPr>
              <w:t>负责全过程组织和界面管理</w:t>
            </w:r>
          </w:p>
        </w:tc>
      </w:tr>
    </w:tbl>
    <w:p/>
    <w:p>
      <w:pPr>
        <w:spacing w:before="120" w:after="40" w:lineRule="exact" w:line="400"/>
      </w:pPr>
      <w:r>
        <w:rPr>
          <w:rFonts w:ascii="Times New Roman" w:hAnsi="Times New Roman" w:eastAsia="黑体"/>
          <w:b/>
          <w:sz w:val="24"/>
        </w:rPr>
        <w:t>8. NCC 本地采购范围</w:t>
      </w:r>
    </w:p>
    <w:p>
      <w:pPr>
        <w:spacing w:before="0" w:after="0" w:lineRule="exact" w:line="400"/>
        <w:ind w:firstLine="420"/>
      </w:pPr>
      <w:r>
        <w:rPr>
          <w:rFonts w:ascii="Times New Roman" w:hAnsi="Times New Roman" w:eastAsia="宋体"/>
          <w:b w:val="0"/>
          <w:sz w:val="24"/>
        </w:rPr>
        <w:t>NCC 本地采购范围建议单独列项，不并入跨境采购。重点包括高低压电缆、仪表电缆、控制电缆、防火涂料、弱电监控、脚手和施工机具、部分本地配套五金材料以及需要结合现场条件快速响应的属地适配物资。过往项目采购合同和执行资料表明，国内采购、国内预制采购和属地采购是并行存在的，本地采购并不是补充项，而是现场执行链的一部分。对这类物资，更适合按现场安装窗口和本地响应速度滚动释放，而不是完全按跨境批量采购逻辑组织。</w:t>
      </w:r>
    </w:p>
    <w:p>
      <w:pPr>
        <w:spacing w:before="120" w:after="40" w:lineRule="exact" w:line="400"/>
      </w:pPr>
      <w:r>
        <w:rPr>
          <w:rFonts w:ascii="Times New Roman" w:hAnsi="Times New Roman" w:eastAsia="黑体"/>
          <w:b/>
          <w:sz w:val="24"/>
        </w:rPr>
        <w:t>9. 预制材料采购模式</w:t>
      </w:r>
    </w:p>
    <w:p>
      <w:pPr>
        <w:spacing w:before="0" w:after="0" w:lineRule="exact" w:line="400"/>
        <w:ind w:firstLine="420"/>
      </w:pPr>
      <w:r>
        <w:rPr>
          <w:rFonts w:ascii="Times New Roman" w:hAnsi="Times New Roman" w:eastAsia="宋体"/>
          <w:b w:val="0"/>
          <w:sz w:val="24"/>
        </w:rPr>
        <w:t>凡需要在中国完成预制、防腐、成段加工后再发运的材料，建议采用 NCC 主导采购模式。重点包括管道预制材料、储罐预制材料及其相关主材。过往项目中，这类物资若由业主先行采购并直接交到海外，后续仍需回到国内完成预制和防腐。因此，凡与预制深度直接相关的物资，建议从一开始就按“采购、预制、发运、安装一体化”原则组织。</w:t>
      </w:r>
    </w:p>
    <w:p>
      <w:pPr>
        <w:spacing w:before="120" w:after="40" w:lineRule="exact" w:line="400"/>
      </w:pPr>
      <w:r>
        <w:rPr>
          <w:rFonts w:ascii="Times New Roman" w:hAnsi="Times New Roman" w:eastAsia="黑体"/>
          <w:b/>
          <w:sz w:val="24"/>
        </w:rPr>
        <w:t>10. 采购周期建议</w:t>
      </w:r>
    </w:p>
    <w:p>
      <w:pPr>
        <w:spacing w:before="0" w:after="0" w:lineRule="exact" w:line="400"/>
        <w:ind w:firstLine="420"/>
      </w:pPr>
      <w:r>
        <w:rPr>
          <w:rFonts w:ascii="Times New Roman" w:hAnsi="Times New Roman" w:eastAsia="宋体"/>
          <w:b w:val="0"/>
          <w:sz w:val="24"/>
        </w:rPr>
        <w:t>采购策划建议按三类周期分别管理：</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c>
          <w:tcPr>
            <w:tcW w:type="dxa" w:w="2929"/>
          </w:tcPr>
          <w:p>
            <w:pPr>
              <w:spacing w:lineRule="exact" w:line="320"/>
              <w:jc w:val="center"/>
            </w:pPr>
            <w:r>
              <w:rPr>
                <w:rFonts w:ascii="Times New Roman" w:hAnsi="Times New Roman" w:eastAsia="黑体"/>
                <w:b/>
                <w:sz w:val="21"/>
              </w:rPr>
              <w:t>采购类别</w:t>
            </w:r>
          </w:p>
        </w:tc>
        <w:tc>
          <w:tcPr>
            <w:tcW w:type="dxa" w:w="2929"/>
          </w:tcPr>
          <w:p>
            <w:pPr>
              <w:spacing w:lineRule="exact" w:line="320"/>
              <w:jc w:val="center"/>
            </w:pPr>
            <w:r>
              <w:rPr>
                <w:rFonts w:ascii="Times New Roman" w:hAnsi="Times New Roman" w:eastAsia="黑体"/>
                <w:b/>
                <w:sz w:val="21"/>
              </w:rPr>
              <w:t>建议周期</w:t>
            </w:r>
          </w:p>
        </w:tc>
        <w:tc>
          <w:tcPr>
            <w:tcW w:type="dxa" w:w="2929"/>
          </w:tcPr>
          <w:p>
            <w:pPr>
              <w:spacing w:lineRule="exact" w:line="320"/>
              <w:jc w:val="center"/>
            </w:pPr>
            <w:r>
              <w:rPr>
                <w:rFonts w:ascii="Times New Roman" w:hAnsi="Times New Roman" w:eastAsia="黑体"/>
                <w:b/>
                <w:sz w:val="21"/>
              </w:rPr>
              <w:t>说明</w:t>
            </w:r>
          </w:p>
        </w:tc>
      </w:tr>
      <w:tr>
        <w:tc>
          <w:tcPr>
            <w:tcW w:type="dxa" w:w="2929"/>
          </w:tcPr>
          <w:p>
            <w:pPr>
              <w:spacing w:lineRule="exact" w:line="320"/>
            </w:pPr>
            <w:r>
              <w:rPr>
                <w:rFonts w:ascii="Times New Roman" w:hAnsi="Times New Roman" w:eastAsia="宋体"/>
                <w:b w:val="0"/>
                <w:sz w:val="21"/>
              </w:rPr>
              <w:t>Technip 关键设备采购</w:t>
            </w:r>
          </w:p>
        </w:tc>
        <w:tc>
          <w:tcPr>
            <w:tcW w:type="dxa" w:w="2929"/>
          </w:tcPr>
          <w:p>
            <w:pPr>
              <w:spacing w:lineRule="exact" w:line="320"/>
            </w:pPr>
            <w:r>
              <w:rPr>
                <w:rFonts w:ascii="Times New Roman" w:hAnsi="Times New Roman" w:eastAsia="宋体"/>
                <w:b w:val="0"/>
                <w:sz w:val="21"/>
              </w:rPr>
              <w:t>约 65 天起步</w:t>
            </w:r>
          </w:p>
        </w:tc>
        <w:tc>
          <w:tcPr>
            <w:tcW w:type="dxa" w:w="2929"/>
          </w:tcPr>
          <w:p>
            <w:pPr>
              <w:spacing w:lineRule="exact" w:line="320"/>
            </w:pPr>
            <w:r>
              <w:rPr>
                <w:rFonts w:ascii="Times New Roman" w:hAnsi="Times New Roman" w:eastAsia="宋体"/>
                <w:b w:val="0"/>
                <w:sz w:val="21"/>
              </w:rPr>
              <w:t>可按“签约后约 50 天到货准备 + 约 15 天典型物流落地”倒排；跨洲进口设备和关键阀门应单独增加冗余</w:t>
            </w:r>
          </w:p>
        </w:tc>
      </w:tr>
      <w:tr>
        <w:tc>
          <w:tcPr>
            <w:tcW w:type="dxa" w:w="2929"/>
          </w:tcPr>
          <w:p>
            <w:pPr>
              <w:spacing w:lineRule="exact" w:line="320"/>
            </w:pPr>
            <w:r>
              <w:rPr>
                <w:rFonts w:ascii="Times New Roman" w:hAnsi="Times New Roman" w:eastAsia="宋体"/>
                <w:b w:val="0"/>
                <w:sz w:val="21"/>
              </w:rPr>
              <w:t>NCC 成套包采购与 EPC 管理</w:t>
            </w:r>
          </w:p>
        </w:tc>
        <w:tc>
          <w:tcPr>
            <w:tcW w:type="dxa" w:w="2929"/>
          </w:tcPr>
          <w:p>
            <w:pPr>
              <w:spacing w:lineRule="exact" w:line="320"/>
            </w:pPr>
            <w:r>
              <w:rPr>
                <w:rFonts w:ascii="Times New Roman" w:hAnsi="Times New Roman" w:eastAsia="宋体"/>
                <w:b w:val="0"/>
                <w:sz w:val="21"/>
              </w:rPr>
              <w:t>约 3 至 4 个月起步</w:t>
            </w:r>
          </w:p>
        </w:tc>
        <w:tc>
          <w:tcPr>
            <w:tcW w:type="dxa" w:w="2929"/>
          </w:tcPr>
          <w:p>
            <w:pPr>
              <w:spacing w:lineRule="exact" w:line="320"/>
            </w:pPr>
            <w:r>
              <w:rPr>
                <w:rFonts w:ascii="Times New Roman" w:hAnsi="Times New Roman" w:eastAsia="宋体"/>
                <w:b w:val="0"/>
                <w:sz w:val="21"/>
              </w:rPr>
              <w:t>应包含厂家技术澄清、包内设计、制造、发运和现场接口协调；宜较普通跨境采购更早启动</w:t>
            </w:r>
          </w:p>
        </w:tc>
      </w:tr>
      <w:tr>
        <w:tc>
          <w:tcPr>
            <w:tcW w:type="dxa" w:w="2929"/>
          </w:tcPr>
          <w:p>
            <w:pPr>
              <w:spacing w:lineRule="exact" w:line="320"/>
            </w:pPr>
            <w:r>
              <w:rPr>
                <w:rFonts w:ascii="Times New Roman" w:hAnsi="Times New Roman" w:eastAsia="宋体"/>
                <w:b w:val="0"/>
                <w:sz w:val="21"/>
              </w:rPr>
              <w:t>NCC 跨境采购</w:t>
            </w:r>
          </w:p>
        </w:tc>
        <w:tc>
          <w:tcPr>
            <w:tcW w:type="dxa" w:w="2929"/>
          </w:tcPr>
          <w:p>
            <w:pPr>
              <w:spacing w:lineRule="exact" w:line="320"/>
            </w:pPr>
            <w:r>
              <w:rPr>
                <w:rFonts w:ascii="Times New Roman" w:hAnsi="Times New Roman" w:eastAsia="宋体"/>
                <w:b w:val="0"/>
                <w:sz w:val="21"/>
              </w:rPr>
              <w:t>约 45 至 60 天</w:t>
            </w:r>
          </w:p>
        </w:tc>
        <w:tc>
          <w:tcPr>
            <w:tcW w:type="dxa" w:w="2929"/>
          </w:tcPr>
          <w:p>
            <w:pPr>
              <w:spacing w:lineRule="exact" w:line="320"/>
            </w:pPr>
            <w:r>
              <w:rPr>
                <w:rFonts w:ascii="Times New Roman" w:hAnsi="Times New Roman" w:eastAsia="宋体"/>
                <w:b w:val="0"/>
                <w:sz w:val="21"/>
              </w:rPr>
              <w:t>其中应包含下单、制造准备、打包、发运和到场窗口；预制关联材料宜再前置</w:t>
            </w:r>
          </w:p>
        </w:tc>
      </w:tr>
      <w:tr>
        <w:tc>
          <w:tcPr>
            <w:tcW w:type="dxa" w:w="2929"/>
          </w:tcPr>
          <w:p>
            <w:pPr>
              <w:spacing w:lineRule="exact" w:line="320"/>
            </w:pPr>
            <w:r>
              <w:rPr>
                <w:rFonts w:ascii="Times New Roman" w:hAnsi="Times New Roman" w:eastAsia="宋体"/>
                <w:b w:val="0"/>
                <w:sz w:val="21"/>
              </w:rPr>
              <w:t>NCC 本地采购</w:t>
            </w:r>
          </w:p>
        </w:tc>
        <w:tc>
          <w:tcPr>
            <w:tcW w:type="dxa" w:w="2929"/>
          </w:tcPr>
          <w:p>
            <w:pPr>
              <w:spacing w:lineRule="exact" w:line="320"/>
            </w:pPr>
            <w:r>
              <w:rPr>
                <w:rFonts w:ascii="Times New Roman" w:hAnsi="Times New Roman" w:eastAsia="宋体"/>
                <w:b w:val="0"/>
                <w:sz w:val="21"/>
              </w:rPr>
              <w:t>约 20 至 30 天</w:t>
            </w:r>
          </w:p>
        </w:tc>
        <w:tc>
          <w:tcPr>
            <w:tcW w:type="dxa" w:w="2929"/>
          </w:tcPr>
          <w:p>
            <w:pPr>
              <w:spacing w:lineRule="exact" w:line="320"/>
            </w:pPr>
            <w:r>
              <w:rPr>
                <w:rFonts w:ascii="Times New Roman" w:hAnsi="Times New Roman" w:eastAsia="宋体"/>
                <w:b w:val="0"/>
                <w:sz w:val="21"/>
              </w:rPr>
              <w:t>按合同签订到到货管理，不单独叠加跨境物流；对脚手机具、电缆等滚动物资可更短周期分批组织</w:t>
            </w:r>
          </w:p>
        </w:tc>
      </w:tr>
    </w:tbl>
    <w:p/>
    <w:p>
      <w:pPr>
        <w:spacing w:before="120" w:after="40" w:lineRule="exact" w:line="400"/>
      </w:pPr>
      <w:r>
        <w:rPr>
          <w:rFonts w:ascii="Times New Roman" w:hAnsi="Times New Roman" w:eastAsia="黑体"/>
          <w:b/>
          <w:sz w:val="24"/>
        </w:rPr>
        <w:t>11. 采购章节结论</w:t>
      </w:r>
    </w:p>
    <w:p>
      <w:pPr>
        <w:spacing w:before="0" w:after="0" w:lineRule="exact" w:line="400"/>
        <w:ind w:firstLine="420"/>
      </w:pPr>
      <w:r>
        <w:rPr>
          <w:rFonts w:ascii="Times New Roman" w:hAnsi="Times New Roman" w:eastAsia="宋体"/>
          <w:b w:val="0"/>
          <w:sz w:val="24"/>
        </w:rPr>
        <w:t>采购分工建议形成四条链，即 Technip 关键设备采购链、NCC 成套包 EPC 管理链、NCC 跨境采购链和 NCC 本地采购链。关键设备和关键系统由 Technip 控制，锅炉、燃气、空压站、水处理、IETS 等成套公用工程建议由 NCC 统一做 EPC 管理，预制关联材料和大宗主材由 NCC 跨境组织，本地适配物资由 NCC 属地滚动采购。采购标准宜优先采用 `ASME + 中国标准` 的组合，以更充分利用中国供应链、制造和预制优势。</w:t>
      </w:r>
    </w:p>
    <w:p>
      <w:pPr>
        <w:spacing w:before="160" w:after="80" w:lineRule="exact" w:line="400"/>
      </w:pPr>
      <w:r>
        <w:rPr>
          <w:rFonts w:ascii="Times New Roman" w:hAnsi="Times New Roman" w:eastAsia="黑体"/>
          <w:b/>
          <w:sz w:val="28"/>
        </w:rPr>
        <w:t>三、物流策划</w:t>
      </w:r>
    </w:p>
    <w:p>
      <w:pPr>
        <w:spacing w:before="120" w:after="40" w:lineRule="exact" w:line="400"/>
      </w:pPr>
      <w:r>
        <w:rPr>
          <w:rFonts w:ascii="Times New Roman" w:hAnsi="Times New Roman" w:eastAsia="黑体"/>
          <w:b/>
          <w:sz w:val="24"/>
        </w:rPr>
        <w:t>1. 物流策划整体情况</w:t>
      </w:r>
    </w:p>
    <w:p>
      <w:pPr>
        <w:spacing w:before="0" w:after="0" w:lineRule="exact" w:line="400"/>
        <w:ind w:firstLine="420"/>
      </w:pPr>
      <w:r>
        <w:rPr>
          <w:rFonts w:ascii="Times New Roman" w:hAnsi="Times New Roman" w:eastAsia="宋体"/>
          <w:b w:val="0"/>
          <w:sz w:val="24"/>
        </w:rPr>
        <w:t>物流策划不应只理解为海运安排，而应覆盖工厂发货计划、打包数据、包装标准、运输方式、港口组织、认证清关和现场到货顺序。过往项目表明，真正影响施工节奏的，往往不是海上运输本身，而是前端准备是否及时、运输方式是否匹配、包装是否满足海运要求，以及到场顺序是否与施工顺序一致。物流管理建议统一由乙方统筹组织，包括统一发运计划、统一报关资料准备、统一清关协调和统一到场顺序控制，以便把采购、发运、到港和到场顺序放在一套节奏里管理。</w:t>
      </w:r>
    </w:p>
    <w:p>
      <w:pPr>
        <w:spacing w:before="120" w:after="40" w:lineRule="exact" w:line="400"/>
      </w:pPr>
      <w:r>
        <w:rPr>
          <w:rFonts w:ascii="Times New Roman" w:hAnsi="Times New Roman" w:eastAsia="黑体"/>
          <w:b/>
          <w:sz w:val="24"/>
        </w:rPr>
        <w:t>2. 运输方式与物资类别</w:t>
      </w:r>
    </w:p>
    <w:p>
      <w:pPr>
        <w:spacing w:before="0" w:after="0" w:lineRule="exact" w:line="400"/>
        <w:ind w:firstLine="420"/>
      </w:pPr>
      <w:r>
        <w:rPr>
          <w:rFonts w:ascii="Times New Roman" w:hAnsi="Times New Roman" w:eastAsia="宋体"/>
          <w:b w:val="0"/>
          <w:sz w:val="24"/>
        </w:rPr>
        <w:t>关键设备和成套包运输方式应优先按散杂船、重件散杂船、甲板驳船和滚装条件策划，不能按普通集装箱货理解。预制罐板及附件、预制管道及支架、成品罐附件和管道附件也应作为散杂运输重点物资管理。电气、仪表、油漆及零星增补物资一般采用集装箱运输，更适合纳入滚动补充和后续配套节奏管理。对炉类、反应器、大件压缩机等，还应同步落实运输限界、装船方式和现场吊装条件。</w:t>
      </w:r>
    </w:p>
    <w:p>
      <w:pPr>
        <w:spacing w:before="120" w:after="40" w:lineRule="exact" w:line="400"/>
      </w:pPr>
      <w:r>
        <w:rPr>
          <w:rFonts w:ascii="Times New Roman" w:hAnsi="Times New Roman" w:eastAsia="黑体"/>
          <w:b/>
          <w:sz w:val="24"/>
        </w:rPr>
        <w:t>3. 物流主要风险</w:t>
      </w:r>
    </w:p>
    <w:p>
      <w:pPr>
        <w:spacing w:before="0" w:after="0" w:lineRule="exact" w:line="400"/>
        <w:ind w:firstLine="420"/>
      </w:pPr>
      <w:r>
        <w:rPr>
          <w:rFonts w:ascii="Times New Roman" w:hAnsi="Times New Roman" w:eastAsia="宋体"/>
          <w:b w:val="0"/>
          <w:sz w:val="24"/>
        </w:rPr>
        <w:t>物流主要风险集中在四个方面。第一，工厂发货计划不准，导致物流计划频繁调整，现场顺序被打乱。第二，打包数据提交滞后或尺寸不准，导致订舱推迟、舱位不匹配，整体到场时间被拉长。第三，包装未按海运要求执行，导致货物在倒运、堆存和海运过程中变形、受潮和受损。第四，成套包合同未明确交货状态，导致大量散件和未预制件到场后仍需现场组装，形成“名义到货但不具备安装条件”的问题。</w:t>
      </w:r>
    </w:p>
    <w:p>
      <w:pPr>
        <w:spacing w:before="120" w:after="40" w:lineRule="exact" w:line="400"/>
      </w:pPr>
      <w:r>
        <w:rPr>
          <w:rFonts w:ascii="Times New Roman" w:hAnsi="Times New Roman" w:eastAsia="黑体"/>
          <w:b/>
          <w:sz w:val="24"/>
        </w:rPr>
        <w:t>4. 外部物流风险与认证条件</w:t>
      </w:r>
    </w:p>
    <w:p>
      <w:pPr>
        <w:spacing w:before="0" w:after="0" w:lineRule="exact" w:line="400"/>
        <w:ind w:firstLine="420"/>
      </w:pPr>
      <w:r>
        <w:rPr>
          <w:rFonts w:ascii="Times New Roman" w:hAnsi="Times New Roman" w:eastAsia="宋体"/>
          <w:b w:val="0"/>
          <w:sz w:val="24"/>
        </w:rPr>
        <w:t>散杂货、大宗材料和关键设备除常规运输周期外，还应额外考虑港口拥堵、天气、码头切换和等泊风险。过往项目中，长三角塞港曾导致船舶发运延后约 1 个月，后续又因台风等泊 11 天，直接影响预制罐板和管道材料到场。对进入马来西亚需强制认证的建材和钢铁产品，应将 CIDB COA 等认证准备时间单独纳入计划，建议至少预留 2 至 3 个月。对成套包设备，应同步明确交货状态、随包范围和界面分工，避免设备到场后仍大量缺件和散件。对选用品牌和厂家时，还应优先考虑其是否符合马来西亚当地验收标准、是否具备当地售后服务能力以及是否有当地项目供货经验。</w:t>
      </w:r>
    </w:p>
    <w:p>
      <w:pPr>
        <w:spacing w:before="120" w:after="40" w:lineRule="exact" w:line="400"/>
      </w:pPr>
      <w:r>
        <w:rPr>
          <w:rFonts w:ascii="Times New Roman" w:hAnsi="Times New Roman" w:eastAsia="黑体"/>
          <w:b/>
          <w:sz w:val="24"/>
        </w:rPr>
        <w:t>5. 材料到货对进度的影响</w:t>
      </w:r>
    </w:p>
    <w:p>
      <w:pPr>
        <w:spacing w:before="0" w:after="0" w:lineRule="exact" w:line="400"/>
        <w:ind w:firstLine="420"/>
      </w:pPr>
      <w:r>
        <w:rPr>
          <w:rFonts w:ascii="Times New Roman" w:hAnsi="Times New Roman" w:eastAsia="宋体"/>
          <w:b w:val="0"/>
          <w:sz w:val="24"/>
        </w:rPr>
        <w:t>不同专业材料对进度的影响程度不同。电气、仪表、储罐附件及部分管道材料，更多影响后期连续施工、系统完善和移交节奏；地管材料影响最直接。物流资料显示，地管材料 `UG batch 1~8` 的到场时间集中在 `2024年7月30日` 至 `2024年9月14日`，而多个区域的原计划地管施工窗口明显早于这一时间。以辅助区样本为例，原计划地管安装及试压完成时间为 `2024年4月25日`，回填完成时间为 `2024年4月27日`，更新计划中均延后至 `2024年9月中旬`。这说明地管材料到场时间与施工窗口存在明显错位，是导致部分区域前序条件延后、后续安装窗口被压缩的重要原因之一。</w:t>
      </w:r>
    </w:p>
    <w:p>
      <w:pPr>
        <w:spacing w:before="120" w:after="40" w:lineRule="exact" w:line="400"/>
      </w:pPr>
      <w:r>
        <w:rPr>
          <w:rFonts w:ascii="Times New Roman" w:hAnsi="Times New Roman" w:eastAsia="黑体"/>
          <w:b/>
          <w:sz w:val="24"/>
        </w:rPr>
        <w:t>6. 物流周期建议</w:t>
      </w:r>
    </w:p>
    <w:p>
      <w:pPr>
        <w:spacing w:before="0" w:after="0" w:lineRule="exact" w:line="400"/>
        <w:ind w:firstLine="420"/>
      </w:pPr>
      <w:r>
        <w:rPr>
          <w:rFonts w:ascii="Times New Roman" w:hAnsi="Times New Roman" w:eastAsia="宋体"/>
          <w:b w:val="0"/>
          <w:sz w:val="24"/>
        </w:rPr>
        <w:t>物流策划建议按三类周期管理：</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c>
          <w:tcPr>
            <w:tcW w:type="dxa" w:w="2929"/>
          </w:tcPr>
          <w:p>
            <w:pPr>
              <w:spacing w:lineRule="exact" w:line="320"/>
              <w:jc w:val="center"/>
            </w:pPr>
            <w:r>
              <w:rPr>
                <w:rFonts w:ascii="Times New Roman" w:hAnsi="Times New Roman" w:eastAsia="黑体"/>
                <w:b/>
                <w:sz w:val="21"/>
              </w:rPr>
              <w:t>物流类别</w:t>
            </w:r>
          </w:p>
        </w:tc>
        <w:tc>
          <w:tcPr>
            <w:tcW w:type="dxa" w:w="2929"/>
          </w:tcPr>
          <w:p>
            <w:pPr>
              <w:spacing w:lineRule="exact" w:line="320"/>
              <w:jc w:val="center"/>
            </w:pPr>
            <w:r>
              <w:rPr>
                <w:rFonts w:ascii="Times New Roman" w:hAnsi="Times New Roman" w:eastAsia="黑体"/>
                <w:b/>
                <w:sz w:val="21"/>
              </w:rPr>
              <w:t>建议周期</w:t>
            </w:r>
          </w:p>
        </w:tc>
        <w:tc>
          <w:tcPr>
            <w:tcW w:type="dxa" w:w="2929"/>
          </w:tcPr>
          <w:p>
            <w:pPr>
              <w:spacing w:lineRule="exact" w:line="320"/>
              <w:jc w:val="center"/>
            </w:pPr>
            <w:r>
              <w:rPr>
                <w:rFonts w:ascii="Times New Roman" w:hAnsi="Times New Roman" w:eastAsia="黑体"/>
                <w:b/>
                <w:sz w:val="21"/>
              </w:rPr>
              <w:t>说明</w:t>
            </w:r>
          </w:p>
        </w:tc>
      </w:tr>
      <w:tr>
        <w:tc>
          <w:tcPr>
            <w:tcW w:type="dxa" w:w="2929"/>
          </w:tcPr>
          <w:p>
            <w:pPr>
              <w:spacing w:lineRule="exact" w:line="320"/>
            </w:pPr>
            <w:r>
              <w:rPr>
                <w:rFonts w:ascii="Times New Roman" w:hAnsi="Times New Roman" w:eastAsia="宋体"/>
                <w:b w:val="0"/>
                <w:sz w:val="21"/>
              </w:rPr>
              <w:t>常规中国至马来西亚跨境物流</w:t>
            </w:r>
          </w:p>
        </w:tc>
        <w:tc>
          <w:tcPr>
            <w:tcW w:type="dxa" w:w="2929"/>
          </w:tcPr>
          <w:p>
            <w:pPr>
              <w:spacing w:lineRule="exact" w:line="320"/>
            </w:pPr>
            <w:r>
              <w:rPr>
                <w:rFonts w:ascii="Times New Roman" w:hAnsi="Times New Roman" w:eastAsia="宋体"/>
                <w:b w:val="0"/>
                <w:sz w:val="21"/>
              </w:rPr>
              <w:t>约 15 天</w:t>
            </w:r>
          </w:p>
        </w:tc>
        <w:tc>
          <w:tcPr>
            <w:tcW w:type="dxa" w:w="2929"/>
          </w:tcPr>
          <w:p>
            <w:pPr>
              <w:spacing w:lineRule="exact" w:line="320"/>
            </w:pPr>
            <w:r>
              <w:rPr>
                <w:rFonts w:ascii="Times New Roman" w:hAnsi="Times New Roman" w:eastAsia="宋体"/>
                <w:b w:val="0"/>
                <w:sz w:val="21"/>
              </w:rPr>
              <w:t>可按“离港到到港约 10 天 + 到港到到场约 5 天”理解</w:t>
            </w:r>
          </w:p>
        </w:tc>
      </w:tr>
      <w:tr>
        <w:tc>
          <w:tcPr>
            <w:tcW w:type="dxa" w:w="2929"/>
          </w:tcPr>
          <w:p>
            <w:pPr>
              <w:spacing w:lineRule="exact" w:line="320"/>
            </w:pPr>
            <w:r>
              <w:rPr>
                <w:rFonts w:ascii="Times New Roman" w:hAnsi="Times New Roman" w:eastAsia="宋体"/>
                <w:b w:val="0"/>
                <w:sz w:val="21"/>
              </w:rPr>
              <w:t>散杂货和重大件物流</w:t>
            </w:r>
          </w:p>
        </w:tc>
        <w:tc>
          <w:tcPr>
            <w:tcW w:type="dxa" w:w="2929"/>
          </w:tcPr>
          <w:p>
            <w:pPr>
              <w:spacing w:lineRule="exact" w:line="320"/>
            </w:pPr>
            <w:r>
              <w:rPr>
                <w:rFonts w:ascii="Times New Roman" w:hAnsi="Times New Roman" w:eastAsia="宋体"/>
                <w:b w:val="0"/>
                <w:sz w:val="21"/>
              </w:rPr>
              <w:t>约 20 至 30 天</w:t>
            </w:r>
          </w:p>
        </w:tc>
        <w:tc>
          <w:tcPr>
            <w:tcW w:type="dxa" w:w="2929"/>
          </w:tcPr>
          <w:p>
            <w:pPr>
              <w:spacing w:lineRule="exact" w:line="320"/>
            </w:pPr>
            <w:r>
              <w:rPr>
                <w:rFonts w:ascii="Times New Roman" w:hAnsi="Times New Roman" w:eastAsia="宋体"/>
                <w:b w:val="0"/>
                <w:sz w:val="21"/>
              </w:rPr>
              <w:t>需额外考虑集港、装船、等泊、卸货和现场吊装条件</w:t>
            </w:r>
          </w:p>
        </w:tc>
      </w:tr>
      <w:tr>
        <w:tc>
          <w:tcPr>
            <w:tcW w:type="dxa" w:w="2929"/>
          </w:tcPr>
          <w:p>
            <w:pPr>
              <w:spacing w:lineRule="exact" w:line="320"/>
            </w:pPr>
            <w:r>
              <w:rPr>
                <w:rFonts w:ascii="Times New Roman" w:hAnsi="Times New Roman" w:eastAsia="宋体"/>
                <w:b w:val="0"/>
                <w:sz w:val="21"/>
              </w:rPr>
              <w:t>认证类钢材和建材物流</w:t>
            </w:r>
          </w:p>
        </w:tc>
        <w:tc>
          <w:tcPr>
            <w:tcW w:type="dxa" w:w="2929"/>
          </w:tcPr>
          <w:p>
            <w:pPr>
              <w:spacing w:lineRule="exact" w:line="320"/>
            </w:pPr>
            <w:r>
              <w:rPr>
                <w:rFonts w:ascii="Times New Roman" w:hAnsi="Times New Roman" w:eastAsia="宋体"/>
                <w:b w:val="0"/>
                <w:sz w:val="21"/>
              </w:rPr>
              <w:t>常规物流基础上增加 2 至 3 个月</w:t>
            </w:r>
          </w:p>
        </w:tc>
        <w:tc>
          <w:tcPr>
            <w:tcW w:type="dxa" w:w="2929"/>
          </w:tcPr>
          <w:p>
            <w:pPr>
              <w:spacing w:lineRule="exact" w:line="320"/>
            </w:pPr>
            <w:r>
              <w:rPr>
                <w:rFonts w:ascii="Times New Roman" w:hAnsi="Times New Roman" w:eastAsia="宋体"/>
                <w:b w:val="0"/>
                <w:sz w:val="21"/>
              </w:rPr>
              <w:t>CIDB COA 等认证时间应单独前置，不宜并入海运天数理解</w:t>
            </w:r>
          </w:p>
        </w:tc>
      </w:tr>
    </w:tbl>
    <w:p/>
    <w:p>
      <w:pPr>
        <w:spacing w:before="120" w:after="40" w:lineRule="exact" w:line="400"/>
      </w:pPr>
      <w:r>
        <w:rPr>
          <w:rFonts w:ascii="Times New Roman" w:hAnsi="Times New Roman" w:eastAsia="黑体"/>
          <w:b/>
          <w:sz w:val="24"/>
        </w:rPr>
        <w:t>7. 物流章节结论</w:t>
      </w:r>
    </w:p>
    <w:p>
      <w:pPr>
        <w:spacing w:before="0" w:after="0" w:lineRule="exact" w:line="400"/>
        <w:ind w:firstLine="420"/>
      </w:pPr>
      <w:r>
        <w:rPr>
          <w:rFonts w:ascii="Times New Roman" w:hAnsi="Times New Roman" w:eastAsia="宋体"/>
          <w:b w:val="0"/>
          <w:sz w:val="24"/>
        </w:rPr>
        <w:t>物流策划应重点回答四个问题，即怎么装、什么时候发、按什么状态到、是否满足现场顺序。对关键设备、预制物资、钢结构、储罐材料和地管材料，应按关键路径倒排物流；对电气、仪表和零星增补物资，应按系统完善和移交窗口滚动组织。过往项目说明，地管材料和大宗预制物资最容易直接影响前序条件，必须作为物流重点控制对象。物流执行建议由乙方统一统筹、统一报关和统一清关协调，以减少多头管理对进度的影响。</w:t>
      </w:r>
    </w:p>
    <w:p>
      <w:pPr>
        <w:spacing w:before="160" w:after="80" w:lineRule="exact" w:line="400"/>
      </w:pPr>
      <w:r>
        <w:rPr>
          <w:rFonts w:ascii="Times New Roman" w:hAnsi="Times New Roman" w:eastAsia="黑体"/>
          <w:b/>
          <w:sz w:val="28"/>
        </w:rPr>
        <w:t>四、进度计划策划</w:t>
      </w:r>
    </w:p>
    <w:p>
      <w:pPr>
        <w:spacing w:before="120" w:after="40" w:lineRule="exact" w:line="400"/>
      </w:pPr>
      <w:r>
        <w:rPr>
          <w:rFonts w:ascii="Times New Roman" w:hAnsi="Times New Roman" w:eastAsia="黑体"/>
          <w:b/>
          <w:sz w:val="24"/>
        </w:rPr>
        <w:t>1. 项目周期建议</w:t>
      </w:r>
    </w:p>
    <w:p>
      <w:pPr>
        <w:spacing w:before="0" w:after="0" w:lineRule="exact" w:line="400"/>
        <w:ind w:firstLine="420"/>
      </w:pPr>
      <w:r>
        <w:rPr>
          <w:rFonts w:ascii="Times New Roman" w:hAnsi="Times New Roman" w:eastAsia="宋体"/>
          <w:b w:val="0"/>
          <w:sz w:val="24"/>
        </w:rPr>
        <w:t>本项目进度策划建议按“设计前置、采购分层、土建先行、物流匹配、安装分区推进、当地验收提前启动”的思路组织。结合过往项目执行结果、成套包界面协调工作量以及当前分工模式，建议以打桩开工为项目主控起点，以机械竣工为阶段控制节点，以完工证书为最终交付节点。项目总体可按“打桩开始至机械竣工控制在 `26 个月`，机械竣工至完工证书再预留 `4 个月`”组织。当地专项验收和 CCC 等合规收尾应纳入这 `4 个月` 内统筹推进，并在后期施工阶段提前穿插启动。各阶段建议周期如下：</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c>
          <w:tcPr>
            <w:tcW w:type="dxa" w:w="2929"/>
          </w:tcPr>
          <w:p>
            <w:pPr>
              <w:spacing w:lineRule="exact" w:line="320"/>
              <w:jc w:val="center"/>
            </w:pPr>
            <w:r>
              <w:rPr>
                <w:rFonts w:ascii="Times New Roman" w:hAnsi="Times New Roman" w:eastAsia="黑体"/>
                <w:b/>
                <w:sz w:val="21"/>
              </w:rPr>
              <w:t>阶段</w:t>
            </w:r>
          </w:p>
        </w:tc>
        <w:tc>
          <w:tcPr>
            <w:tcW w:type="dxa" w:w="2929"/>
          </w:tcPr>
          <w:p>
            <w:pPr>
              <w:spacing w:lineRule="exact" w:line="320"/>
              <w:jc w:val="center"/>
            </w:pPr>
            <w:r>
              <w:rPr>
                <w:rFonts w:ascii="Times New Roman" w:hAnsi="Times New Roman" w:eastAsia="黑体"/>
                <w:b/>
                <w:sz w:val="21"/>
              </w:rPr>
              <w:t>建议周期</w:t>
            </w:r>
          </w:p>
        </w:tc>
        <w:tc>
          <w:tcPr>
            <w:tcW w:type="dxa" w:w="2929"/>
          </w:tcPr>
          <w:p>
            <w:pPr>
              <w:spacing w:lineRule="exact" w:line="320"/>
              <w:jc w:val="center"/>
            </w:pPr>
            <w:r>
              <w:rPr>
                <w:rFonts w:ascii="Times New Roman" w:hAnsi="Times New Roman" w:eastAsia="黑体"/>
                <w:b/>
                <w:sz w:val="21"/>
              </w:rPr>
              <w:t>说明</w:t>
            </w:r>
          </w:p>
        </w:tc>
      </w:tr>
      <w:tr>
        <w:tc>
          <w:tcPr>
            <w:tcW w:type="dxa" w:w="2929"/>
          </w:tcPr>
          <w:p>
            <w:pPr>
              <w:spacing w:lineRule="exact" w:line="320"/>
            </w:pPr>
            <w:r>
              <w:rPr>
                <w:rFonts w:ascii="Times New Roman" w:hAnsi="Times New Roman" w:eastAsia="宋体"/>
                <w:b w:val="0"/>
                <w:sz w:val="21"/>
              </w:rPr>
              <w:t>设计周期</w:t>
            </w:r>
          </w:p>
        </w:tc>
        <w:tc>
          <w:tcPr>
            <w:tcW w:type="dxa" w:w="2929"/>
          </w:tcPr>
          <w:p>
            <w:pPr>
              <w:spacing w:lineRule="exact" w:line="320"/>
            </w:pPr>
            <w:r>
              <w:rPr>
                <w:rFonts w:ascii="Times New Roman" w:hAnsi="Times New Roman" w:eastAsia="宋体"/>
                <w:b w:val="0"/>
                <w:sz w:val="21"/>
              </w:rPr>
              <w:t>6 至 8 个月</w:t>
            </w:r>
          </w:p>
        </w:tc>
        <w:tc>
          <w:tcPr>
            <w:tcW w:type="dxa" w:w="2929"/>
          </w:tcPr>
          <w:p>
            <w:pPr>
              <w:spacing w:lineRule="exact" w:line="320"/>
            </w:pPr>
            <w:r>
              <w:rPr>
                <w:rFonts w:ascii="Times New Roman" w:hAnsi="Times New Roman" w:eastAsia="宋体"/>
                <w:b w:val="0"/>
                <w:sz w:val="21"/>
              </w:rPr>
              <w:t>主装置系统设计、配套系统设计和本地深化设计应并行推进，关键采购包宜在设计中前期释放</w:t>
            </w:r>
          </w:p>
        </w:tc>
      </w:tr>
      <w:tr>
        <w:tc>
          <w:tcPr>
            <w:tcW w:type="dxa" w:w="2929"/>
          </w:tcPr>
          <w:p>
            <w:pPr>
              <w:spacing w:lineRule="exact" w:line="320"/>
            </w:pPr>
            <w:r>
              <w:rPr>
                <w:rFonts w:ascii="Times New Roman" w:hAnsi="Times New Roman" w:eastAsia="宋体"/>
                <w:b w:val="0"/>
                <w:sz w:val="21"/>
              </w:rPr>
              <w:t>采购周期</w:t>
            </w:r>
          </w:p>
        </w:tc>
        <w:tc>
          <w:tcPr>
            <w:tcW w:type="dxa" w:w="2929"/>
          </w:tcPr>
          <w:p>
            <w:pPr>
              <w:spacing w:lineRule="exact" w:line="320"/>
            </w:pPr>
            <w:r>
              <w:rPr>
                <w:rFonts w:ascii="Times New Roman" w:hAnsi="Times New Roman" w:eastAsia="宋体"/>
                <w:b w:val="0"/>
                <w:sz w:val="21"/>
              </w:rPr>
              <w:t>2 至 3 个月起步</w:t>
            </w:r>
          </w:p>
        </w:tc>
        <w:tc>
          <w:tcPr>
            <w:tcW w:type="dxa" w:w="2929"/>
          </w:tcPr>
          <w:p>
            <w:pPr>
              <w:spacing w:lineRule="exact" w:line="320"/>
            </w:pPr>
            <w:r>
              <w:rPr>
                <w:rFonts w:ascii="Times New Roman" w:hAnsi="Times New Roman" w:eastAsia="宋体"/>
                <w:b w:val="0"/>
                <w:sz w:val="21"/>
              </w:rPr>
              <w:t>Technip 关键设备、NCC 跨境采购、NCC 本地采购三条链同步启动；长周期设备需更早锁定</w:t>
            </w:r>
          </w:p>
        </w:tc>
      </w:tr>
      <w:tr>
        <w:tc>
          <w:tcPr>
            <w:tcW w:type="dxa" w:w="2929"/>
          </w:tcPr>
          <w:p>
            <w:pPr>
              <w:spacing w:lineRule="exact" w:line="320"/>
            </w:pPr>
            <w:r>
              <w:rPr>
                <w:rFonts w:ascii="Times New Roman" w:hAnsi="Times New Roman" w:eastAsia="宋体"/>
                <w:b w:val="0"/>
                <w:sz w:val="21"/>
              </w:rPr>
              <w:t>物流周期</w:t>
            </w:r>
          </w:p>
        </w:tc>
        <w:tc>
          <w:tcPr>
            <w:tcW w:type="dxa" w:w="2929"/>
          </w:tcPr>
          <w:p>
            <w:pPr>
              <w:spacing w:lineRule="exact" w:line="320"/>
            </w:pPr>
            <w:r>
              <w:rPr>
                <w:rFonts w:ascii="Times New Roman" w:hAnsi="Times New Roman" w:eastAsia="宋体"/>
                <w:b w:val="0"/>
                <w:sz w:val="21"/>
              </w:rPr>
              <w:t>0.5 至 2 个月</w:t>
            </w:r>
          </w:p>
        </w:tc>
        <w:tc>
          <w:tcPr>
            <w:tcW w:type="dxa" w:w="2929"/>
          </w:tcPr>
          <w:p>
            <w:pPr>
              <w:spacing w:lineRule="exact" w:line="320"/>
            </w:pPr>
            <w:r>
              <w:rPr>
                <w:rFonts w:ascii="Times New Roman" w:hAnsi="Times New Roman" w:eastAsia="宋体"/>
                <w:b w:val="0"/>
                <w:sz w:val="21"/>
              </w:rPr>
              <w:t>常规跨境物流可按约 15 天考虑，重大件、散杂货和认证类物资应单独加冗余</w:t>
            </w:r>
          </w:p>
        </w:tc>
      </w:tr>
      <w:tr>
        <w:tc>
          <w:tcPr>
            <w:tcW w:type="dxa" w:w="2929"/>
          </w:tcPr>
          <w:p>
            <w:pPr>
              <w:spacing w:lineRule="exact" w:line="320"/>
            </w:pPr>
            <w:r>
              <w:rPr>
                <w:rFonts w:ascii="Times New Roman" w:hAnsi="Times New Roman" w:eastAsia="宋体"/>
                <w:b w:val="0"/>
                <w:sz w:val="21"/>
              </w:rPr>
              <w:t>土建及前序条件周期</w:t>
            </w:r>
          </w:p>
        </w:tc>
        <w:tc>
          <w:tcPr>
            <w:tcW w:type="dxa" w:w="2929"/>
          </w:tcPr>
          <w:p>
            <w:pPr>
              <w:spacing w:lineRule="exact" w:line="320"/>
            </w:pPr>
            <w:r>
              <w:rPr>
                <w:rFonts w:ascii="Times New Roman" w:hAnsi="Times New Roman" w:eastAsia="宋体"/>
                <w:b w:val="0"/>
                <w:sz w:val="21"/>
              </w:rPr>
              <w:t>6 至 7 个月</w:t>
            </w:r>
          </w:p>
        </w:tc>
        <w:tc>
          <w:tcPr>
            <w:tcW w:type="dxa" w:w="2929"/>
          </w:tcPr>
          <w:p>
            <w:pPr>
              <w:spacing w:lineRule="exact" w:line="320"/>
            </w:pPr>
            <w:r>
              <w:rPr>
                <w:rFonts w:ascii="Times New Roman" w:hAnsi="Times New Roman" w:eastAsia="宋体"/>
                <w:b w:val="0"/>
                <w:sz w:val="21"/>
              </w:rPr>
              <w:t>地下、基础、地管、土建和钢结构应作为前序条件整体管理</w:t>
            </w:r>
          </w:p>
        </w:tc>
      </w:tr>
      <w:tr>
        <w:tc>
          <w:tcPr>
            <w:tcW w:type="dxa" w:w="2929"/>
          </w:tcPr>
          <w:p>
            <w:pPr>
              <w:spacing w:lineRule="exact" w:line="320"/>
            </w:pPr>
            <w:r>
              <w:rPr>
                <w:rFonts w:ascii="Times New Roman" w:hAnsi="Times New Roman" w:eastAsia="宋体"/>
                <w:b w:val="0"/>
                <w:sz w:val="21"/>
              </w:rPr>
              <w:t>安装及系统完善周期</w:t>
            </w:r>
          </w:p>
        </w:tc>
        <w:tc>
          <w:tcPr>
            <w:tcW w:type="dxa" w:w="2929"/>
          </w:tcPr>
          <w:p>
            <w:pPr>
              <w:spacing w:lineRule="exact" w:line="320"/>
            </w:pPr>
            <w:r>
              <w:rPr>
                <w:rFonts w:ascii="Times New Roman" w:hAnsi="Times New Roman" w:eastAsia="宋体"/>
                <w:b w:val="0"/>
                <w:sz w:val="21"/>
              </w:rPr>
              <w:t>16 至 18 个月</w:t>
            </w:r>
          </w:p>
        </w:tc>
        <w:tc>
          <w:tcPr>
            <w:tcW w:type="dxa" w:w="2929"/>
          </w:tcPr>
          <w:p>
            <w:pPr>
              <w:spacing w:lineRule="exact" w:line="320"/>
            </w:pPr>
            <w:r>
              <w:rPr>
                <w:rFonts w:ascii="Times New Roman" w:hAnsi="Times New Roman" w:eastAsia="宋体"/>
                <w:b w:val="0"/>
                <w:sz w:val="21"/>
              </w:rPr>
              <w:t>按主装置、公用工程、配套系统和移交顺序分区推进，并考虑成套包界面协调、现场安装和系统完善的实际工作量</w:t>
            </w:r>
          </w:p>
        </w:tc>
      </w:tr>
      <w:tr>
        <w:tc>
          <w:tcPr>
            <w:tcW w:type="dxa" w:w="2929"/>
          </w:tcPr>
          <w:p>
            <w:pPr>
              <w:spacing w:lineRule="exact" w:line="320"/>
            </w:pPr>
            <w:r>
              <w:rPr>
                <w:rFonts w:ascii="Times New Roman" w:hAnsi="Times New Roman" w:eastAsia="宋体"/>
                <w:b w:val="0"/>
                <w:sz w:val="21"/>
              </w:rPr>
              <w:t>机械竣工至完工证书周期</w:t>
            </w:r>
          </w:p>
        </w:tc>
        <w:tc>
          <w:tcPr>
            <w:tcW w:type="dxa" w:w="2929"/>
          </w:tcPr>
          <w:p>
            <w:pPr>
              <w:spacing w:lineRule="exact" w:line="320"/>
            </w:pPr>
            <w:r>
              <w:rPr>
                <w:rFonts w:ascii="Times New Roman" w:hAnsi="Times New Roman" w:eastAsia="宋体"/>
                <w:b w:val="0"/>
                <w:sz w:val="21"/>
              </w:rPr>
              <w:t>4 个月</w:t>
            </w:r>
          </w:p>
        </w:tc>
        <w:tc>
          <w:tcPr>
            <w:tcW w:type="dxa" w:w="2929"/>
          </w:tcPr>
          <w:p>
            <w:pPr>
              <w:spacing w:lineRule="exact" w:line="320"/>
            </w:pPr>
            <w:r>
              <w:rPr>
                <w:rFonts w:ascii="Times New Roman" w:hAnsi="Times New Roman" w:eastAsia="宋体"/>
                <w:b w:val="0"/>
                <w:sz w:val="21"/>
              </w:rPr>
              <w:t>应覆盖专项验收、CCC、整改关闭和完工证书办理，不宜放到机械竣工后再被动启动</w:t>
            </w:r>
          </w:p>
        </w:tc>
      </w:tr>
    </w:tbl>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c>
          <w:tcPr>
            <w:tcW w:type="dxa" w:w="2929"/>
          </w:tcPr>
          <w:p>
            <w:pPr>
              <w:spacing w:lineRule="exact" w:line="320"/>
              <w:jc w:val="center"/>
            </w:pPr>
            <w:r>
              <w:rPr>
                <w:rFonts w:ascii="Times New Roman" w:hAnsi="Times New Roman" w:eastAsia="黑体"/>
                <w:b/>
                <w:sz w:val="21"/>
              </w:rPr>
              <w:t>主控节点</w:t>
            </w:r>
          </w:p>
        </w:tc>
        <w:tc>
          <w:tcPr>
            <w:tcW w:type="dxa" w:w="2929"/>
          </w:tcPr>
          <w:p>
            <w:pPr>
              <w:spacing w:lineRule="exact" w:line="320"/>
              <w:jc w:val="center"/>
            </w:pPr>
            <w:r>
              <w:rPr>
                <w:rFonts w:ascii="Times New Roman" w:hAnsi="Times New Roman" w:eastAsia="黑体"/>
                <w:b/>
                <w:sz w:val="21"/>
              </w:rPr>
              <w:t>建议控制目标</w:t>
            </w:r>
          </w:p>
        </w:tc>
        <w:tc>
          <w:tcPr>
            <w:tcW w:type="dxa" w:w="2929"/>
          </w:tcPr>
          <w:p>
            <w:pPr>
              <w:spacing w:lineRule="exact" w:line="320"/>
              <w:jc w:val="center"/>
            </w:pPr>
            <w:r>
              <w:rPr>
                <w:rFonts w:ascii="Times New Roman" w:hAnsi="Times New Roman" w:eastAsia="黑体"/>
                <w:b/>
                <w:sz w:val="21"/>
              </w:rPr>
              <w:t>说明</w:t>
            </w:r>
          </w:p>
        </w:tc>
      </w:tr>
      <w:tr>
        <w:tc>
          <w:tcPr>
            <w:tcW w:type="dxa" w:w="2929"/>
          </w:tcPr>
          <w:p>
            <w:pPr>
              <w:spacing w:lineRule="exact" w:line="320"/>
            </w:pPr>
            <w:r>
              <w:rPr>
                <w:rFonts w:ascii="Times New Roman" w:hAnsi="Times New Roman" w:eastAsia="宋体"/>
                <w:b w:val="0"/>
                <w:sz w:val="21"/>
              </w:rPr>
              <w:t>打桩开工</w:t>
            </w:r>
          </w:p>
        </w:tc>
        <w:tc>
          <w:tcPr>
            <w:tcW w:type="dxa" w:w="2929"/>
          </w:tcPr>
          <w:p>
            <w:pPr>
              <w:spacing w:lineRule="exact" w:line="320"/>
            </w:pPr>
            <w:r>
              <w:rPr>
                <w:rFonts w:ascii="Times New Roman" w:hAnsi="Times New Roman" w:eastAsia="宋体"/>
                <w:b w:val="0"/>
                <w:sz w:val="21"/>
              </w:rPr>
              <w:t>项目主控起点</w:t>
            </w:r>
          </w:p>
        </w:tc>
        <w:tc>
          <w:tcPr>
            <w:tcW w:type="dxa" w:w="2929"/>
          </w:tcPr>
          <w:p>
            <w:pPr>
              <w:spacing w:lineRule="exact" w:line="320"/>
            </w:pPr>
            <w:r>
              <w:rPr>
                <w:rFonts w:ascii="Times New Roman" w:hAnsi="Times New Roman" w:eastAsia="宋体"/>
                <w:b w:val="0"/>
                <w:sz w:val="21"/>
              </w:rPr>
              <w:t>作为整体工期起算基准</w:t>
            </w:r>
          </w:p>
        </w:tc>
      </w:tr>
      <w:tr>
        <w:tc>
          <w:tcPr>
            <w:tcW w:type="dxa" w:w="2929"/>
          </w:tcPr>
          <w:p>
            <w:pPr>
              <w:spacing w:lineRule="exact" w:line="320"/>
            </w:pPr>
            <w:r>
              <w:rPr>
                <w:rFonts w:ascii="Times New Roman" w:hAnsi="Times New Roman" w:eastAsia="宋体"/>
                <w:b w:val="0"/>
                <w:sz w:val="21"/>
              </w:rPr>
              <w:t>机械竣工</w:t>
            </w:r>
          </w:p>
        </w:tc>
        <w:tc>
          <w:tcPr>
            <w:tcW w:type="dxa" w:w="2929"/>
          </w:tcPr>
          <w:p>
            <w:pPr>
              <w:spacing w:lineRule="exact" w:line="320"/>
            </w:pPr>
            <w:r>
              <w:rPr>
                <w:rFonts w:ascii="Times New Roman" w:hAnsi="Times New Roman" w:eastAsia="宋体"/>
                <w:b w:val="0"/>
                <w:sz w:val="21"/>
              </w:rPr>
              <w:t>打桩开始后 26 个月内</w:t>
            </w:r>
          </w:p>
        </w:tc>
        <w:tc>
          <w:tcPr>
            <w:tcW w:type="dxa" w:w="2929"/>
          </w:tcPr>
          <w:p>
            <w:pPr>
              <w:spacing w:lineRule="exact" w:line="320"/>
            </w:pPr>
            <w:r>
              <w:rPr>
                <w:rFonts w:ascii="Times New Roman" w:hAnsi="Times New Roman" w:eastAsia="宋体"/>
                <w:b w:val="0"/>
                <w:sz w:val="21"/>
              </w:rPr>
              <w:t>作为项目阶段控制节点</w:t>
            </w:r>
          </w:p>
        </w:tc>
      </w:tr>
      <w:tr>
        <w:tc>
          <w:tcPr>
            <w:tcW w:type="dxa" w:w="2929"/>
          </w:tcPr>
          <w:p>
            <w:pPr>
              <w:spacing w:lineRule="exact" w:line="320"/>
            </w:pPr>
            <w:r>
              <w:rPr>
                <w:rFonts w:ascii="Times New Roman" w:hAnsi="Times New Roman" w:eastAsia="宋体"/>
                <w:b w:val="0"/>
                <w:sz w:val="21"/>
              </w:rPr>
              <w:t>完工证书</w:t>
            </w:r>
          </w:p>
        </w:tc>
        <w:tc>
          <w:tcPr>
            <w:tcW w:type="dxa" w:w="2929"/>
          </w:tcPr>
          <w:p>
            <w:pPr>
              <w:spacing w:lineRule="exact" w:line="320"/>
            </w:pPr>
            <w:r>
              <w:rPr>
                <w:rFonts w:ascii="Times New Roman" w:hAnsi="Times New Roman" w:eastAsia="宋体"/>
                <w:b w:val="0"/>
                <w:sz w:val="21"/>
              </w:rPr>
              <w:t>机械竣工后 4 个月内</w:t>
            </w:r>
          </w:p>
        </w:tc>
        <w:tc>
          <w:tcPr>
            <w:tcW w:type="dxa" w:w="2929"/>
          </w:tcPr>
          <w:p>
            <w:pPr>
              <w:spacing w:lineRule="exact" w:line="320"/>
            </w:pPr>
            <w:r>
              <w:rPr>
                <w:rFonts w:ascii="Times New Roman" w:hAnsi="Times New Roman" w:eastAsia="宋体"/>
                <w:b w:val="0"/>
                <w:sz w:val="21"/>
              </w:rPr>
              <w:t>覆盖专项验收、CCC 和完工证书办理</w:t>
            </w:r>
          </w:p>
        </w:tc>
      </w:tr>
    </w:tbl>
    <w:p/>
    <w:p>
      <w:pPr>
        <w:spacing w:before="120" w:after="40" w:lineRule="exact" w:line="400"/>
      </w:pPr>
      <w:r>
        <w:rPr>
          <w:rFonts w:ascii="Times New Roman" w:hAnsi="Times New Roman" w:eastAsia="黑体"/>
          <w:b/>
          <w:sz w:val="24"/>
        </w:rPr>
        <w:t>2. 关键路径建议</w:t>
      </w:r>
    </w:p>
    <w:p>
      <w:pPr>
        <w:spacing w:before="0" w:after="0" w:lineRule="exact" w:line="400"/>
        <w:ind w:firstLine="420"/>
      </w:pPr>
      <w:r>
        <w:rPr>
          <w:rFonts w:ascii="Times New Roman" w:hAnsi="Times New Roman" w:eastAsia="宋体"/>
          <w:b w:val="0"/>
          <w:sz w:val="24"/>
        </w:rPr>
        <w:t>本项目关键路径不宜只按主装置单线理解，建议至少按四条主线同步策划。第一条是主装置路径，覆盖主装置前序条件释放、关键设备安装、工艺管道、电仪接线、机械竣工和装置接收。第二条是公用工程路径，覆盖变配电、消防水、冷却水、水处理、工厂风和仪表风、氮气等系统形成条件。第三条是配套和厂外连接路径，覆盖罐区、装卸设施、管廊、厂外管线、码头连接、外部公用工程接入以及相关第三方协调。第四条是关键物资释放路径，覆盖关键设备、地管材料、钢结构、预制材料和关键电仪设备到场顺序。项目初期可由主装置路径主导，中后期则往往转化为主装置、公用工程、厂外连接和移交多路径并行收紧。</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关键路径</w:t>
            </w:r>
          </w:p>
        </w:tc>
        <w:tc>
          <w:tcPr>
            <w:tcW w:type="dxa" w:w="2197"/>
          </w:tcPr>
          <w:p>
            <w:pPr>
              <w:spacing w:lineRule="exact" w:line="320"/>
              <w:jc w:val="center"/>
            </w:pPr>
            <w:r>
              <w:rPr>
                <w:rFonts w:ascii="Times New Roman" w:hAnsi="Times New Roman" w:eastAsia="黑体"/>
                <w:b/>
                <w:sz w:val="21"/>
              </w:rPr>
              <w:t>主要内容</w:t>
            </w:r>
          </w:p>
        </w:tc>
        <w:tc>
          <w:tcPr>
            <w:tcW w:type="dxa" w:w="2197"/>
          </w:tcPr>
          <w:p>
            <w:pPr>
              <w:spacing w:lineRule="exact" w:line="320"/>
              <w:jc w:val="center"/>
            </w:pPr>
            <w:r>
              <w:rPr>
                <w:rFonts w:ascii="Times New Roman" w:hAnsi="Times New Roman" w:eastAsia="黑体"/>
                <w:b/>
                <w:sz w:val="21"/>
              </w:rPr>
              <w:t>建议控制周期</w:t>
            </w:r>
          </w:p>
        </w:tc>
        <w:tc>
          <w:tcPr>
            <w:tcW w:type="dxa" w:w="2197"/>
          </w:tcPr>
          <w:p>
            <w:pPr>
              <w:spacing w:lineRule="exact" w:line="320"/>
              <w:jc w:val="center"/>
            </w:pPr>
            <w:r>
              <w:rPr>
                <w:rFonts w:ascii="Times New Roman" w:hAnsi="Times New Roman" w:eastAsia="黑体"/>
                <w:b/>
                <w:sz w:val="21"/>
              </w:rPr>
              <w:t>说明</w:t>
            </w:r>
          </w:p>
        </w:tc>
      </w:tr>
      <w:tr>
        <w:tc>
          <w:tcPr>
            <w:tcW w:type="dxa" w:w="2197"/>
          </w:tcPr>
          <w:p>
            <w:pPr>
              <w:spacing w:lineRule="exact" w:line="320"/>
            </w:pPr>
            <w:r>
              <w:rPr>
                <w:rFonts w:ascii="Times New Roman" w:hAnsi="Times New Roman" w:eastAsia="宋体"/>
                <w:b w:val="0"/>
                <w:sz w:val="21"/>
              </w:rPr>
              <w:t>主装置路径</w:t>
            </w:r>
          </w:p>
        </w:tc>
        <w:tc>
          <w:tcPr>
            <w:tcW w:type="dxa" w:w="2197"/>
          </w:tcPr>
          <w:p>
            <w:pPr>
              <w:spacing w:lineRule="exact" w:line="320"/>
            </w:pPr>
            <w:r>
              <w:rPr>
                <w:rFonts w:ascii="Times New Roman" w:hAnsi="Times New Roman" w:eastAsia="宋体"/>
                <w:b w:val="0"/>
                <w:sz w:val="21"/>
              </w:rPr>
              <w:t>主装置前序条件释放、关键设备安装、工艺管道、电仪接线、机械竣工和装置接收</w:t>
            </w:r>
          </w:p>
        </w:tc>
        <w:tc>
          <w:tcPr>
            <w:tcW w:type="dxa" w:w="2197"/>
          </w:tcPr>
          <w:p>
            <w:pPr>
              <w:spacing w:lineRule="exact" w:line="320"/>
            </w:pPr>
            <w:r>
              <w:rPr>
                <w:rFonts w:ascii="Times New Roman" w:hAnsi="Times New Roman" w:eastAsia="宋体"/>
                <w:b w:val="0"/>
                <w:sz w:val="21"/>
              </w:rPr>
              <w:t>约 18 至 20 个月</w:t>
            </w:r>
          </w:p>
        </w:tc>
        <w:tc>
          <w:tcPr>
            <w:tcW w:type="dxa" w:w="2197"/>
          </w:tcPr>
          <w:p>
            <w:pPr>
              <w:spacing w:lineRule="exact" w:line="320"/>
            </w:pPr>
            <w:r>
              <w:rPr>
                <w:rFonts w:ascii="Times New Roman" w:hAnsi="Times New Roman" w:eastAsia="宋体"/>
                <w:b w:val="0"/>
                <w:sz w:val="21"/>
              </w:rPr>
              <w:t>是机械竣工前最核心的控制线之一</w:t>
            </w:r>
          </w:p>
        </w:tc>
      </w:tr>
      <w:tr>
        <w:tc>
          <w:tcPr>
            <w:tcW w:type="dxa" w:w="2197"/>
          </w:tcPr>
          <w:p>
            <w:pPr>
              <w:spacing w:lineRule="exact" w:line="320"/>
            </w:pPr>
            <w:r>
              <w:rPr>
                <w:rFonts w:ascii="Times New Roman" w:hAnsi="Times New Roman" w:eastAsia="宋体"/>
                <w:b w:val="0"/>
                <w:sz w:val="21"/>
              </w:rPr>
              <w:t>公用工程路径</w:t>
            </w:r>
          </w:p>
        </w:tc>
        <w:tc>
          <w:tcPr>
            <w:tcW w:type="dxa" w:w="2197"/>
          </w:tcPr>
          <w:p>
            <w:pPr>
              <w:spacing w:lineRule="exact" w:line="320"/>
            </w:pPr>
            <w:r>
              <w:rPr>
                <w:rFonts w:ascii="Times New Roman" w:hAnsi="Times New Roman" w:eastAsia="宋体"/>
                <w:b w:val="0"/>
                <w:sz w:val="21"/>
              </w:rPr>
              <w:t>变配电、消防水、冷却水、水处理、工厂风/仪表风、氮气等系统形成条件</w:t>
            </w:r>
          </w:p>
        </w:tc>
        <w:tc>
          <w:tcPr>
            <w:tcW w:type="dxa" w:w="2197"/>
          </w:tcPr>
          <w:p>
            <w:pPr>
              <w:spacing w:lineRule="exact" w:line="320"/>
            </w:pPr>
            <w:r>
              <w:rPr>
                <w:rFonts w:ascii="Times New Roman" w:hAnsi="Times New Roman" w:eastAsia="宋体"/>
                <w:b w:val="0"/>
                <w:sz w:val="21"/>
              </w:rPr>
              <w:t>约 20 至 22 个月</w:t>
            </w:r>
          </w:p>
        </w:tc>
        <w:tc>
          <w:tcPr>
            <w:tcW w:type="dxa" w:w="2197"/>
          </w:tcPr>
          <w:p>
            <w:pPr>
              <w:spacing w:lineRule="exact" w:line="320"/>
            </w:pPr>
            <w:r>
              <w:rPr>
                <w:rFonts w:ascii="Times New Roman" w:hAnsi="Times New Roman" w:eastAsia="宋体"/>
                <w:b w:val="0"/>
                <w:sz w:val="21"/>
              </w:rPr>
              <w:t>往往在中后期转为决定全厂条件形成的关键路径</w:t>
            </w:r>
          </w:p>
        </w:tc>
      </w:tr>
      <w:tr>
        <w:tc>
          <w:tcPr>
            <w:tcW w:type="dxa" w:w="2197"/>
          </w:tcPr>
          <w:p>
            <w:pPr>
              <w:spacing w:lineRule="exact" w:line="320"/>
            </w:pPr>
            <w:r>
              <w:rPr>
                <w:rFonts w:ascii="Times New Roman" w:hAnsi="Times New Roman" w:eastAsia="宋体"/>
                <w:b w:val="0"/>
                <w:sz w:val="21"/>
              </w:rPr>
              <w:t>配套与厂外连接路径</w:t>
            </w:r>
          </w:p>
        </w:tc>
        <w:tc>
          <w:tcPr>
            <w:tcW w:type="dxa" w:w="2197"/>
          </w:tcPr>
          <w:p>
            <w:pPr>
              <w:spacing w:lineRule="exact" w:line="320"/>
            </w:pPr>
            <w:r>
              <w:rPr>
                <w:rFonts w:ascii="Times New Roman" w:hAnsi="Times New Roman" w:eastAsia="宋体"/>
                <w:b w:val="0"/>
                <w:sz w:val="21"/>
              </w:rPr>
              <w:t>罐区、装卸设施、管廊、厂外管线、码头连接、外部公用工程接入、第三方协调</w:t>
            </w:r>
          </w:p>
        </w:tc>
        <w:tc>
          <w:tcPr>
            <w:tcW w:type="dxa" w:w="2197"/>
          </w:tcPr>
          <w:p>
            <w:pPr>
              <w:spacing w:lineRule="exact" w:line="320"/>
            </w:pPr>
            <w:r>
              <w:rPr>
                <w:rFonts w:ascii="Times New Roman" w:hAnsi="Times New Roman" w:eastAsia="宋体"/>
                <w:b w:val="0"/>
                <w:sz w:val="21"/>
              </w:rPr>
              <w:t>约 22 至 26 个月</w:t>
            </w:r>
          </w:p>
        </w:tc>
        <w:tc>
          <w:tcPr>
            <w:tcW w:type="dxa" w:w="2197"/>
          </w:tcPr>
          <w:p>
            <w:pPr>
              <w:spacing w:lineRule="exact" w:line="320"/>
            </w:pPr>
            <w:r>
              <w:rPr>
                <w:rFonts w:ascii="Times New Roman" w:hAnsi="Times New Roman" w:eastAsia="宋体"/>
                <w:b w:val="0"/>
                <w:sz w:val="21"/>
              </w:rPr>
              <w:t>容易在后期由次要路径转为最终控制路径</w:t>
            </w:r>
          </w:p>
        </w:tc>
      </w:tr>
      <w:tr>
        <w:tc>
          <w:tcPr>
            <w:tcW w:type="dxa" w:w="2197"/>
          </w:tcPr>
          <w:p>
            <w:pPr>
              <w:spacing w:lineRule="exact" w:line="320"/>
            </w:pPr>
            <w:r>
              <w:rPr>
                <w:rFonts w:ascii="Times New Roman" w:hAnsi="Times New Roman" w:eastAsia="宋体"/>
                <w:b w:val="0"/>
                <w:sz w:val="21"/>
              </w:rPr>
              <w:t>关键物资释放路径</w:t>
            </w:r>
          </w:p>
        </w:tc>
        <w:tc>
          <w:tcPr>
            <w:tcW w:type="dxa" w:w="2197"/>
          </w:tcPr>
          <w:p>
            <w:pPr>
              <w:spacing w:lineRule="exact" w:line="320"/>
            </w:pPr>
            <w:r>
              <w:rPr>
                <w:rFonts w:ascii="Times New Roman" w:hAnsi="Times New Roman" w:eastAsia="宋体"/>
                <w:b w:val="0"/>
                <w:sz w:val="21"/>
              </w:rPr>
              <w:t>关键设备、地管材料、钢结构、预制材料和关键电仪设备到场顺序</w:t>
            </w:r>
          </w:p>
        </w:tc>
        <w:tc>
          <w:tcPr>
            <w:tcW w:type="dxa" w:w="2197"/>
          </w:tcPr>
          <w:p>
            <w:pPr>
              <w:spacing w:lineRule="exact" w:line="320"/>
            </w:pPr>
            <w:r>
              <w:rPr>
                <w:rFonts w:ascii="Times New Roman" w:hAnsi="Times New Roman" w:eastAsia="宋体"/>
                <w:b w:val="0"/>
                <w:sz w:val="21"/>
              </w:rPr>
              <w:t>约 6 至 18 个月滚动控制</w:t>
            </w:r>
          </w:p>
        </w:tc>
        <w:tc>
          <w:tcPr>
            <w:tcW w:type="dxa" w:w="2197"/>
          </w:tcPr>
          <w:p>
            <w:pPr>
              <w:spacing w:lineRule="exact" w:line="320"/>
            </w:pPr>
            <w:r>
              <w:rPr>
                <w:rFonts w:ascii="Times New Roman" w:hAnsi="Times New Roman" w:eastAsia="宋体"/>
                <w:b w:val="0"/>
                <w:sz w:val="21"/>
              </w:rPr>
              <w:t>贯穿采购、物流和安装全过程，决定多条路径是否能连续推进</w:t>
            </w:r>
          </w:p>
        </w:tc>
      </w:tr>
    </w:tbl>
    <w:p/>
    <w:p>
      <w:pPr>
        <w:spacing w:before="120" w:after="40" w:lineRule="exact" w:line="400"/>
      </w:pPr>
      <w:r>
        <w:rPr>
          <w:rFonts w:ascii="Times New Roman" w:hAnsi="Times New Roman" w:eastAsia="黑体"/>
          <w:b/>
          <w:sz w:val="24"/>
        </w:rPr>
        <w:t>3. 可能影响进度的主要因素</w:t>
      </w:r>
    </w:p>
    <w:p>
      <w:pPr>
        <w:spacing w:before="0" w:after="0" w:lineRule="exact" w:line="400"/>
        <w:ind w:firstLine="420"/>
      </w:pPr>
      <w:r>
        <w:rPr>
          <w:rFonts w:ascii="Times New Roman" w:hAnsi="Times New Roman" w:eastAsia="宋体"/>
          <w:b w:val="0"/>
          <w:sz w:val="24"/>
        </w:rPr>
        <w:t>过往项目中，影响进度的因素主要集中在五类。第一，公用工程形成条件偏晚，例如变电站、消防水、冷却水、水处理等系统晚于原计划完成，直接拉长全厂机械竣工和系统移交时间。第二，地管和地下前序条件滞后，压缩后续设备周边完善和地上安装窗口。第三，关键物资到货与施工窗口错位，尤其是地管材料、钢结构、预制材料和少数关键设备，导致部分区域虽已具备部分条件但无法连续施工。第四，厂外管线、码头连接、外部公用工程接入和第三方协调偏慢，容易在项目后期由次要路径转化为主要路径。第五，当地专项验收和 CCC 启动偏晚，会在机械竣工之后继续占用收尾时间，影响合法投产和正式移交。</w:t>
      </w:r>
    </w:p>
    <w:p>
      <w:pPr>
        <w:spacing w:before="120" w:after="40" w:lineRule="exact" w:line="400"/>
      </w:pPr>
      <w:r>
        <w:rPr>
          <w:rFonts w:ascii="Times New Roman" w:hAnsi="Times New Roman" w:eastAsia="黑体"/>
          <w:b/>
          <w:sz w:val="24"/>
        </w:rPr>
        <w:t>4. 过往项目典型例子</w:t>
      </w:r>
    </w:p>
    <w:p>
      <w:pPr>
        <w:spacing w:before="0" w:after="0" w:lineRule="exact" w:line="400"/>
        <w:ind w:firstLine="420"/>
      </w:pPr>
      <w:r>
        <w:rPr>
          <w:rFonts w:ascii="Times New Roman" w:hAnsi="Times New Roman" w:eastAsia="宋体"/>
          <w:b w:val="0"/>
          <w:sz w:val="24"/>
        </w:rPr>
        <w:t>过往项目中，公用工程和配套系统的延误较为典型。变电站系统级机械竣工里程碑由 `2024年10月15日` 调整为 `2025年7月22日`，延后约 `280 天`；消防水系统由 `2024年12月13日` 调整为 `2025年8月7日`，延后约 `237 天`；厂外管线系统由 `2025年3月31日` 调整为 `2025年10月16日`，延后约 `199 天`；冷却水系统由 `2024年10月25日` 调整为 `2025年5月9日`，延后约 `196 天`；城市水及 `DI` 水系统由 `2024年11月29日` 调整为 `2025年6月5日`，延后约 `188 天`。地管样本中，辅助区地管安装及试压由 `2024年4月25日` 延后至 `2024年9月14日`，延后约 `142 天`；回填由 `2024年4月27日` 延后至 `2024年9月16日`，延后约 `142 天`；其他区域地管延后也普遍在 `50 天` 以上。土建包基准完成时间为 `2024年2月28日`，预测完成时间调整为 `2024年6月5日`，较基准延后约 `98 天`。当地验收方面，质量资料显示政府专项验收和 CCC 通常至少需要 `3 至 4 个月`，并且在 CCC 之前还需完成消防、DOSH、环境及地方政府等多项专项验收，因此当地验收不能放在最后单独处理，而应在后期工程收尾阶段同步启动。</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典型事项</w:t>
            </w:r>
          </w:p>
        </w:tc>
        <w:tc>
          <w:tcPr>
            <w:tcW w:type="dxa" w:w="2197"/>
          </w:tcPr>
          <w:p>
            <w:pPr>
              <w:spacing w:lineRule="exact" w:line="320"/>
              <w:jc w:val="center"/>
            </w:pPr>
            <w:r>
              <w:rPr>
                <w:rFonts w:ascii="Times New Roman" w:hAnsi="Times New Roman" w:eastAsia="黑体"/>
                <w:b/>
                <w:sz w:val="21"/>
              </w:rPr>
              <w:t>原计划/基准</w:t>
            </w:r>
          </w:p>
        </w:tc>
        <w:tc>
          <w:tcPr>
            <w:tcW w:type="dxa" w:w="2197"/>
          </w:tcPr>
          <w:p>
            <w:pPr>
              <w:spacing w:lineRule="exact" w:line="320"/>
              <w:jc w:val="center"/>
            </w:pPr>
            <w:r>
              <w:rPr>
                <w:rFonts w:ascii="Times New Roman" w:hAnsi="Times New Roman" w:eastAsia="黑体"/>
                <w:b/>
                <w:sz w:val="21"/>
              </w:rPr>
              <w:t>调整后</w:t>
            </w:r>
          </w:p>
        </w:tc>
        <w:tc>
          <w:tcPr>
            <w:tcW w:type="dxa" w:w="2197"/>
          </w:tcPr>
          <w:p>
            <w:pPr>
              <w:spacing w:lineRule="exact" w:line="320"/>
              <w:jc w:val="center"/>
            </w:pPr>
            <w:r>
              <w:rPr>
                <w:rFonts w:ascii="Times New Roman" w:hAnsi="Times New Roman" w:eastAsia="黑体"/>
                <w:b/>
                <w:sz w:val="21"/>
              </w:rPr>
              <w:t>延后情况</w:t>
            </w:r>
          </w:p>
        </w:tc>
      </w:tr>
      <w:tr>
        <w:tc>
          <w:tcPr>
            <w:tcW w:type="dxa" w:w="2197"/>
          </w:tcPr>
          <w:p>
            <w:pPr>
              <w:spacing w:lineRule="exact" w:line="320"/>
            </w:pPr>
            <w:r>
              <w:rPr>
                <w:rFonts w:ascii="Times New Roman" w:hAnsi="Times New Roman" w:eastAsia="宋体"/>
                <w:b w:val="0"/>
                <w:sz w:val="21"/>
              </w:rPr>
              <w:t>变电站系统机械竣工</w:t>
            </w:r>
          </w:p>
        </w:tc>
        <w:tc>
          <w:tcPr>
            <w:tcW w:type="dxa" w:w="2197"/>
          </w:tcPr>
          <w:p>
            <w:pPr>
              <w:spacing w:lineRule="exact" w:line="320"/>
            </w:pPr>
            <w:r>
              <w:rPr>
                <w:rFonts w:ascii="Times New Roman" w:hAnsi="Times New Roman" w:eastAsia="宋体"/>
                <w:b w:val="0"/>
                <w:sz w:val="21"/>
              </w:rPr>
              <w:t>2024-10-15</w:t>
            </w:r>
          </w:p>
        </w:tc>
        <w:tc>
          <w:tcPr>
            <w:tcW w:type="dxa" w:w="2197"/>
          </w:tcPr>
          <w:p>
            <w:pPr>
              <w:spacing w:lineRule="exact" w:line="320"/>
            </w:pPr>
            <w:r>
              <w:rPr>
                <w:rFonts w:ascii="Times New Roman" w:hAnsi="Times New Roman" w:eastAsia="宋体"/>
                <w:b w:val="0"/>
                <w:sz w:val="21"/>
              </w:rPr>
              <w:t>2025-07-22</w:t>
            </w:r>
          </w:p>
        </w:tc>
        <w:tc>
          <w:tcPr>
            <w:tcW w:type="dxa" w:w="2197"/>
          </w:tcPr>
          <w:p>
            <w:pPr>
              <w:spacing w:lineRule="exact" w:line="320"/>
            </w:pPr>
            <w:r>
              <w:rPr>
                <w:rFonts w:ascii="Times New Roman" w:hAnsi="Times New Roman" w:eastAsia="宋体"/>
                <w:b w:val="0"/>
                <w:sz w:val="21"/>
              </w:rPr>
              <w:t>约 280 天</w:t>
            </w:r>
          </w:p>
        </w:tc>
      </w:tr>
      <w:tr>
        <w:tc>
          <w:tcPr>
            <w:tcW w:type="dxa" w:w="2197"/>
          </w:tcPr>
          <w:p>
            <w:pPr>
              <w:spacing w:lineRule="exact" w:line="320"/>
            </w:pPr>
            <w:r>
              <w:rPr>
                <w:rFonts w:ascii="Times New Roman" w:hAnsi="Times New Roman" w:eastAsia="宋体"/>
                <w:b w:val="0"/>
                <w:sz w:val="21"/>
              </w:rPr>
              <w:t>消防水系统机械竣工</w:t>
            </w:r>
          </w:p>
        </w:tc>
        <w:tc>
          <w:tcPr>
            <w:tcW w:type="dxa" w:w="2197"/>
          </w:tcPr>
          <w:p>
            <w:pPr>
              <w:spacing w:lineRule="exact" w:line="320"/>
            </w:pPr>
            <w:r>
              <w:rPr>
                <w:rFonts w:ascii="Times New Roman" w:hAnsi="Times New Roman" w:eastAsia="宋体"/>
                <w:b w:val="0"/>
                <w:sz w:val="21"/>
              </w:rPr>
              <w:t>2024-12-13</w:t>
            </w:r>
          </w:p>
        </w:tc>
        <w:tc>
          <w:tcPr>
            <w:tcW w:type="dxa" w:w="2197"/>
          </w:tcPr>
          <w:p>
            <w:pPr>
              <w:spacing w:lineRule="exact" w:line="320"/>
            </w:pPr>
            <w:r>
              <w:rPr>
                <w:rFonts w:ascii="Times New Roman" w:hAnsi="Times New Roman" w:eastAsia="宋体"/>
                <w:b w:val="0"/>
                <w:sz w:val="21"/>
              </w:rPr>
              <w:t>2025-08-07</w:t>
            </w:r>
          </w:p>
        </w:tc>
        <w:tc>
          <w:tcPr>
            <w:tcW w:type="dxa" w:w="2197"/>
          </w:tcPr>
          <w:p>
            <w:pPr>
              <w:spacing w:lineRule="exact" w:line="320"/>
            </w:pPr>
            <w:r>
              <w:rPr>
                <w:rFonts w:ascii="Times New Roman" w:hAnsi="Times New Roman" w:eastAsia="宋体"/>
                <w:b w:val="0"/>
                <w:sz w:val="21"/>
              </w:rPr>
              <w:t>约 237 天</w:t>
            </w:r>
          </w:p>
        </w:tc>
      </w:tr>
      <w:tr>
        <w:tc>
          <w:tcPr>
            <w:tcW w:type="dxa" w:w="2197"/>
          </w:tcPr>
          <w:p>
            <w:pPr>
              <w:spacing w:lineRule="exact" w:line="320"/>
            </w:pPr>
            <w:r>
              <w:rPr>
                <w:rFonts w:ascii="Times New Roman" w:hAnsi="Times New Roman" w:eastAsia="宋体"/>
                <w:b w:val="0"/>
                <w:sz w:val="21"/>
              </w:rPr>
              <w:t>厂外管线系统机械竣工</w:t>
            </w:r>
          </w:p>
        </w:tc>
        <w:tc>
          <w:tcPr>
            <w:tcW w:type="dxa" w:w="2197"/>
          </w:tcPr>
          <w:p>
            <w:pPr>
              <w:spacing w:lineRule="exact" w:line="320"/>
            </w:pPr>
            <w:r>
              <w:rPr>
                <w:rFonts w:ascii="Times New Roman" w:hAnsi="Times New Roman" w:eastAsia="宋体"/>
                <w:b w:val="0"/>
                <w:sz w:val="21"/>
              </w:rPr>
              <w:t>2025-03-31</w:t>
            </w:r>
          </w:p>
        </w:tc>
        <w:tc>
          <w:tcPr>
            <w:tcW w:type="dxa" w:w="2197"/>
          </w:tcPr>
          <w:p>
            <w:pPr>
              <w:spacing w:lineRule="exact" w:line="320"/>
            </w:pPr>
            <w:r>
              <w:rPr>
                <w:rFonts w:ascii="Times New Roman" w:hAnsi="Times New Roman" w:eastAsia="宋体"/>
                <w:b w:val="0"/>
                <w:sz w:val="21"/>
              </w:rPr>
              <w:t>2025-10-16</w:t>
            </w:r>
          </w:p>
        </w:tc>
        <w:tc>
          <w:tcPr>
            <w:tcW w:type="dxa" w:w="2197"/>
          </w:tcPr>
          <w:p>
            <w:pPr>
              <w:spacing w:lineRule="exact" w:line="320"/>
            </w:pPr>
            <w:r>
              <w:rPr>
                <w:rFonts w:ascii="Times New Roman" w:hAnsi="Times New Roman" w:eastAsia="宋体"/>
                <w:b w:val="0"/>
                <w:sz w:val="21"/>
              </w:rPr>
              <w:t>约 199 天</w:t>
            </w:r>
          </w:p>
        </w:tc>
      </w:tr>
      <w:tr>
        <w:tc>
          <w:tcPr>
            <w:tcW w:type="dxa" w:w="2197"/>
          </w:tcPr>
          <w:p>
            <w:pPr>
              <w:spacing w:lineRule="exact" w:line="320"/>
            </w:pPr>
            <w:r>
              <w:rPr>
                <w:rFonts w:ascii="Times New Roman" w:hAnsi="Times New Roman" w:eastAsia="宋体"/>
                <w:b w:val="0"/>
                <w:sz w:val="21"/>
              </w:rPr>
              <w:t>冷却水系统机械竣工</w:t>
            </w:r>
          </w:p>
        </w:tc>
        <w:tc>
          <w:tcPr>
            <w:tcW w:type="dxa" w:w="2197"/>
          </w:tcPr>
          <w:p>
            <w:pPr>
              <w:spacing w:lineRule="exact" w:line="320"/>
            </w:pPr>
            <w:r>
              <w:rPr>
                <w:rFonts w:ascii="Times New Roman" w:hAnsi="Times New Roman" w:eastAsia="宋体"/>
                <w:b w:val="0"/>
                <w:sz w:val="21"/>
              </w:rPr>
              <w:t>2024-10-25</w:t>
            </w:r>
          </w:p>
        </w:tc>
        <w:tc>
          <w:tcPr>
            <w:tcW w:type="dxa" w:w="2197"/>
          </w:tcPr>
          <w:p>
            <w:pPr>
              <w:spacing w:lineRule="exact" w:line="320"/>
            </w:pPr>
            <w:r>
              <w:rPr>
                <w:rFonts w:ascii="Times New Roman" w:hAnsi="Times New Roman" w:eastAsia="宋体"/>
                <w:b w:val="0"/>
                <w:sz w:val="21"/>
              </w:rPr>
              <w:t>2025-05-09</w:t>
            </w:r>
          </w:p>
        </w:tc>
        <w:tc>
          <w:tcPr>
            <w:tcW w:type="dxa" w:w="2197"/>
          </w:tcPr>
          <w:p>
            <w:pPr>
              <w:spacing w:lineRule="exact" w:line="320"/>
            </w:pPr>
            <w:r>
              <w:rPr>
                <w:rFonts w:ascii="Times New Roman" w:hAnsi="Times New Roman" w:eastAsia="宋体"/>
                <w:b w:val="0"/>
                <w:sz w:val="21"/>
              </w:rPr>
              <w:t>约 196 天</w:t>
            </w:r>
          </w:p>
        </w:tc>
      </w:tr>
      <w:tr>
        <w:tc>
          <w:tcPr>
            <w:tcW w:type="dxa" w:w="2197"/>
          </w:tcPr>
          <w:p>
            <w:pPr>
              <w:spacing w:lineRule="exact" w:line="320"/>
            </w:pPr>
            <w:r>
              <w:rPr>
                <w:rFonts w:ascii="Times New Roman" w:hAnsi="Times New Roman" w:eastAsia="宋体"/>
                <w:b w:val="0"/>
                <w:sz w:val="21"/>
              </w:rPr>
              <w:t>城市水及 DI 水系统机械竣工</w:t>
            </w:r>
          </w:p>
        </w:tc>
        <w:tc>
          <w:tcPr>
            <w:tcW w:type="dxa" w:w="2197"/>
          </w:tcPr>
          <w:p>
            <w:pPr>
              <w:spacing w:lineRule="exact" w:line="320"/>
            </w:pPr>
            <w:r>
              <w:rPr>
                <w:rFonts w:ascii="Times New Roman" w:hAnsi="Times New Roman" w:eastAsia="宋体"/>
                <w:b w:val="0"/>
                <w:sz w:val="21"/>
              </w:rPr>
              <w:t>2024-11-29</w:t>
            </w:r>
          </w:p>
        </w:tc>
        <w:tc>
          <w:tcPr>
            <w:tcW w:type="dxa" w:w="2197"/>
          </w:tcPr>
          <w:p>
            <w:pPr>
              <w:spacing w:lineRule="exact" w:line="320"/>
            </w:pPr>
            <w:r>
              <w:rPr>
                <w:rFonts w:ascii="Times New Roman" w:hAnsi="Times New Roman" w:eastAsia="宋体"/>
                <w:b w:val="0"/>
                <w:sz w:val="21"/>
              </w:rPr>
              <w:t>2025-06-05</w:t>
            </w:r>
          </w:p>
        </w:tc>
        <w:tc>
          <w:tcPr>
            <w:tcW w:type="dxa" w:w="2197"/>
          </w:tcPr>
          <w:p>
            <w:pPr>
              <w:spacing w:lineRule="exact" w:line="320"/>
            </w:pPr>
            <w:r>
              <w:rPr>
                <w:rFonts w:ascii="Times New Roman" w:hAnsi="Times New Roman" w:eastAsia="宋体"/>
                <w:b w:val="0"/>
                <w:sz w:val="21"/>
              </w:rPr>
              <w:t>约 188 天</w:t>
            </w:r>
          </w:p>
        </w:tc>
      </w:tr>
      <w:tr>
        <w:tc>
          <w:tcPr>
            <w:tcW w:type="dxa" w:w="2197"/>
          </w:tcPr>
          <w:p>
            <w:pPr>
              <w:spacing w:lineRule="exact" w:line="320"/>
            </w:pPr>
            <w:r>
              <w:rPr>
                <w:rFonts w:ascii="Times New Roman" w:hAnsi="Times New Roman" w:eastAsia="宋体"/>
                <w:b w:val="0"/>
                <w:sz w:val="21"/>
              </w:rPr>
              <w:t>辅助区地管安装及试压</w:t>
            </w:r>
          </w:p>
        </w:tc>
        <w:tc>
          <w:tcPr>
            <w:tcW w:type="dxa" w:w="2197"/>
          </w:tcPr>
          <w:p>
            <w:pPr>
              <w:spacing w:lineRule="exact" w:line="320"/>
            </w:pPr>
            <w:r>
              <w:rPr>
                <w:rFonts w:ascii="Times New Roman" w:hAnsi="Times New Roman" w:eastAsia="宋体"/>
                <w:b w:val="0"/>
                <w:sz w:val="21"/>
              </w:rPr>
              <w:t>2024-04-25</w:t>
            </w:r>
          </w:p>
        </w:tc>
        <w:tc>
          <w:tcPr>
            <w:tcW w:type="dxa" w:w="2197"/>
          </w:tcPr>
          <w:p>
            <w:pPr>
              <w:spacing w:lineRule="exact" w:line="320"/>
            </w:pPr>
            <w:r>
              <w:rPr>
                <w:rFonts w:ascii="Times New Roman" w:hAnsi="Times New Roman" w:eastAsia="宋体"/>
                <w:b w:val="0"/>
                <w:sz w:val="21"/>
              </w:rPr>
              <w:t>2024-09-14</w:t>
            </w:r>
          </w:p>
        </w:tc>
        <w:tc>
          <w:tcPr>
            <w:tcW w:type="dxa" w:w="2197"/>
          </w:tcPr>
          <w:p>
            <w:pPr>
              <w:spacing w:lineRule="exact" w:line="320"/>
            </w:pPr>
            <w:r>
              <w:rPr>
                <w:rFonts w:ascii="Times New Roman" w:hAnsi="Times New Roman" w:eastAsia="宋体"/>
                <w:b w:val="0"/>
                <w:sz w:val="21"/>
              </w:rPr>
              <w:t>约 142 天</w:t>
            </w:r>
          </w:p>
        </w:tc>
      </w:tr>
      <w:tr>
        <w:tc>
          <w:tcPr>
            <w:tcW w:type="dxa" w:w="2197"/>
          </w:tcPr>
          <w:p>
            <w:pPr>
              <w:spacing w:lineRule="exact" w:line="320"/>
            </w:pPr>
            <w:r>
              <w:rPr>
                <w:rFonts w:ascii="Times New Roman" w:hAnsi="Times New Roman" w:eastAsia="宋体"/>
                <w:b w:val="0"/>
                <w:sz w:val="21"/>
              </w:rPr>
              <w:t>辅助区地管回填</w:t>
            </w:r>
          </w:p>
        </w:tc>
        <w:tc>
          <w:tcPr>
            <w:tcW w:type="dxa" w:w="2197"/>
          </w:tcPr>
          <w:p>
            <w:pPr>
              <w:spacing w:lineRule="exact" w:line="320"/>
            </w:pPr>
            <w:r>
              <w:rPr>
                <w:rFonts w:ascii="Times New Roman" w:hAnsi="Times New Roman" w:eastAsia="宋体"/>
                <w:b w:val="0"/>
                <w:sz w:val="21"/>
              </w:rPr>
              <w:t>2024-04-27</w:t>
            </w:r>
          </w:p>
        </w:tc>
        <w:tc>
          <w:tcPr>
            <w:tcW w:type="dxa" w:w="2197"/>
          </w:tcPr>
          <w:p>
            <w:pPr>
              <w:spacing w:lineRule="exact" w:line="320"/>
            </w:pPr>
            <w:r>
              <w:rPr>
                <w:rFonts w:ascii="Times New Roman" w:hAnsi="Times New Roman" w:eastAsia="宋体"/>
                <w:b w:val="0"/>
                <w:sz w:val="21"/>
              </w:rPr>
              <w:t>2024-09-16</w:t>
            </w:r>
          </w:p>
        </w:tc>
        <w:tc>
          <w:tcPr>
            <w:tcW w:type="dxa" w:w="2197"/>
          </w:tcPr>
          <w:p>
            <w:pPr>
              <w:spacing w:lineRule="exact" w:line="320"/>
            </w:pPr>
            <w:r>
              <w:rPr>
                <w:rFonts w:ascii="Times New Roman" w:hAnsi="Times New Roman" w:eastAsia="宋体"/>
                <w:b w:val="0"/>
                <w:sz w:val="21"/>
              </w:rPr>
              <w:t>约 142 天</w:t>
            </w:r>
          </w:p>
        </w:tc>
      </w:tr>
      <w:tr>
        <w:tc>
          <w:tcPr>
            <w:tcW w:type="dxa" w:w="2197"/>
          </w:tcPr>
          <w:p>
            <w:pPr>
              <w:spacing w:lineRule="exact" w:line="320"/>
            </w:pPr>
            <w:r>
              <w:rPr>
                <w:rFonts w:ascii="Times New Roman" w:hAnsi="Times New Roman" w:eastAsia="宋体"/>
                <w:b w:val="0"/>
                <w:sz w:val="21"/>
              </w:rPr>
              <w:t>土建包整体完成</w:t>
            </w:r>
          </w:p>
        </w:tc>
        <w:tc>
          <w:tcPr>
            <w:tcW w:type="dxa" w:w="2197"/>
          </w:tcPr>
          <w:p>
            <w:pPr>
              <w:spacing w:lineRule="exact" w:line="320"/>
            </w:pPr>
            <w:r>
              <w:rPr>
                <w:rFonts w:ascii="Times New Roman" w:hAnsi="Times New Roman" w:eastAsia="宋体"/>
                <w:b w:val="0"/>
                <w:sz w:val="21"/>
              </w:rPr>
              <w:t>2024-02-28</w:t>
            </w:r>
          </w:p>
        </w:tc>
        <w:tc>
          <w:tcPr>
            <w:tcW w:type="dxa" w:w="2197"/>
          </w:tcPr>
          <w:p>
            <w:pPr>
              <w:spacing w:lineRule="exact" w:line="320"/>
            </w:pPr>
            <w:r>
              <w:rPr>
                <w:rFonts w:ascii="Times New Roman" w:hAnsi="Times New Roman" w:eastAsia="宋体"/>
                <w:b w:val="0"/>
                <w:sz w:val="21"/>
              </w:rPr>
              <w:t>2024-06-05</w:t>
            </w:r>
          </w:p>
        </w:tc>
        <w:tc>
          <w:tcPr>
            <w:tcW w:type="dxa" w:w="2197"/>
          </w:tcPr>
          <w:p>
            <w:pPr>
              <w:spacing w:lineRule="exact" w:line="320"/>
            </w:pPr>
            <w:r>
              <w:rPr>
                <w:rFonts w:ascii="Times New Roman" w:hAnsi="Times New Roman" w:eastAsia="宋体"/>
                <w:b w:val="0"/>
                <w:sz w:val="21"/>
              </w:rPr>
              <w:t>约 98 天</w:t>
            </w:r>
          </w:p>
        </w:tc>
      </w:tr>
    </w:tbl>
    <w:p/>
    <w:p>
      <w:pPr>
        <w:spacing w:before="120" w:after="40" w:lineRule="exact" w:line="400"/>
      </w:pPr>
      <w:r>
        <w:rPr>
          <w:rFonts w:ascii="Times New Roman" w:hAnsi="Times New Roman" w:eastAsia="黑体"/>
          <w:b/>
          <w:sz w:val="24"/>
        </w:rPr>
        <w:t>5. 劳动力资源和技术组织</w:t>
      </w:r>
    </w:p>
    <w:p>
      <w:pPr>
        <w:spacing w:before="0" w:after="0" w:lineRule="exact" w:line="400"/>
        <w:ind w:firstLine="420"/>
      </w:pPr>
      <w:r>
        <w:rPr>
          <w:rFonts w:ascii="Times New Roman" w:hAnsi="Times New Roman" w:eastAsia="宋体"/>
          <w:b w:val="0"/>
          <w:sz w:val="24"/>
        </w:rPr>
        <w:t>过往项目中，在材料到货和前序条件存在滞后的情况下，项目最终仍基本守住主装置关键节点，重要原因之一是施工资源和技术组织前置到位。现场把设备、管道、储罐、电仪等技术要求高的专业主要配置为熟练中国工人，把土建、钢结构安装以及与政府验收联系紧密的消防、暖通、建筑电气等专业更多依托当地施工力量，中方和本地劳动力总体维持在约 `50%:50%`。技术组织上，项目采用“国内预制、国外安装”的实施方式，并引入 `PMS + BIM` 数字化管理，对预制分段、运输尺寸、装箱顺序和现场安装顺序统一排产。质量资料显示，管道专业通过 BIM 预制排产技术，预制进度长期领先计划约 `15%`，高峰期领先 `26%`；安装进度长期领先计划约 `10%`，高峰期领先 `17%`；预制比例由预计的 `35%` 提升至 `48.1%`。这说明在前序条件偏晚的情况下，若能把国内预制、材料发运、现场安装和劳动力组织联动起来，仍有机会把关键路径上的时间追回来。</w:t>
      </w:r>
    </w:p>
    <w:p>
      <w:pPr>
        <w:spacing w:before="120" w:after="40" w:lineRule="exact" w:line="400"/>
      </w:pPr>
      <w:r>
        <w:rPr>
          <w:rFonts w:ascii="Times New Roman" w:hAnsi="Times New Roman" w:eastAsia="黑体"/>
          <w:b/>
          <w:sz w:val="24"/>
        </w:rPr>
        <w:t>6. 进度策划建议</w:t>
      </w:r>
    </w:p>
    <w:p>
      <w:pPr>
        <w:spacing w:before="0" w:after="0" w:lineRule="exact" w:line="400"/>
        <w:ind w:firstLine="420"/>
      </w:pPr>
      <w:r>
        <w:rPr>
          <w:rFonts w:ascii="Times New Roman" w:hAnsi="Times New Roman" w:eastAsia="宋体"/>
          <w:b w:val="0"/>
          <w:sz w:val="24"/>
        </w:rPr>
        <w:t>进度策划建议按五层逻辑组织，即前序条件计划、关键物资释放计划、安装执行计划、系统移交计划和当地验收计划。前序条件计划重点控制地下、地管、土建、钢结构和作业面交付；关键物资释放计划重点控制关键设备、地管材料、钢结构、预制材料和关键电仪设备；安装执行计划重点控制主装置、公用工程和配套系统分区推进；系统移交计划重点控制机械竣工、联调、整改和接收；当地验收计划重点控制消防验收、DOSH、CIDB、CCC 及其他政府专项手续。项目控制系统中建议建立统一的责任分配矩阵，将 WBS 与 OBS 绑定，确保每一个底层工作包都有唯一责任主体，避免设计、采购、施工和验收之间出现责任交叉和计划悬空。钢结构在专业归口上通常可归入结构施工或安装范围，但在进度策划上更适合作为前序条件单独管理，因为其完成时间直接决定设备安装和管道安装能否连续展开。劳动力组织和技术组织也应单独纳入计划，重点包括中国熟练工投放节奏、本地施工力量配置、国内预制深度和 BIM 排产支持。对管廊、炉区、水处理和设备较集中的区域，应同步评估模块化和成段预制的可行性，以减少海外现场高空作业和交叉作业压力。</w:t>
      </w:r>
    </w:p>
    <w:p>
      <w:pPr>
        <w:spacing w:before="120" w:after="40" w:lineRule="exact" w:line="400"/>
      </w:pPr>
      <w:r>
        <w:rPr>
          <w:rFonts w:ascii="Times New Roman" w:hAnsi="Times New Roman" w:eastAsia="黑体"/>
          <w:b/>
          <w:sz w:val="24"/>
        </w:rPr>
        <w:t>7. 进度章节结论</w:t>
      </w:r>
    </w:p>
    <w:p>
      <w:pPr>
        <w:spacing w:before="0" w:after="0" w:lineRule="exact" w:line="400"/>
        <w:ind w:firstLine="420"/>
      </w:pPr>
      <w:r>
        <w:rPr>
          <w:rFonts w:ascii="Times New Roman" w:hAnsi="Times New Roman" w:eastAsia="宋体"/>
          <w:b w:val="0"/>
          <w:sz w:val="24"/>
        </w:rPr>
        <w:t>进度策划建议以打桩开工为主控起点，控制打桩开始至机械竣工约 `26 个月`，机械竣工至完工证书再预留 `4 个月`。项目计划应按设计、采购、物流、土建前序、安装系统完善和验收取证六个阶段分层控制，按主装置、公用工程、厂外连接、关键物资释放四条主路径同步管理。过往项目说明，真正容易拖长总工期的通常不是主装置本体，而是公用工程、地管、关键物资释放、厂外管线、成套包界面协调和当地验收准备。要保证交付周期，除总工期和关键路径外，还应同步落实劳动力资源、国内预制国外安装、模块化和 BIM 排产等支撑措施。</w:t>
      </w:r>
    </w:p>
    <w:p>
      <w:pPr>
        <w:spacing w:before="160" w:after="80" w:lineRule="exact" w:line="400"/>
      </w:pPr>
      <w:r>
        <w:rPr>
          <w:rFonts w:ascii="Times New Roman" w:hAnsi="Times New Roman" w:eastAsia="黑体"/>
          <w:b/>
          <w:sz w:val="28"/>
        </w:rPr>
        <w:t>五、总体策划结论</w:t>
      </w:r>
    </w:p>
    <w:p>
      <w:pPr>
        <w:spacing w:before="0" w:after="0" w:lineRule="exact" w:line="400"/>
        <w:ind w:firstLine="420"/>
      </w:pPr>
      <w:r>
        <w:rPr>
          <w:rFonts w:ascii="Times New Roman" w:hAnsi="Times New Roman" w:eastAsia="宋体"/>
          <w:b w:val="0"/>
          <w:sz w:val="24"/>
        </w:rPr>
        <w:t>本项目分工策划应围绕“设计责任、采购责任、物流责任和进度责任”四条主线建立稳定边界。设计上，主装置、公用工程、成套包界面和本地深化责任应分别锁定；采购上，关键设备由 Technip 主导，公用工程成套包由 NCC 进行 EPC 管理，跨境主材和预制关联物资由 NCC 组织，本地适配物资由 NCC 属地采购；物流上，关键设备、成套包、预制物资和地管材料应按关键路径倒排组织；进度上，设计、采购、物流、土建前序、安装系统完善和当地验收必须在同一张总体计划中联动管理。只有在项目初期把这几条边界写清、排清、责任落清，项目执行的责任分工、采购组织和进度控制才有稳定基础。</w:t>
      </w:r>
    </w:p>
    <w:sectPr w:rsidR="00FC693F" w:rsidRPr="0006063C" w:rsidSect="00034616">
      <w:footerReference w:type="default" r:id="rId9"/>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eastAsia="宋体"/>
          <w:sz w:val="18"/>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