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项目分工策划-project-workshare-planning"/>
    <w:p>
      <w:pPr>
        <w:pStyle w:val="Heading1"/>
      </w:pPr>
      <w:r>
        <w:t xml:space="preserve">1 </w:t>
      </w:r>
      <w:r>
        <w:rPr>
          <w:rFonts w:hint="eastAsia"/>
        </w:rPr>
        <w:t xml:space="preserve">项目分工策划</w:t>
      </w:r>
      <w:r>
        <w:t xml:space="preserve"> / Project Workshare Planning</w:t>
      </w:r>
    </w:p>
    <w:bookmarkStart w:id="15" w:name="一设计分工策划-i.-design-workshare-planning"/>
    <w:p>
      <w:pPr>
        <w:pStyle w:val="Heading2"/>
      </w:pPr>
      <w:r>
        <w:rPr>
          <w:rFonts w:hint="eastAsia"/>
        </w:rPr>
        <w:t xml:space="preserve">一、设计分工策划</w:t>
      </w:r>
      <w:r>
        <w:t xml:space="preserve"> / I. Design Workshare Planning</w:t>
      </w:r>
    </w:p>
    <w:bookmarkStart w:id="9" w:name="X6e47a6cc51f967744e64d6a5259d8b6bde2e273"/>
    <w:p>
      <w:pPr>
        <w:pStyle w:val="Heading3"/>
      </w:pPr>
      <w:r>
        <w:t xml:space="preserve">1. </w:t>
      </w:r>
      <w:r>
        <w:rPr>
          <w:rFonts w:hint="eastAsia"/>
        </w:rPr>
        <w:t xml:space="preserve">设计分工整体情况</w:t>
      </w:r>
      <w:r>
        <w:t xml:space="preserve"> / Overall Design Workshare Arrangement</w:t>
      </w:r>
    </w:p>
    <w:p>
      <w:pPr>
        <w:pStyle w:val="FirstParagraph"/>
      </w:pPr>
      <w:r>
        <w:rPr>
          <w:rFonts w:hint="eastAsia"/>
        </w:rPr>
        <w:t xml:space="preserve">本项目设计建议按三方分工组织。第一部分为主装置系统设计，负责主生产装置范围内的工艺、设备、管道、结构、仪表、电气及相关接口设计，并对主装置系统完整性、关键设备接口和性能边界负责。第二部分为公用工程和配套系统设计，负责总图、储运、公用工程、消防、变配电、建筑结构以及厂外管线、外部公用工程接入等设计，并对全厂配套系统的完整性和可实施性负责。第三部分为本地深化设计，负责消防、暖通、电气、弱电等本地审批敏感专业的深化、报审和施工转换图。</w:t>
      </w:r>
    </w:p>
    <w:p>
      <w:pPr>
        <w:pStyle w:val="BodyText"/>
      </w:pPr>
      <w:r>
        <w:t xml:space="preserve">It is recommended that the design work for this project be organized under a three-party arrangement. The first part is the main process units design, covering process, equipment, piping, structure, instrumentation, electrical and related interface design within the main production units, and taking responsibility for overall system integrity, key equipment interfaces and performance boundaries of the main units. The second part is the utilities and offsite systems design, covering plot plan, storage and handling, utilities, firefighting, power distribution, building and structural works, offsite pipelines and tie-ins to external utilities, and taking responsibility for the integrity and constructability of the overall plant supporting systems. The third part is local detailed design, covering detailed design, authority submission and construction conversion drawings for disciplines sensitive to local approval requirements, such as firefighting, HVAC, electrical and low-current systems.</w:t>
      </w:r>
    </w:p>
    <w:bookmarkEnd w:id="9"/>
    <w:bookmarkStart w:id="10" w:name="X9350a1cbe5f96e4c4c46644b51bcec88e15f74d"/>
    <w:p>
      <w:pPr>
        <w:pStyle w:val="Heading3"/>
      </w:pPr>
      <w:r>
        <w:t xml:space="preserve">2. </w:t>
      </w:r>
      <w:r>
        <w:rPr>
          <w:rFonts w:hint="eastAsia"/>
        </w:rPr>
        <w:t xml:space="preserve">主装置设计范围</w:t>
      </w:r>
      <w:r>
        <w:t xml:space="preserve"> / Scope of Main Process Units Design</w:t>
      </w:r>
    </w:p>
    <w:p>
      <w:pPr>
        <w:pStyle w:val="FirstParagraph"/>
      </w:pPr>
      <w:r>
        <w:rPr>
          <w:rFonts w:hint="eastAsia"/>
        </w:rPr>
        <w:t xml:space="preserve">主装置设计范围覆盖预处理、主生产和制氢等核心工艺系统，设计内容包括工艺流程、设备布置、管道布置、结构平台、设备基础条件、仪表和电气接口、消防接口及相关建筑机电配套。主装置设计责任包含关键设备、成套包和多专业接口的统一组织。主要设备类型包括反应器、炉类、压缩机、离心机、泵、换热器、塔器及相关关键阀门和控制系统。这部分工作建议由</w:t>
      </w:r>
      <w:r>
        <w:t xml:space="preserve"> Technip </w:t>
      </w:r>
      <w:r>
        <w:rPr>
          <w:rFonts w:hint="eastAsia"/>
        </w:rPr>
        <w:t xml:space="preserve">统一负责。</w:t>
      </w:r>
    </w:p>
    <w:p>
      <w:pPr>
        <w:pStyle w:val="BodyText"/>
      </w:pPr>
      <w:r>
        <w:t xml:space="preserve">The scope of the main process units design covers the core process systems, including pretreatment, main production and hydrogen generation units. The design content includes process flow, equipment layout, piping layout, structural platforms, equipment foundation inputs, instrumentation and electrical interfaces, firefighting interfaces, and related building MEP support. The design responsibility for the main units also includes integrated coordination of key equipment, package units and multidisciplinary interfaces. Major equipment types include reactors, fired heaters, compressors, centrifuges, pumps, heat exchangers, columns, and related critical valves and control systems. This part is recommended to be under Technip’s responsibility.</w:t>
      </w:r>
    </w:p>
    <w:bookmarkEnd w:id="10"/>
    <w:bookmarkStart w:id="11" w:name="X34b829c3859ee21b546e155a543a549e848ecc8"/>
    <w:p>
      <w:pPr>
        <w:pStyle w:val="Heading3"/>
      </w:pPr>
      <w:r>
        <w:t xml:space="preserve">3. </w:t>
      </w:r>
      <w:r>
        <w:rPr>
          <w:rFonts w:hint="eastAsia"/>
        </w:rPr>
        <w:t xml:space="preserve">配套系统设计范围</w:t>
      </w:r>
      <w:r>
        <w:t xml:space="preserve"> / Scope of Utilities and Supporting Systems Design</w:t>
      </w:r>
    </w:p>
    <w:p>
      <w:pPr>
        <w:pStyle w:val="FirstParagraph"/>
      </w:pPr>
      <w:r>
        <w:rPr>
          <w:rFonts w:hint="eastAsia"/>
        </w:rPr>
        <w:t xml:space="preserve">配套系统设计范围包括总图场平、办公和控制建筑、仓库和维修设施、罐区、装卸设施、管廊、外管、地管、水处理、蒸汽锅炉、冷却水、工厂风和仪表风、氮气、天然气、余热回收、火炬、IETS、消防水及变配电系统等。该部分设计覆盖储运、公用工程、建筑、电气和消防等多个专业，与全厂施工组织、系统移交和最终投用条件直接相关。这部分工作建议由华东院统一负责，但是为了</w:t>
      </w:r>
      <w:r>
        <w:t xml:space="preserve"> CCC </w:t>
      </w:r>
      <w:r>
        <w:rPr>
          <w:rFonts w:hint="eastAsia"/>
        </w:rPr>
        <w:t xml:space="preserve">等相关政府验收工作顺利进行，政府验收报审图纸由</w:t>
      </w:r>
      <w:r>
        <w:t xml:space="preserve"> Technip </w:t>
      </w:r>
      <w:r>
        <w:rPr>
          <w:rFonts w:hint="eastAsia"/>
        </w:rPr>
        <w:t xml:space="preserve">进行图纸转换。</w:t>
      </w:r>
    </w:p>
    <w:p>
      <w:pPr>
        <w:pStyle w:val="BodyText"/>
      </w:pPr>
      <w:r>
        <w:t xml:space="preserve">The scope of the utilities and supporting systems design includes plot plan and grading, office and control buildings, warehouses and maintenance facilities, tank farms, loading and unloading facilities, pipe racks, aboveground piping, underground piping, water treatment, steam boilers, cooling water, plant air and instrument air, nitrogen, natural gas, waste heat recovery, flare, IETS, firefighting water and power distribution systems. This portion covers multiple disciplines including storage and handling, utilities, buildings, electrical and firefighting, and is directly related to the overall site construction sequence, system handover and final readiness for operation. This part is recommended to be under ECIDI’s responsibility. However, to facilitate CCC and other government acceptance procedures, drawings for government submission are recommended to be converted by Technip.</w:t>
      </w:r>
    </w:p>
    <w:bookmarkEnd w:id="11"/>
    <w:bookmarkStart w:id="12" w:name="X9e931582608dbfc50034edcc8f3c07f0cecf405"/>
    <w:p>
      <w:pPr>
        <w:pStyle w:val="Heading3"/>
      </w:pPr>
      <w:r>
        <w:t xml:space="preserve">4. </w:t>
      </w:r>
      <w:r>
        <w:rPr>
          <w:rFonts w:hint="eastAsia"/>
        </w:rPr>
        <w:t xml:space="preserve">公用工程成套包设计与管理方式</w:t>
      </w:r>
      <w:r>
        <w:t xml:space="preserve"> / Design and Management Approach for Utility Package Systems</w:t>
      </w:r>
    </w:p>
    <w:p>
      <w:pPr>
        <w:pStyle w:val="FirstParagraph"/>
      </w:pPr>
      <w:r>
        <w:rPr>
          <w:rFonts w:hint="eastAsia"/>
        </w:rPr>
        <w:t xml:space="preserve">公用工程范围内的锅炉、燃气、空压站、水处理、IETS</w:t>
      </w:r>
      <w:r>
        <w:t xml:space="preserve"> </w:t>
      </w:r>
      <w:r>
        <w:rPr>
          <w:rFonts w:hint="eastAsia"/>
        </w:rPr>
        <w:t xml:space="preserve">等成套系统，建议按“设计方提供界面和参数、专业成套厂家负责成套设计、NCC</w:t>
      </w:r>
      <w:r>
        <w:t xml:space="preserve"> </w:t>
      </w:r>
      <w:r>
        <w:rPr>
          <w:rFonts w:hint="eastAsia"/>
        </w:rPr>
        <w:t xml:space="preserve">负责</w:t>
      </w:r>
      <w:r>
        <w:t xml:space="preserve"> EPC </w:t>
      </w:r>
      <w:r>
        <w:rPr>
          <w:rFonts w:hint="eastAsia"/>
        </w:rPr>
        <w:t xml:space="preserve">管理”的方式组织。主装置设计方和配套系统设计方负责提出边界条件、接口参数和总体技术要求，专业成套厂家负责包内工艺、设备、控制和成套图纸设计，NCC</w:t>
      </w:r>
      <w:r>
        <w:t xml:space="preserve"> </w:t>
      </w:r>
      <w:r>
        <w:rPr>
          <w:rFonts w:hint="eastAsia"/>
        </w:rPr>
        <w:t xml:space="preserve">负责采购、设计协调、制造、发运、现场安装和接口关闭的全过程管理。这样更有利于减少不同成套厂家之间的界面反复协调问题。</w:t>
      </w:r>
    </w:p>
    <w:p>
      <w:pPr>
        <w:pStyle w:val="BodyText"/>
      </w:pPr>
      <w:r>
        <w:t xml:space="preserve">For package systems within the utilities scope, such as boilers, gas systems, air compressor stations, water treatment and IETS, it is recommended to organize the work under the approach of</w:t>
      </w:r>
      <w:r>
        <w:t xml:space="preserve"> </w:t>
      </w:r>
      <w:r>
        <w:t xml:space="preserve">“design parties providing interfaces and parameters, specialist package vendors carrying out package design, and NCC taking EPC management responsibility.”</w:t>
      </w:r>
      <w:r>
        <w:t xml:space="preserve"> </w:t>
      </w:r>
      <w:r>
        <w:t xml:space="preserve">The main process design party and the utilities/supporting systems design party should define boundary conditions, interface parameters and overall technical requirements. Specialist package vendors should be responsible for the package-internal process, equipment, controls and package drawings. NCC should be responsible for end-to-end management of procurement, design coordination, manufacturing, shipment, site installation and interface close-out. This arrangement is more conducive to reducing repeated interface coordination among different package vendors.</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设计范围</w:t>
            </w:r>
          </w:p>
        </w:tc>
        <w:tc>
          <w:tcPr/>
          <w:p>
            <w:pPr>
              <w:pStyle w:val="Compact"/>
            </w:pPr>
            <w:r>
              <w:rPr>
                <w:rFonts w:hint="eastAsia"/>
              </w:rPr>
              <w:t xml:space="preserve">主要单元名称</w:t>
            </w:r>
          </w:p>
        </w:tc>
        <w:tc>
          <w:tcPr/>
          <w:p>
            <w:pPr>
              <w:pStyle w:val="Compact"/>
            </w:pPr>
            <w:r>
              <w:rPr>
                <w:rFonts w:hint="eastAsia"/>
              </w:rPr>
              <w:t xml:space="preserve">主要设备/设施</w:t>
            </w:r>
          </w:p>
        </w:tc>
        <w:tc>
          <w:tcPr/>
          <w:p>
            <w:pPr>
              <w:pStyle w:val="Compact"/>
            </w:pPr>
            <w:r>
              <w:rPr>
                <w:rFonts w:hint="eastAsia"/>
              </w:rPr>
              <w:t xml:space="preserve">建议责任方</w:t>
            </w:r>
          </w:p>
        </w:tc>
      </w:tr>
      <w:tr>
        <w:tc>
          <w:tcPr/>
          <w:p>
            <w:pPr>
              <w:pStyle w:val="Compact"/>
            </w:pPr>
            <w:r>
              <w:rPr>
                <w:rFonts w:hint="eastAsia"/>
              </w:rPr>
              <w:t xml:space="preserve">主装置系统设计</w:t>
            </w:r>
          </w:p>
        </w:tc>
        <w:tc>
          <w:tcPr/>
          <w:p>
            <w:pPr>
              <w:pStyle w:val="Compact"/>
            </w:pPr>
            <w:r>
              <w:rPr>
                <w:rFonts w:hint="eastAsia"/>
              </w:rPr>
              <w:t xml:space="preserve">预处理单元、可再生燃料生产单元、制氢单元</w:t>
            </w:r>
          </w:p>
        </w:tc>
        <w:tc>
          <w:tcPr/>
          <w:p>
            <w:pPr>
              <w:pStyle w:val="Compact"/>
            </w:pPr>
            <w:r>
              <w:rPr>
                <w:rFonts w:hint="eastAsia"/>
              </w:rPr>
              <w:t xml:space="preserve">反应器、加热炉、转化炉、压缩机、离心机、泵、换热器、塔器、关键阀门、DCS/SIS</w:t>
            </w:r>
            <w:r>
              <w:t xml:space="preserve"> </w:t>
            </w:r>
            <w:r>
              <w:rPr>
                <w:rFonts w:hint="eastAsia"/>
              </w:rPr>
              <w:t xml:space="preserve">接口</w:t>
            </w:r>
          </w:p>
        </w:tc>
        <w:tc>
          <w:tcPr/>
          <w:p>
            <w:pPr>
              <w:pStyle w:val="Compact"/>
            </w:pPr>
            <w:r>
              <w:t xml:space="preserve">Technip</w:t>
            </w:r>
          </w:p>
        </w:tc>
      </w:tr>
      <w:tr>
        <w:tc>
          <w:tcPr/>
          <w:p>
            <w:pPr>
              <w:pStyle w:val="Compact"/>
            </w:pPr>
            <w:r>
              <w:rPr>
                <w:rFonts w:hint="eastAsia"/>
              </w:rPr>
              <w:t xml:space="preserve">储运与装卸系统设计</w:t>
            </w:r>
          </w:p>
        </w:tc>
        <w:tc>
          <w:tcPr/>
          <w:p>
            <w:pPr>
              <w:pStyle w:val="Compact"/>
            </w:pPr>
            <w:r>
              <w:rPr>
                <w:rFonts w:hint="eastAsia"/>
              </w:rPr>
              <w:t xml:space="preserve">一号罐区、二号罐区、三号罐区、装卸站、内管廊、外管</w:t>
            </w:r>
          </w:p>
        </w:tc>
        <w:tc>
          <w:tcPr/>
          <w:p>
            <w:pPr>
              <w:pStyle w:val="Compact"/>
            </w:pPr>
            <w:r>
              <w:rPr>
                <w:rFonts w:hint="eastAsia"/>
              </w:rPr>
              <w:t xml:space="preserve">原料油罐区、可持续航空燃料（SAF）罐区、加氢植物油（HVO）罐区及其他工艺储罐，装卸臂、鹤管、装车设施、罐区输送泵、转输泵、内管廊、外管、厂外管线</w:t>
            </w:r>
          </w:p>
        </w:tc>
        <w:tc>
          <w:tcPr/>
          <w:p>
            <w:pPr>
              <w:pStyle w:val="Compact"/>
            </w:pPr>
            <w:r>
              <w:rPr>
                <w:rFonts w:hint="eastAsia"/>
              </w:rPr>
              <w:t xml:space="preserve">华东院</w:t>
            </w:r>
          </w:p>
        </w:tc>
      </w:tr>
      <w:tr>
        <w:tc>
          <w:tcPr/>
          <w:p>
            <w:pPr>
              <w:pStyle w:val="Compact"/>
            </w:pPr>
            <w:r>
              <w:rPr>
                <w:rFonts w:hint="eastAsia"/>
              </w:rPr>
              <w:t xml:space="preserve">公用工程系统设计</w:t>
            </w:r>
          </w:p>
        </w:tc>
        <w:tc>
          <w:tcPr/>
          <w:p>
            <w:pPr>
              <w:pStyle w:val="Compact"/>
            </w:pPr>
            <w:r>
              <w:rPr>
                <w:rFonts w:hint="eastAsia"/>
              </w:rPr>
              <w:t xml:space="preserve">水处理系统、蒸汽锅炉系统、冷却水系统、工厂风/仪表风系统、氮气系统、天然气设施、余热蒸汽回收系统、地面火炬系统、工艺污水处理系统、消防水系统、应急柴油发电</w:t>
            </w:r>
          </w:p>
        </w:tc>
        <w:tc>
          <w:tcPr/>
          <w:p>
            <w:pPr>
              <w:pStyle w:val="Compact"/>
            </w:pPr>
            <w:r>
              <w:rPr>
                <w:rFonts w:hint="eastAsia"/>
              </w:rPr>
              <w:t xml:space="preserve">水处理装置、锅炉本体及辅机、冷却塔、循环水泵、仪表风压缩机、工厂风压缩机、氮气成套装置、天然气调压设施、余热回收装置、火炬、污水处理设备、消防泵、稳压泵、消防水罐、应急柴油发电机</w:t>
            </w:r>
          </w:p>
        </w:tc>
        <w:tc>
          <w:tcPr/>
          <w:p>
            <w:pPr>
              <w:pStyle w:val="Compact"/>
            </w:pPr>
            <w:r>
              <w:rPr>
                <w:rFonts w:hint="eastAsia"/>
              </w:rPr>
              <w:t xml:space="preserve">华东院</w:t>
            </w:r>
          </w:p>
        </w:tc>
      </w:tr>
      <w:tr>
        <w:tc>
          <w:tcPr/>
          <w:p>
            <w:pPr>
              <w:pStyle w:val="Compact"/>
            </w:pPr>
            <w:r>
              <w:rPr>
                <w:rFonts w:hint="eastAsia"/>
              </w:rPr>
              <w:t xml:space="preserve">变配电与全厂工业电气设计</w:t>
            </w:r>
          </w:p>
        </w:tc>
        <w:tc>
          <w:tcPr/>
          <w:p>
            <w:pPr>
              <w:pStyle w:val="Compact"/>
            </w:pPr>
            <w:r>
              <w:rPr>
                <w:rFonts w:hint="eastAsia"/>
              </w:rPr>
              <w:t xml:space="preserve">主变电站、二号变电站、三号变电站、四号变电站</w:t>
            </w:r>
          </w:p>
        </w:tc>
        <w:tc>
          <w:tcPr/>
          <w:p>
            <w:pPr>
              <w:pStyle w:val="Compact"/>
            </w:pPr>
            <w:r>
              <w:rPr>
                <w:rFonts w:hint="eastAsia"/>
              </w:rPr>
              <w:t xml:space="preserve">主变压器、高低压开关柜、配电盘、变频器、UPS、母线桥、电缆桥架</w:t>
            </w:r>
          </w:p>
        </w:tc>
        <w:tc>
          <w:tcPr/>
          <w:p>
            <w:pPr>
              <w:pStyle w:val="Compact"/>
            </w:pPr>
            <w:r>
              <w:rPr>
                <w:rFonts w:hint="eastAsia"/>
              </w:rPr>
              <w:t xml:space="preserve">华东院</w:t>
            </w:r>
          </w:p>
        </w:tc>
      </w:tr>
      <w:tr>
        <w:tc>
          <w:tcPr/>
          <w:p>
            <w:pPr>
              <w:pStyle w:val="Compact"/>
            </w:pPr>
            <w:r>
              <w:rPr>
                <w:rFonts w:hint="eastAsia"/>
              </w:rPr>
              <w:t xml:space="preserve">建筑与总图设计</w:t>
            </w:r>
          </w:p>
        </w:tc>
        <w:tc>
          <w:tcPr/>
          <w:p>
            <w:pPr>
              <w:pStyle w:val="Compact"/>
            </w:pPr>
            <w:r>
              <w:rPr>
                <w:rFonts w:hint="eastAsia"/>
              </w:rPr>
              <w:t xml:space="preserve">总图场平、道路和铺装面、给排水、全厂建筑电气及照明系统、全厂防雷接地、围墙大门、门卫室、仓库、维修车间、办公楼/控制室、垃圾房</w:t>
            </w:r>
          </w:p>
        </w:tc>
        <w:tc>
          <w:tcPr/>
          <w:p>
            <w:pPr>
              <w:pStyle w:val="Compact"/>
            </w:pPr>
            <w:r>
              <w:rPr>
                <w:rFonts w:hint="eastAsia"/>
              </w:rPr>
              <w:t xml:space="preserve">总图场平、道路、围墙、大门、仓库、维修车间、办公楼/控制室、垃圾房，以及建筑内空调通风、建筑消防、给排水、照明、防雷接地、CCTV、门禁和其他弱电配套设施</w:t>
            </w:r>
          </w:p>
        </w:tc>
        <w:tc>
          <w:tcPr/>
          <w:p>
            <w:pPr>
              <w:pStyle w:val="Compact"/>
            </w:pPr>
            <w:r>
              <w:t xml:space="preserve">Technip</w:t>
            </w:r>
          </w:p>
        </w:tc>
      </w:tr>
      <w:tr>
        <w:tc>
          <w:tcPr/>
          <w:p>
            <w:pPr>
              <w:pStyle w:val="Compact"/>
            </w:pPr>
            <w:r>
              <w:rPr>
                <w:rFonts w:hint="eastAsia"/>
              </w:rPr>
              <w:t xml:space="preserve">本地深化设计</w:t>
            </w:r>
          </w:p>
        </w:tc>
        <w:tc>
          <w:tcPr/>
          <w:p>
            <w:pPr>
              <w:pStyle w:val="Compact"/>
            </w:pPr>
            <w:r>
              <w:rPr>
                <w:rFonts w:hint="eastAsia"/>
              </w:rPr>
              <w:t xml:space="preserve">办公楼/控制室、变电站、公用工程站房及部分主装置配套区域</w:t>
            </w:r>
          </w:p>
        </w:tc>
        <w:tc>
          <w:tcPr/>
          <w:p>
            <w:pPr>
              <w:pStyle w:val="Compact"/>
            </w:pPr>
            <w:r>
              <w:rPr>
                <w:rFonts w:hint="eastAsia"/>
              </w:rPr>
              <w:t xml:space="preserve">消防、暖通、建筑电气、弱电等施工图深化设计</w:t>
            </w:r>
          </w:p>
        </w:tc>
        <w:tc>
          <w:tcPr/>
          <w:p>
            <w:pPr>
              <w:pStyle w:val="Compact"/>
            </w:pPr>
            <w:r>
              <w:rPr>
                <w:rFonts w:hint="eastAsia"/>
              </w:rPr>
              <w:t xml:space="preserve">施工分承包商</w:t>
            </w:r>
          </w:p>
        </w:tc>
      </w:tr>
      <w:tr>
        <w:tc>
          <w:tcPr/>
          <w:p>
            <w:pPr>
              <w:pStyle w:val="Compact"/>
            </w:pPr>
            <w:r>
              <w:rPr>
                <w:rFonts w:hint="eastAsia"/>
              </w:rPr>
              <w:t xml:space="preserve">公用工程成套包界面设计</w:t>
            </w:r>
          </w:p>
        </w:tc>
        <w:tc>
          <w:tcPr/>
          <w:p>
            <w:pPr>
              <w:pStyle w:val="Compact"/>
            </w:pPr>
            <w:r>
              <w:rPr>
                <w:rFonts w:hint="eastAsia"/>
              </w:rPr>
              <w:t xml:space="preserve">蒸汽锅炉系统、工厂风/仪表风系统、氮气系统、天然气设施、工艺污水处理系统等</w:t>
            </w:r>
          </w:p>
        </w:tc>
        <w:tc>
          <w:tcPr/>
          <w:p>
            <w:pPr>
              <w:pStyle w:val="Compact"/>
            </w:pPr>
            <w:r>
              <w:rPr>
                <w:rFonts w:hint="eastAsia"/>
              </w:rPr>
              <w:t xml:space="preserve">锅炉、工厂风/仪表风、氮气、天然气、IETS</w:t>
            </w:r>
            <w:r>
              <w:t xml:space="preserve"> </w:t>
            </w:r>
            <w:r>
              <w:rPr>
                <w:rFonts w:hint="eastAsia"/>
              </w:rPr>
              <w:t xml:space="preserve">等成套系统界面和参数</w:t>
            </w:r>
          </w:p>
        </w:tc>
        <w:tc>
          <w:tcPr/>
          <w:p>
            <w:pPr>
              <w:pStyle w:val="Compact"/>
            </w:pPr>
            <w:r>
              <w:rPr>
                <w:rFonts w:hint="eastAsia"/>
              </w:rPr>
              <w:t xml:space="preserve">设计方提条件，成套厂家做包内设计，NCC</w:t>
            </w:r>
            <w:r>
              <w:t xml:space="preserve"> </w:t>
            </w:r>
            <w:r>
              <w:rPr>
                <w:rFonts w:hint="eastAsia"/>
              </w:rPr>
              <w:t xml:space="preserve">做</w:t>
            </w:r>
            <w:r>
              <w:t xml:space="preserve"> EPC </w:t>
            </w:r>
            <w:r>
              <w:rPr>
                <w:rFonts w:hint="eastAsia"/>
              </w:rPr>
              <w:t xml:space="preserve">管理</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 Scope</w:t>
            </w:r>
          </w:p>
        </w:tc>
        <w:tc>
          <w:tcPr/>
          <w:p>
            <w:pPr>
              <w:pStyle w:val="Compact"/>
            </w:pPr>
            <w:r>
              <w:t xml:space="preserve">Main Units / Areas</w:t>
            </w:r>
          </w:p>
        </w:tc>
        <w:tc>
          <w:tcPr/>
          <w:p>
            <w:pPr>
              <w:pStyle w:val="Compact"/>
            </w:pPr>
            <w:r>
              <w:t xml:space="preserve">Main Equipment / Facilities</w:t>
            </w:r>
          </w:p>
        </w:tc>
        <w:tc>
          <w:tcPr/>
          <w:p>
            <w:pPr>
              <w:pStyle w:val="Compact"/>
            </w:pPr>
            <w:r>
              <w:t xml:space="preserve">Recommended Responsible Party</w:t>
            </w:r>
          </w:p>
        </w:tc>
      </w:tr>
      <w:tr>
        <w:tc>
          <w:tcPr/>
          <w:p>
            <w:pPr>
              <w:pStyle w:val="Compact"/>
            </w:pPr>
            <w:r>
              <w:t xml:space="preserve">Main process units design</w:t>
            </w:r>
          </w:p>
        </w:tc>
        <w:tc>
          <w:tcPr/>
          <w:p>
            <w:pPr>
              <w:pStyle w:val="Compact"/>
            </w:pPr>
            <w:r>
              <w:t xml:space="preserve">Pretreatment unit, renewable fuel production unit, hydrogen generation unit</w:t>
            </w:r>
          </w:p>
        </w:tc>
        <w:tc>
          <w:tcPr/>
          <w:p>
            <w:pPr>
              <w:pStyle w:val="Compact"/>
            </w:pPr>
            <w:r>
              <w:t xml:space="preserve">Reactors, fired heaters, reformers, compressors, centrifuges, pumps, heat exchangers, columns, critical valves, DCS/SIS interfaces</w:t>
            </w:r>
          </w:p>
        </w:tc>
        <w:tc>
          <w:tcPr/>
          <w:p>
            <w:pPr>
              <w:pStyle w:val="Compact"/>
            </w:pPr>
            <w:r>
              <w:t xml:space="preserve">Technip</w:t>
            </w:r>
          </w:p>
        </w:tc>
      </w:tr>
      <w:tr>
        <w:tc>
          <w:tcPr/>
          <w:p>
            <w:pPr>
              <w:pStyle w:val="Compact"/>
            </w:pPr>
            <w:r>
              <w:t xml:space="preserve">Storage and loading/unloading systems design</w:t>
            </w:r>
          </w:p>
        </w:tc>
        <w:tc>
          <w:tcPr/>
          <w:p>
            <w:pPr>
              <w:pStyle w:val="Compact"/>
            </w:pPr>
            <w:r>
              <w:t xml:space="preserve">Tank Farm No. 1, Tank Farm No. 2, Tank Farm No. 3, loading/unloading station, in-plant pipe racks, offsite piping</w:t>
            </w:r>
          </w:p>
        </w:tc>
        <w:tc>
          <w:tcPr/>
          <w:p>
            <w:pPr>
              <w:pStyle w:val="Compact"/>
            </w:pPr>
            <w:r>
              <w:t xml:space="preserve">Feedstock tank farm, SAF tank farm, HVO tank farm and other process tanks, loading arms, loading facilities, transfer pumps, in-plant pipe racks, offsite piping and external pipelines</w:t>
            </w:r>
          </w:p>
        </w:tc>
        <w:tc>
          <w:tcPr/>
          <w:p>
            <w:pPr>
              <w:pStyle w:val="Compact"/>
            </w:pPr>
            <w:r>
              <w:t xml:space="preserve">ECIDI</w:t>
            </w:r>
          </w:p>
        </w:tc>
      </w:tr>
      <w:tr>
        <w:tc>
          <w:tcPr/>
          <w:p>
            <w:pPr>
              <w:pStyle w:val="Compact"/>
            </w:pPr>
            <w:r>
              <w:t xml:space="preserve">Utilities systems design</w:t>
            </w:r>
          </w:p>
        </w:tc>
        <w:tc>
          <w:tcPr/>
          <w:p>
            <w:pPr>
              <w:pStyle w:val="Compact"/>
            </w:pPr>
            <w:r>
              <w:t xml:space="preserve">Water treatment system, steam boiler system, cooling water system, plant air/instrument air system, nitrogen system, natural gas facilities, waste heat steam recovery system, ground flare system, industrial effluent treatment system, firefighting water system, emergency diesel power</w:t>
            </w:r>
          </w:p>
        </w:tc>
        <w:tc>
          <w:tcPr/>
          <w:p>
            <w:pPr>
              <w:pStyle w:val="Compact"/>
            </w:pPr>
            <w:r>
              <w:t xml:space="preserve">Water treatment packages, boiler proper and auxiliaries, cooling towers, circulating pumps, instrument air compressors, plant air compressors, nitrogen package units, natural gas pressure regulating facilities, waste heat recovery units, flare, wastewater treatment equipment, firefighting pumps, jockey pumps, firefighting water tanks, emergency diesel generators</w:t>
            </w:r>
          </w:p>
        </w:tc>
        <w:tc>
          <w:tcPr/>
          <w:p>
            <w:pPr>
              <w:pStyle w:val="Compact"/>
            </w:pPr>
            <w:r>
              <w:t xml:space="preserve">ECIDI</w:t>
            </w:r>
          </w:p>
        </w:tc>
      </w:tr>
      <w:tr>
        <w:tc>
          <w:tcPr/>
          <w:p>
            <w:pPr>
              <w:pStyle w:val="Compact"/>
            </w:pPr>
            <w:r>
              <w:t xml:space="preserve">Power distribution and plant-wide industrial electrical design</w:t>
            </w:r>
          </w:p>
        </w:tc>
        <w:tc>
          <w:tcPr/>
          <w:p>
            <w:pPr>
              <w:pStyle w:val="Compact"/>
            </w:pPr>
            <w:r>
              <w:t xml:space="preserve">Main substation, Substation No. 2, Substation No. 3, Substation No. 4</w:t>
            </w:r>
          </w:p>
        </w:tc>
        <w:tc>
          <w:tcPr/>
          <w:p>
            <w:pPr>
              <w:pStyle w:val="Compact"/>
            </w:pPr>
            <w:r>
              <w:t xml:space="preserve">Main transformers, MV/LV switchgear, distribution boards, VFDs, UPS, busducts, cable trays</w:t>
            </w:r>
          </w:p>
        </w:tc>
        <w:tc>
          <w:tcPr/>
          <w:p>
            <w:pPr>
              <w:pStyle w:val="Compact"/>
            </w:pPr>
            <w:r>
              <w:t xml:space="preserve">ECIDI</w:t>
            </w:r>
          </w:p>
        </w:tc>
      </w:tr>
      <w:tr>
        <w:tc>
          <w:tcPr/>
          <w:p>
            <w:pPr>
              <w:pStyle w:val="Compact"/>
            </w:pPr>
            <w:r>
              <w:t xml:space="preserve">Building and general layout design</w:t>
            </w:r>
          </w:p>
        </w:tc>
        <w:tc>
          <w:tcPr/>
          <w:p>
            <w:pPr>
              <w:pStyle w:val="Compact"/>
            </w:pPr>
            <w:r>
              <w:t xml:space="preserve">Plot plan and grading, roads and pavement, water supply and drainage, plant-wide building electrical and lighting systems, plant-wide lightning protection and grounding, boundary fence and gates, guard house, warehouse, maintenance workshop, office/control building, waste room</w:t>
            </w:r>
          </w:p>
        </w:tc>
        <w:tc>
          <w:tcPr/>
          <w:p>
            <w:pPr>
              <w:pStyle w:val="Compact"/>
            </w:pPr>
            <w:r>
              <w:t xml:space="preserve">Plot plan and grading, roads, fences, gates, warehouse, maintenance workshop, office/control building, waste room, together with HVAC, building firefighting, water supply and drainage, lighting, lightning protection and grounding, CCTV, access control and other ELV supporting facilities within buildings</w:t>
            </w:r>
          </w:p>
        </w:tc>
        <w:tc>
          <w:tcPr/>
          <w:p>
            <w:pPr>
              <w:pStyle w:val="Compact"/>
            </w:pPr>
            <w:r>
              <w:t xml:space="preserve">Technip</w:t>
            </w:r>
          </w:p>
        </w:tc>
      </w:tr>
      <w:tr>
        <w:tc>
          <w:tcPr/>
          <w:p>
            <w:pPr>
              <w:pStyle w:val="Compact"/>
            </w:pPr>
            <w:r>
              <w:t xml:space="preserve">Local detailed design</w:t>
            </w:r>
          </w:p>
        </w:tc>
        <w:tc>
          <w:tcPr/>
          <w:p>
            <w:pPr>
              <w:pStyle w:val="Compact"/>
            </w:pPr>
            <w:r>
              <w:t xml:space="preserve">Office/control building, substations, utility buildings and selected supporting areas of the main process units</w:t>
            </w:r>
          </w:p>
        </w:tc>
        <w:tc>
          <w:tcPr/>
          <w:p>
            <w:pPr>
              <w:pStyle w:val="Compact"/>
            </w:pPr>
            <w:r>
              <w:t xml:space="preserve">Detailed construction drawings for firefighting, HVAC, building electrical and low-current systems</w:t>
            </w:r>
          </w:p>
        </w:tc>
        <w:tc>
          <w:tcPr/>
          <w:p>
            <w:pPr>
              <w:pStyle w:val="Compact"/>
            </w:pPr>
            <w:r>
              <w:t xml:space="preserve">Construction subcontractor</w:t>
            </w:r>
          </w:p>
        </w:tc>
      </w:tr>
      <w:tr>
        <w:tc>
          <w:tcPr/>
          <w:p>
            <w:pPr>
              <w:pStyle w:val="Compact"/>
            </w:pPr>
            <w:r>
              <w:t xml:space="preserve">Utilities package interface design</w:t>
            </w:r>
          </w:p>
        </w:tc>
        <w:tc>
          <w:tcPr/>
          <w:p>
            <w:pPr>
              <w:pStyle w:val="Compact"/>
            </w:pPr>
            <w:r>
              <w:t xml:space="preserve">Steam boiler system, plant air/instrument air system, nitrogen system, natural gas facilities, industrial effluent treatment system, etc.</w:t>
            </w:r>
          </w:p>
        </w:tc>
        <w:tc>
          <w:tcPr/>
          <w:p>
            <w:pPr>
              <w:pStyle w:val="Compact"/>
            </w:pPr>
            <w:r>
              <w:t xml:space="preserve">Interfaces and parameters for boiler, plant air/instrument air, nitrogen, natural gas, IETS and other package systems</w:t>
            </w:r>
          </w:p>
        </w:tc>
        <w:tc>
          <w:tcPr/>
          <w:p>
            <w:pPr>
              <w:pStyle w:val="Compact"/>
            </w:pPr>
            <w:r>
              <w:t xml:space="preserve">Design parties define requirements; package vendors perform package-internal design; NCC provides EPC management</w:t>
            </w:r>
          </w:p>
        </w:tc>
      </w:tr>
    </w:tbl>
    <w:bookmarkEnd w:id="12"/>
    <w:bookmarkStart w:id="13" w:name="本地深化设计范围-scope-of-local-detailed-design"/>
    <w:p>
      <w:pPr>
        <w:pStyle w:val="Heading3"/>
      </w:pPr>
      <w:r>
        <w:t xml:space="preserve">5. </w:t>
      </w:r>
      <w:r>
        <w:rPr>
          <w:rFonts w:hint="eastAsia"/>
        </w:rPr>
        <w:t xml:space="preserve">本地深化设计范围</w:t>
      </w:r>
      <w:r>
        <w:t xml:space="preserve"> / Scope of Local Detailed Design</w:t>
      </w:r>
    </w:p>
    <w:p>
      <w:pPr>
        <w:pStyle w:val="FirstParagraph"/>
      </w:pPr>
      <w:r>
        <w:rPr>
          <w:rFonts w:hint="eastAsia"/>
        </w:rPr>
        <w:t xml:space="preserve">本地深化设计重点集中在消防、暖通、电气和弱电四类专业，主要内容包括消防系统布置、气体灭火和泡沫系统图、暖通设备定位和风管布置、电缆路由、配电箱和面板图、CCTV</w:t>
      </w:r>
      <w:r>
        <w:t xml:space="preserve"> </w:t>
      </w:r>
      <w:r>
        <w:rPr>
          <w:rFonts w:hint="eastAsia"/>
        </w:rPr>
        <w:t xml:space="preserve">和门禁布置图等。这部分图纸与当地消防报审、建筑验收、电气验收和施工落地关系密切。本地深化重点放在站房建筑、公用工程、辅助设施及配套区域，主装置中仅保留与本地法规、建筑机电和配套接口直接相关的深化内容。这部分工作建议由施工分承包商负责。</w:t>
      </w:r>
    </w:p>
    <w:p>
      <w:pPr>
        <w:pStyle w:val="BodyText"/>
      </w:pPr>
      <w:r>
        <w:t xml:space="preserve">Local detailed design should focus on four disciplines: firefighting, HVAC, electrical and low-current systems. Major content includes firefighting layouts, gas suppression and foam system diagrams, HVAC equipment positioning and duct routing, cable routing, panel and distribution box drawings, CCTV layouts and access control layouts. These drawings are closely related to local fire submission, building acceptance, electrical acceptance and construction execution. The emphasis of local detailed design should be placed on utility buildings, auxiliary facilities and supporting areas. Within the main process units, only the portions directly related to local codes, building MEP and supporting interfaces should remain within the local detailed design scope. This part is recommended to be performed by the construction subcontractor.</w:t>
      </w:r>
    </w:p>
    <w:bookmarkEnd w:id="13"/>
    <w:bookmarkStart w:id="14" w:name="设计章节结论-conclusion-of-design-section"/>
    <w:p>
      <w:pPr>
        <w:pStyle w:val="Heading3"/>
      </w:pPr>
      <w:r>
        <w:t xml:space="preserve">6. </w:t>
      </w:r>
      <w:r>
        <w:rPr>
          <w:rFonts w:hint="eastAsia"/>
        </w:rPr>
        <w:t xml:space="preserve">设计章节结论</w:t>
      </w:r>
      <w:r>
        <w:t xml:space="preserve"> / Conclusion of Design Section</w:t>
      </w:r>
    </w:p>
    <w:p>
      <w:pPr>
        <w:pStyle w:val="FirstParagraph"/>
      </w:pPr>
      <w:r>
        <w:rPr>
          <w:rFonts w:hint="eastAsia"/>
        </w:rPr>
        <w:t xml:space="preserve">设计责任应同时覆盖主装置系统设计、公用工程和配套系统设计、公用工程成套包设计管理、本地深化设计四个层次。主装置设计责任、配套系统设计责任、成套包界面责任和本地深化责任应在项目初期分别列明，并同步落实到采购、施工、报审和进度策划界面中，以减少后续接口交叉、责任不清和报审滞后的问题。</w:t>
      </w:r>
    </w:p>
    <w:p>
      <w:pPr>
        <w:pStyle w:val="BodyText"/>
      </w:pPr>
      <w:r>
        <w:t xml:space="preserve">Design responsibility should cover four levels simultaneously: main process units design, utilities and supporting systems design, utilities package design management, and local detailed design. Responsibility for the main process units design, supporting systems design, package interfaces and local detailed design should each be clearly defined at the early stage of the project and carried through into procurement, construction, authority submission and schedule planning interfaces, so as to reduce later interface overlap, unclear responsibilities and delays in approval submission.</w:t>
      </w:r>
    </w:p>
    <w:bookmarkEnd w:id="14"/>
    <w:bookmarkEnd w:id="15"/>
    <w:bookmarkStart w:id="27" w:name="X200891fd7462ff6cd4e96a8c79ebf42200858ef"/>
    <w:p>
      <w:pPr>
        <w:pStyle w:val="Heading2"/>
      </w:pPr>
      <w:r>
        <w:rPr>
          <w:rFonts w:hint="eastAsia"/>
        </w:rPr>
        <w:t xml:space="preserve">二、采购分工策划</w:t>
      </w:r>
      <w:r>
        <w:t xml:space="preserve"> / II. Procurement Workshare Planning</w:t>
      </w:r>
    </w:p>
    <w:bookmarkStart w:id="16" w:name="X2165a0d829e6da33e79867532197f0ed65a09b6"/>
    <w:p>
      <w:pPr>
        <w:pStyle w:val="Heading3"/>
      </w:pPr>
      <w:r>
        <w:t xml:space="preserve">1. </w:t>
      </w:r>
      <w:r>
        <w:rPr>
          <w:rFonts w:hint="eastAsia"/>
        </w:rPr>
        <w:t xml:space="preserve">采购分工整体情况</w:t>
      </w:r>
      <w:r>
        <w:t xml:space="preserve"> / Overall Procurement Workshare Arrangement</w:t>
      </w:r>
    </w:p>
    <w:p>
      <w:pPr>
        <w:pStyle w:val="FirstParagraph"/>
      </w:pPr>
      <w:r>
        <w:rPr>
          <w:rFonts w:hint="eastAsia"/>
        </w:rPr>
        <w:t xml:space="preserve">采购分工建议按系统责任、预制组织方式和现场接口强弱来划分。关键设备、关键成套包和对主装置性能责任敏感的物资，应由主装置系统责任方控制；大宗主材、预制关联材料和施工强接口物资，应由执行方控制；属地响应速度要求高、与现场窗口联动紧密的物资，应纳入本地采购链管理。</w:t>
      </w:r>
    </w:p>
    <w:p>
      <w:pPr>
        <w:pStyle w:val="BodyText"/>
      </w:pPr>
      <w:r>
        <w:t xml:space="preserve">Procurement workshare is recommended to be defined based on system responsibility, prefabrication arrangement and the strength of site interfaces. Key equipment, key package systems and materials sensitive to the performance responsibility of the main process units should remain under the control of the party responsible for the main process units. Bulk main materials, prefabrication-related materials and materials with strong construction interfaces should remain under the control of the execution party. Materials requiring fast local response and close linkage with site windows should be managed within the local procurement chain.</w:t>
      </w:r>
    </w:p>
    <w:bookmarkEnd w:id="16"/>
    <w:bookmarkStart w:id="17" w:name="采购标准建议-recommended-procurement-standards"/>
    <w:p>
      <w:pPr>
        <w:pStyle w:val="Heading3"/>
      </w:pPr>
      <w:r>
        <w:t xml:space="preserve">2. </w:t>
      </w:r>
      <w:r>
        <w:rPr>
          <w:rFonts w:hint="eastAsia"/>
        </w:rPr>
        <w:t xml:space="preserve">采购标准建议</w:t>
      </w:r>
      <w:r>
        <w:t xml:space="preserve"> / Recommended Procurement Standards</w:t>
      </w:r>
    </w:p>
    <w:p>
      <w:pPr>
        <w:pStyle w:val="FirstParagraph"/>
      </w:pPr>
      <w:r>
        <w:rPr>
          <w:rFonts w:hint="eastAsia"/>
        </w:rPr>
        <w:t xml:space="preserve">采购标准建议优先采用</w:t>
      </w:r>
      <w:r>
        <w:t xml:space="preserve"> </w:t>
      </w:r>
      <w:r>
        <w:rPr>
          <w:rStyle w:val="VerbatimChar"/>
        </w:rPr>
        <w:t xml:space="preserve">ASME + </w:t>
      </w:r>
      <w:r>
        <w:rPr>
          <w:rStyle w:val="VerbatimChar"/>
          <w:rFonts w:hint="eastAsia"/>
        </w:rPr>
        <w:t xml:space="preserve">中国标准</w:t>
      </w:r>
      <w:r>
        <w:t xml:space="preserve"> </w:t>
      </w:r>
      <w:r>
        <w:rPr>
          <w:rFonts w:hint="eastAsia"/>
        </w:rPr>
        <w:t xml:space="preserve">的组合方式组织。压力设备、管道、材料和焊接等关键技术要求宜以</w:t>
      </w:r>
      <w:r>
        <w:t xml:space="preserve"> ASME </w:t>
      </w:r>
      <w:r>
        <w:rPr>
          <w:rFonts w:hint="eastAsia"/>
        </w:rPr>
        <w:t xml:space="preserve">体系作为主线，同时尽量匹配中国成熟设备厂家、材料体系和制造标准。这样更有利于发挥中国供应链在设备制造、材料配套、预制加工和交货周期上的优势，也更有利于后续国内预制、跨境发运和现场安装衔接。</w:t>
      </w:r>
    </w:p>
    <w:p>
      <w:pPr>
        <w:pStyle w:val="BodyText"/>
      </w:pPr>
      <w:r>
        <w:t xml:space="preserve">It is recommended that procurement be organized primarily under a combined basis of</w:t>
      </w:r>
      <w:r>
        <w:t xml:space="preserve"> </w:t>
      </w:r>
      <w:r>
        <w:rPr>
          <w:rStyle w:val="VerbatimChar"/>
        </w:rPr>
        <w:t xml:space="preserve">ASME + Chinese standards</w:t>
      </w:r>
      <w:r>
        <w:t xml:space="preserve">. For pressure equipment, piping, materials and welding, key technical requirements should mainly follow the ASME framework while aligning as much as possible with mature Chinese equipment manufacturers, material systems and manufacturing standards. This is more favorable for leveraging the advantages of the Chinese supply chain in equipment manufacturing, material matching, prefabrication and delivery lead time, and is also more favorable for the subsequent linkage between domestic prefabrication, cross-border shipment and site installation.</w:t>
      </w:r>
    </w:p>
    <w:bookmarkEnd w:id="17"/>
    <w:bookmarkStart w:id="18" w:name="Xf750963b86a54981b33ce8daa054cd4b647dbbe"/>
    <w:p>
      <w:pPr>
        <w:pStyle w:val="Heading3"/>
      </w:pPr>
      <w:r>
        <w:t xml:space="preserve">3. Technip </w:t>
      </w:r>
      <w:r>
        <w:rPr>
          <w:rFonts w:hint="eastAsia"/>
        </w:rPr>
        <w:t xml:space="preserve">主导采购范围</w:t>
      </w:r>
      <w:r>
        <w:t xml:space="preserve"> / Procurement Scope Led by Technip</w:t>
      </w:r>
    </w:p>
    <w:p>
      <w:pPr>
        <w:pStyle w:val="FirstParagraph"/>
      </w:pPr>
      <w:r>
        <w:t xml:space="preserve">Technip </w:t>
      </w:r>
      <w:r>
        <w:rPr>
          <w:rFonts w:hint="eastAsia"/>
        </w:rPr>
        <w:t xml:space="preserve">主导采购范围建议集中在关键设备、关键成套包、关键控制系统和对性能责任敏感的设备。重点包括反应器、炉类、压缩机、离心机、关键控制阀、关键安全阀、DCS/SIS</w:t>
      </w:r>
      <w:r>
        <w:t xml:space="preserve"> </w:t>
      </w:r>
      <w:r>
        <w:rPr>
          <w:rFonts w:hint="eastAsia"/>
        </w:rPr>
        <w:t xml:space="preserve">及相关关键成套包。此类物资通常同时具备三个特点，即系统责任强、制造周期长、接口边界复杂，因此更适合由</w:t>
      </w:r>
      <w:r>
        <w:t xml:space="preserve"> Technip </w:t>
      </w:r>
      <w:r>
        <w:rPr>
          <w:rFonts w:hint="eastAsia"/>
        </w:rPr>
        <w:t xml:space="preserve">统一控制技术澄清、厂家锁定、交货状态和供货责任。</w:t>
      </w:r>
    </w:p>
    <w:p>
      <w:pPr>
        <w:pStyle w:val="BodyText"/>
      </w:pPr>
      <w:r>
        <w:t xml:space="preserve">Technip-led procurement is recommended to focus on key equipment, key package systems, key control systems and equipment that is sensitive to performance responsibility. This mainly includes reactors, fired heaters, compressors, centrifuges, critical control valves, critical safety valves, DCS/SIS and related key package systems. These items generally share three characteristics: strong system responsibility, long manufacturing cycles and complex interface boundaries. They are therefore better controlled by Technip in terms of technical clarification, vendor alignment, delivery status and supply responsibility.</w:t>
      </w:r>
    </w:p>
    <w:bookmarkEnd w:id="18"/>
    <w:bookmarkStart w:id="19" w:name="X805595ef737a1cd200d0f5440294c501a17f189"/>
    <w:p>
      <w:pPr>
        <w:pStyle w:val="Heading3"/>
      </w:pPr>
      <w:r>
        <w:t xml:space="preserve">4. </w:t>
      </w:r>
      <w:r>
        <w:rPr>
          <w:rFonts w:hint="eastAsia"/>
        </w:rPr>
        <w:t xml:space="preserve">主要设备供应商和品牌建议</w:t>
      </w:r>
      <w:r>
        <w:t xml:space="preserve"> / Recommended Major Equipment Suppliers and Brands</w:t>
      </w:r>
    </w:p>
    <w:p>
      <w:pPr>
        <w:pStyle w:val="FirstParagraph"/>
      </w:pPr>
      <w:r>
        <w:rPr>
          <w:rFonts w:hint="eastAsia"/>
        </w:rPr>
        <w:t xml:space="preserve">主要设备供应商建议优先选择在马来西亚有项目业绩、能提供当地售后服务、交付周期相对稳定的品牌和厂家。过往项目中，压缩机主要厂家包括沈鼓和沈阳远大；炉类设备主要厂家包括托普工业和上海卓然；离心机主要厂家为阿法拉伐；DCS/SIS</w:t>
      </w:r>
      <w:r>
        <w:t xml:space="preserve"> </w:t>
      </w:r>
      <w:r>
        <w:rPr>
          <w:rFonts w:hint="eastAsia"/>
        </w:rPr>
        <w:t xml:space="preserve">主要厂家为艾默生；阀门和控制阀样本中出现较多的厂家包括凯斯通、阀泰科技和莱斯安全阀门。对本项目而言，品牌建议不宜理解为最终定版清单，更适合作为优先询价和优先技术澄清名单。Technip</w:t>
      </w:r>
      <w:r>
        <w:t xml:space="preserve"> </w:t>
      </w:r>
      <w:r>
        <w:rPr>
          <w:rFonts w:hint="eastAsia"/>
        </w:rPr>
        <w:t xml:space="preserve">主导采购的关键设备建议优先锁定反应器、炉类、压缩机、离心机、关键控制阀、DCS/SIS</w:t>
      </w:r>
      <w:r>
        <w:t xml:space="preserve"> </w:t>
      </w:r>
      <w:r>
        <w:rPr>
          <w:rFonts w:hint="eastAsia"/>
        </w:rPr>
        <w:t xml:space="preserve">等设备的主选品牌和备选品牌，避免在采购后期因单一厂家交期或接口问题影响整体节奏。</w:t>
      </w:r>
    </w:p>
    <w:p>
      <w:pPr>
        <w:pStyle w:val="BodyText"/>
      </w:pPr>
      <w:r>
        <w:t xml:space="preserve">It is recommended to prioritize suppliers and brands that have project references in Malaysia, can provide local after-sales service, and offer relatively stable delivery performance. In previous projects, the main compressor suppliers included Shengu and Shenyang Yuanda; fired heater suppliers included Top Industry and Shanghai Zhuoran; centrifuges were mainly supplied by Alfa Laval; DCS/SIS was mainly supplied by Emerson; and frequently seen valve and control valve suppliers included Keystone, Vatech and Leser. For this project, the brand recommendations should not be treated as a final approved vendor list, but rather as a preferred list for early inquiry and technical clarification. For key equipment under Technip-led procurement, it is recommended to lock in both primary and backup brands for reactors, fired heaters, compressors, centrifuges, critical control valves and DCS/SIS at an early stage, so as to avoid later disruption caused by single-vendor delivery or interface issues.</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设备/物资类别</w:t>
            </w:r>
          </w:p>
        </w:tc>
        <w:tc>
          <w:tcPr/>
          <w:p>
            <w:pPr>
              <w:pStyle w:val="Compact"/>
            </w:pPr>
            <w:r>
              <w:rPr>
                <w:rFonts w:hint="eastAsia"/>
              </w:rPr>
              <w:t xml:space="preserve">过往项目主要厂家/品牌</w:t>
            </w:r>
          </w:p>
        </w:tc>
        <w:tc>
          <w:tcPr/>
          <w:p>
            <w:pPr>
              <w:pStyle w:val="Compact"/>
            </w:pPr>
            <w:r>
              <w:rPr>
                <w:rFonts w:hint="eastAsia"/>
              </w:rPr>
              <w:t xml:space="preserve">本项目建议归口</w:t>
            </w:r>
          </w:p>
        </w:tc>
        <w:tc>
          <w:tcPr/>
          <w:p>
            <w:pPr>
              <w:pStyle w:val="Compact"/>
            </w:pPr>
            <w:r>
              <w:rPr>
                <w:rFonts w:hint="eastAsia"/>
              </w:rPr>
              <w:t xml:space="preserve">备注</w:t>
            </w:r>
          </w:p>
        </w:tc>
      </w:tr>
      <w:tr>
        <w:tc>
          <w:tcPr/>
          <w:p>
            <w:pPr>
              <w:pStyle w:val="Compact"/>
            </w:pPr>
            <w:r>
              <w:rPr>
                <w:rFonts w:hint="eastAsia"/>
              </w:rPr>
              <w:t xml:space="preserve">反应器</w:t>
            </w:r>
          </w:p>
        </w:tc>
        <w:tc>
          <w:tcPr/>
          <w:p>
            <w:pPr>
              <w:pStyle w:val="Compact"/>
            </w:pPr>
            <w:r>
              <w:rPr>
                <w:rFonts w:hint="eastAsia"/>
              </w:rPr>
              <w:t xml:space="preserve">抚顺机械、江苏江锅</w:t>
            </w:r>
          </w:p>
        </w:tc>
        <w:tc>
          <w:tcPr/>
          <w:p>
            <w:pPr>
              <w:pStyle w:val="Compact"/>
            </w:pPr>
            <w:r>
              <w:t xml:space="preserve">Technip </w:t>
            </w:r>
            <w:r>
              <w:rPr>
                <w:rFonts w:hint="eastAsia"/>
              </w:rPr>
              <w:t xml:space="preserve">主导</w:t>
            </w:r>
          </w:p>
        </w:tc>
        <w:tc>
          <w:tcPr/>
          <w:p>
            <w:pPr>
              <w:pStyle w:val="Compact"/>
            </w:pPr>
            <w:r>
              <w:rPr>
                <w:rFonts w:hint="eastAsia"/>
              </w:rPr>
              <w:t xml:space="preserve">关键工艺设备，宜优先锁定主选和备选厂家</w:t>
            </w:r>
          </w:p>
        </w:tc>
      </w:tr>
      <w:tr>
        <w:tc>
          <w:tcPr/>
          <w:p>
            <w:pPr>
              <w:pStyle w:val="Compact"/>
            </w:pPr>
            <w:r>
              <w:rPr>
                <w:rFonts w:hint="eastAsia"/>
              </w:rPr>
              <w:t xml:space="preserve">制氢炉/加热炉/转化炉</w:t>
            </w:r>
          </w:p>
        </w:tc>
        <w:tc>
          <w:tcPr/>
          <w:p>
            <w:pPr>
              <w:pStyle w:val="Compact"/>
            </w:pPr>
            <w:r>
              <w:rPr>
                <w:rFonts w:hint="eastAsia"/>
              </w:rPr>
              <w:t xml:space="preserve">托普工业、上海卓然</w:t>
            </w:r>
          </w:p>
        </w:tc>
        <w:tc>
          <w:tcPr/>
          <w:p>
            <w:pPr>
              <w:pStyle w:val="Compact"/>
            </w:pPr>
            <w:r>
              <w:t xml:space="preserve">Technip </w:t>
            </w:r>
            <w:r>
              <w:rPr>
                <w:rFonts w:hint="eastAsia"/>
              </w:rPr>
              <w:t xml:space="preserve">主导</w:t>
            </w:r>
          </w:p>
        </w:tc>
        <w:tc>
          <w:tcPr/>
          <w:p>
            <w:pPr>
              <w:pStyle w:val="Compact"/>
            </w:pPr>
            <w:r>
              <w:rPr>
                <w:rFonts w:hint="eastAsia"/>
              </w:rPr>
              <w:t xml:space="preserve">大件设备，需同步考虑运输和安装条件</w:t>
            </w:r>
          </w:p>
        </w:tc>
      </w:tr>
      <w:tr>
        <w:tc>
          <w:tcPr/>
          <w:p>
            <w:pPr>
              <w:pStyle w:val="Compact"/>
            </w:pPr>
            <w:r>
              <w:rPr>
                <w:rFonts w:hint="eastAsia"/>
              </w:rPr>
              <w:t xml:space="preserve">压缩机</w:t>
            </w:r>
          </w:p>
        </w:tc>
        <w:tc>
          <w:tcPr/>
          <w:p>
            <w:pPr>
              <w:pStyle w:val="Compact"/>
            </w:pPr>
            <w:r>
              <w:rPr>
                <w:rFonts w:hint="eastAsia"/>
              </w:rPr>
              <w:t xml:space="preserve">沈鼓、沈阳远大、复盛易利达</w:t>
            </w:r>
          </w:p>
        </w:tc>
        <w:tc>
          <w:tcPr/>
          <w:p>
            <w:pPr>
              <w:pStyle w:val="Compact"/>
            </w:pPr>
            <w:r>
              <w:t xml:space="preserve">Technip </w:t>
            </w:r>
            <w:r>
              <w:rPr>
                <w:rFonts w:hint="eastAsia"/>
              </w:rPr>
              <w:t xml:space="preserve">主导</w:t>
            </w:r>
          </w:p>
        </w:tc>
        <w:tc>
          <w:tcPr/>
          <w:p>
            <w:pPr>
              <w:pStyle w:val="Compact"/>
            </w:pPr>
            <w:r>
              <w:rPr>
                <w:rFonts w:hint="eastAsia"/>
              </w:rPr>
              <w:t xml:space="preserve">关键动设备，建议优先技术澄清和交期锁定</w:t>
            </w:r>
          </w:p>
        </w:tc>
      </w:tr>
      <w:tr>
        <w:tc>
          <w:tcPr/>
          <w:p>
            <w:pPr>
              <w:pStyle w:val="Compact"/>
            </w:pPr>
            <w:r>
              <w:rPr>
                <w:rFonts w:hint="eastAsia"/>
              </w:rPr>
              <w:t xml:space="preserve">离心机</w:t>
            </w:r>
          </w:p>
        </w:tc>
        <w:tc>
          <w:tcPr/>
          <w:p>
            <w:pPr>
              <w:pStyle w:val="Compact"/>
            </w:pPr>
            <w:r>
              <w:rPr>
                <w:rFonts w:hint="eastAsia"/>
              </w:rPr>
              <w:t xml:space="preserve">阿法拉伐</w:t>
            </w:r>
            <w:r>
              <w:t xml:space="preserve"> Denmark、Alfa Laval Sweden、Alfa Laval India、Alfa Laval China</w:t>
            </w:r>
          </w:p>
        </w:tc>
        <w:tc>
          <w:tcPr/>
          <w:p>
            <w:pPr>
              <w:pStyle w:val="Compact"/>
            </w:pPr>
            <w:r>
              <w:t xml:space="preserve">Technip </w:t>
            </w:r>
            <w:r>
              <w:rPr>
                <w:rFonts w:hint="eastAsia"/>
              </w:rPr>
              <w:t xml:space="preserve">主导</w:t>
            </w:r>
          </w:p>
        </w:tc>
        <w:tc>
          <w:tcPr/>
          <w:p>
            <w:pPr>
              <w:pStyle w:val="Compact"/>
            </w:pPr>
            <w:r>
              <w:rPr>
                <w:rFonts w:hint="eastAsia"/>
              </w:rPr>
              <w:t xml:space="preserve">国际运输周期较长，宜单独前置</w:t>
            </w:r>
          </w:p>
        </w:tc>
      </w:tr>
      <w:tr>
        <w:tc>
          <w:tcPr/>
          <w:p>
            <w:pPr>
              <w:pStyle w:val="Compact"/>
            </w:pPr>
            <w:r>
              <w:rPr>
                <w:rFonts w:hint="eastAsia"/>
              </w:rPr>
              <w:t xml:space="preserve">泵</w:t>
            </w:r>
          </w:p>
        </w:tc>
        <w:tc>
          <w:tcPr/>
          <w:p>
            <w:pPr>
              <w:pStyle w:val="Compact"/>
            </w:pPr>
            <w:r>
              <w:rPr>
                <w:rFonts w:hint="eastAsia"/>
              </w:rPr>
              <w:t xml:space="preserve">里瓦、大连深蓝、嘉利特荏原</w:t>
            </w:r>
          </w:p>
        </w:tc>
        <w:tc>
          <w:tcPr/>
          <w:p>
            <w:pPr>
              <w:pStyle w:val="Compact"/>
            </w:pPr>
            <w:r>
              <w:rPr>
                <w:rFonts w:hint="eastAsia"/>
              </w:rPr>
              <w:t xml:space="preserve">视系统重要性划分</w:t>
            </w:r>
          </w:p>
        </w:tc>
        <w:tc>
          <w:tcPr/>
          <w:p>
            <w:pPr>
              <w:pStyle w:val="Compact"/>
            </w:pPr>
            <w:r>
              <w:rPr>
                <w:rFonts w:hint="eastAsia"/>
              </w:rPr>
              <w:t xml:space="preserve">关键泵可纳入</w:t>
            </w:r>
            <w:r>
              <w:t xml:space="preserve"> </w:t>
            </w:r>
            <w:r>
              <w:rPr>
                <w:rFonts w:hint="eastAsia"/>
              </w:rPr>
              <w:t xml:space="preserve">Technip，一般泵可由</w:t>
            </w:r>
            <w:r>
              <w:t xml:space="preserve"> NCC </w:t>
            </w:r>
            <w:r>
              <w:rPr>
                <w:rFonts w:hint="eastAsia"/>
              </w:rPr>
              <w:t xml:space="preserve">组织</w:t>
            </w:r>
          </w:p>
        </w:tc>
      </w:tr>
      <w:tr>
        <w:tc>
          <w:tcPr/>
          <w:p>
            <w:pPr>
              <w:pStyle w:val="Compact"/>
            </w:pPr>
            <w:r>
              <w:t xml:space="preserve">DCS/SIS</w:t>
            </w:r>
          </w:p>
        </w:tc>
        <w:tc>
          <w:tcPr/>
          <w:p>
            <w:pPr>
              <w:pStyle w:val="Compact"/>
            </w:pPr>
            <w:r>
              <w:rPr>
                <w:rFonts w:hint="eastAsia"/>
              </w:rPr>
              <w:t xml:space="preserve">艾默生</w:t>
            </w:r>
          </w:p>
        </w:tc>
        <w:tc>
          <w:tcPr/>
          <w:p>
            <w:pPr>
              <w:pStyle w:val="Compact"/>
            </w:pPr>
            <w:r>
              <w:t xml:space="preserve">Technip </w:t>
            </w:r>
            <w:r>
              <w:rPr>
                <w:rFonts w:hint="eastAsia"/>
              </w:rPr>
              <w:t xml:space="preserve">主导</w:t>
            </w:r>
          </w:p>
        </w:tc>
        <w:tc>
          <w:tcPr/>
          <w:p>
            <w:pPr>
              <w:pStyle w:val="Compact"/>
            </w:pPr>
            <w:r>
              <w:rPr>
                <w:rFonts w:hint="eastAsia"/>
              </w:rPr>
              <w:t xml:space="preserve">控制系统接口复杂，宜统一控制</w:t>
            </w:r>
          </w:p>
        </w:tc>
      </w:tr>
      <w:tr>
        <w:tc>
          <w:tcPr/>
          <w:p>
            <w:pPr>
              <w:pStyle w:val="Compact"/>
            </w:pPr>
            <w:r>
              <w:rPr>
                <w:rFonts w:hint="eastAsia"/>
              </w:rPr>
              <w:t xml:space="preserve">关键控制阀/调节阀</w:t>
            </w:r>
          </w:p>
        </w:tc>
        <w:tc>
          <w:tcPr/>
          <w:p>
            <w:pPr>
              <w:pStyle w:val="Compact"/>
            </w:pPr>
            <w:r>
              <w:rPr>
                <w:rFonts w:hint="eastAsia"/>
              </w:rPr>
              <w:t xml:space="preserve">阀泰科技、凯斯通</w:t>
            </w:r>
          </w:p>
        </w:tc>
        <w:tc>
          <w:tcPr/>
          <w:p>
            <w:pPr>
              <w:pStyle w:val="Compact"/>
            </w:pPr>
            <w:r>
              <w:t xml:space="preserve">Technip </w:t>
            </w:r>
            <w:r>
              <w:rPr>
                <w:rFonts w:hint="eastAsia"/>
              </w:rPr>
              <w:t xml:space="preserve">主导</w:t>
            </w:r>
          </w:p>
        </w:tc>
        <w:tc>
          <w:tcPr/>
          <w:p>
            <w:pPr>
              <w:pStyle w:val="Compact"/>
            </w:pPr>
            <w:r>
              <w:rPr>
                <w:rFonts w:hint="eastAsia"/>
              </w:rPr>
              <w:t xml:space="preserve">对系统控制和联锁影响较大</w:t>
            </w:r>
          </w:p>
        </w:tc>
      </w:tr>
      <w:tr>
        <w:tc>
          <w:tcPr/>
          <w:p>
            <w:pPr>
              <w:pStyle w:val="Compact"/>
            </w:pPr>
            <w:r>
              <w:rPr>
                <w:rFonts w:hint="eastAsia"/>
              </w:rPr>
              <w:t xml:space="preserve">安全阀</w:t>
            </w:r>
          </w:p>
        </w:tc>
        <w:tc>
          <w:tcPr/>
          <w:p>
            <w:pPr>
              <w:pStyle w:val="Compact"/>
            </w:pPr>
            <w:r>
              <w:rPr>
                <w:rFonts w:hint="eastAsia"/>
              </w:rPr>
              <w:t xml:space="preserve">Leser、莱斯安全阀门</w:t>
            </w:r>
          </w:p>
        </w:tc>
        <w:tc>
          <w:tcPr/>
          <w:p>
            <w:pPr>
              <w:pStyle w:val="Compact"/>
            </w:pPr>
            <w:r>
              <w:t xml:space="preserve">Technip </w:t>
            </w:r>
            <w:r>
              <w:rPr>
                <w:rFonts w:hint="eastAsia"/>
              </w:rPr>
              <w:t xml:space="preserve">主导或按系统划分</w:t>
            </w:r>
          </w:p>
        </w:tc>
        <w:tc>
          <w:tcPr/>
          <w:p>
            <w:pPr>
              <w:pStyle w:val="Compact"/>
            </w:pPr>
            <w:r>
              <w:rPr>
                <w:rFonts w:hint="eastAsia"/>
              </w:rPr>
              <w:t xml:space="preserve">宜优先考虑认证和当地验收要求</w:t>
            </w:r>
          </w:p>
        </w:tc>
      </w:tr>
      <w:tr>
        <w:tc>
          <w:tcPr/>
          <w:p>
            <w:pPr>
              <w:pStyle w:val="Compact"/>
            </w:pPr>
            <w:r>
              <w:rPr>
                <w:rFonts w:hint="eastAsia"/>
              </w:rPr>
              <w:t xml:space="preserve">高压/工艺阀门</w:t>
            </w:r>
          </w:p>
        </w:tc>
        <w:tc>
          <w:tcPr/>
          <w:p>
            <w:pPr>
              <w:pStyle w:val="Compact"/>
            </w:pPr>
            <w:r>
              <w:rPr>
                <w:rFonts w:hint="eastAsia"/>
              </w:rPr>
              <w:t xml:space="preserve">凯斯通、江苏大阀、大高、安徽铜都</w:t>
            </w:r>
          </w:p>
        </w:tc>
        <w:tc>
          <w:tcPr/>
          <w:p>
            <w:pPr>
              <w:pStyle w:val="Compact"/>
            </w:pPr>
            <w:r>
              <w:t xml:space="preserve">NCC </w:t>
            </w:r>
            <w:r>
              <w:rPr>
                <w:rFonts w:hint="eastAsia"/>
              </w:rPr>
              <w:t xml:space="preserve">跨境采购为主</w:t>
            </w:r>
          </w:p>
        </w:tc>
        <w:tc>
          <w:tcPr/>
          <w:p>
            <w:pPr>
              <w:pStyle w:val="Compact"/>
            </w:pPr>
            <w:r>
              <w:rPr>
                <w:rFonts w:hint="eastAsia"/>
              </w:rPr>
              <w:t xml:space="preserve">与管道安装和预制衔接紧密</w:t>
            </w:r>
          </w:p>
        </w:tc>
      </w:tr>
      <w:tr>
        <w:tc>
          <w:tcPr/>
          <w:p>
            <w:pPr>
              <w:pStyle w:val="Compact"/>
            </w:pPr>
            <w:r>
              <w:rPr>
                <w:rFonts w:hint="eastAsia"/>
              </w:rPr>
              <w:t xml:space="preserve">消防阀门</w:t>
            </w:r>
          </w:p>
        </w:tc>
        <w:tc>
          <w:tcPr/>
          <w:p>
            <w:pPr>
              <w:pStyle w:val="Compact"/>
            </w:pPr>
            <w:r>
              <w:rPr>
                <w:rFonts w:hint="eastAsia"/>
              </w:rPr>
              <w:t xml:space="preserve">安徽铜都等</w:t>
            </w:r>
          </w:p>
        </w:tc>
        <w:tc>
          <w:tcPr/>
          <w:p>
            <w:pPr>
              <w:pStyle w:val="Compact"/>
            </w:pPr>
            <w:r>
              <w:t xml:space="preserve">NCC </w:t>
            </w:r>
            <w:r>
              <w:rPr>
                <w:rFonts w:hint="eastAsia"/>
              </w:rPr>
              <w:t xml:space="preserve">跨境采购或本地补充</w:t>
            </w:r>
          </w:p>
        </w:tc>
        <w:tc>
          <w:tcPr/>
          <w:p>
            <w:pPr>
              <w:pStyle w:val="Compact"/>
            </w:pPr>
            <w:r>
              <w:rPr>
                <w:rFonts w:hint="eastAsia"/>
              </w:rPr>
              <w:t xml:space="preserve">与消防系统成套和当地验收联动较强</w:t>
            </w:r>
          </w:p>
        </w:tc>
      </w:tr>
      <w:tr>
        <w:tc>
          <w:tcPr/>
          <w:p>
            <w:pPr>
              <w:pStyle w:val="Compact"/>
            </w:pPr>
            <w:r>
              <w:rPr>
                <w:rFonts w:hint="eastAsia"/>
              </w:rPr>
              <w:t xml:space="preserve">仪表管阀件/仪表附件</w:t>
            </w:r>
          </w:p>
        </w:tc>
        <w:tc>
          <w:tcPr/>
          <w:p>
            <w:pPr>
              <w:pStyle w:val="Compact"/>
            </w:pPr>
            <w:r>
              <w:rPr>
                <w:rFonts w:hint="eastAsia"/>
              </w:rPr>
              <w:t xml:space="preserve">海纬、横河、ABB</w:t>
            </w:r>
          </w:p>
        </w:tc>
        <w:tc>
          <w:tcPr/>
          <w:p>
            <w:pPr>
              <w:pStyle w:val="Compact"/>
            </w:pPr>
            <w:r>
              <w:t xml:space="preserve">NCC </w:t>
            </w:r>
            <w:r>
              <w:rPr>
                <w:rFonts w:hint="eastAsia"/>
              </w:rPr>
              <w:t xml:space="preserve">跨境采购为主</w:t>
            </w:r>
          </w:p>
        </w:tc>
        <w:tc>
          <w:tcPr/>
          <w:p>
            <w:pPr>
              <w:pStyle w:val="Compact"/>
            </w:pPr>
            <w:r>
              <w:rPr>
                <w:rFonts w:hint="eastAsia"/>
              </w:rPr>
              <w:t xml:space="preserve">后期调试和系统完善用量较多</w:t>
            </w:r>
          </w:p>
        </w:tc>
      </w:tr>
      <w:tr>
        <w:tc>
          <w:tcPr/>
          <w:p>
            <w:pPr>
              <w:pStyle w:val="Compact"/>
            </w:pPr>
            <w:r>
              <w:rPr>
                <w:rFonts w:hint="eastAsia"/>
              </w:rPr>
              <w:t xml:space="preserve">质量流量计/分析仪表</w:t>
            </w:r>
          </w:p>
        </w:tc>
        <w:tc>
          <w:tcPr/>
          <w:p>
            <w:pPr>
              <w:pStyle w:val="Compact"/>
            </w:pPr>
            <w:r>
              <w:rPr>
                <w:rFonts w:hint="eastAsia"/>
              </w:rPr>
              <w:t xml:space="preserve">横河、ABB</w:t>
            </w:r>
          </w:p>
        </w:tc>
        <w:tc>
          <w:tcPr/>
          <w:p>
            <w:pPr>
              <w:pStyle w:val="Compact"/>
            </w:pPr>
            <w:r>
              <w:rPr>
                <w:rFonts w:hint="eastAsia"/>
              </w:rPr>
              <w:t xml:space="preserve">视系统重要性划分</w:t>
            </w:r>
          </w:p>
        </w:tc>
        <w:tc>
          <w:tcPr/>
          <w:p>
            <w:pPr>
              <w:pStyle w:val="Compact"/>
            </w:pPr>
            <w:r>
              <w:rPr>
                <w:rFonts w:hint="eastAsia"/>
              </w:rPr>
              <w:t xml:space="preserve">关键分析仪表宜提前锁定</w:t>
            </w:r>
          </w:p>
        </w:tc>
      </w:tr>
      <w:tr>
        <w:tc>
          <w:tcPr/>
          <w:p>
            <w:pPr>
              <w:pStyle w:val="Compact"/>
            </w:pPr>
            <w:r>
              <w:rPr>
                <w:rFonts w:hint="eastAsia"/>
              </w:rPr>
              <w:t xml:space="preserve">白土输送系统/循环水成套包</w:t>
            </w:r>
          </w:p>
        </w:tc>
        <w:tc>
          <w:tcPr/>
          <w:p>
            <w:pPr>
              <w:pStyle w:val="Compact"/>
            </w:pPr>
            <w:r>
              <w:rPr>
                <w:rFonts w:hint="eastAsia"/>
              </w:rPr>
              <w:t xml:space="preserve">过往项目已有成套系统供货样本</w:t>
            </w:r>
          </w:p>
        </w:tc>
        <w:tc>
          <w:tcPr/>
          <w:p>
            <w:pPr>
              <w:pStyle w:val="Compact"/>
            </w:pPr>
            <w:r>
              <w:t xml:space="preserve">Technip </w:t>
            </w:r>
            <w:r>
              <w:rPr>
                <w:rFonts w:hint="eastAsia"/>
              </w:rPr>
              <w:t xml:space="preserve">或</w:t>
            </w:r>
            <w:r>
              <w:t xml:space="preserve"> NCC EPC </w:t>
            </w:r>
            <w:r>
              <w:rPr>
                <w:rFonts w:hint="eastAsia"/>
              </w:rPr>
              <w:t xml:space="preserve">管理</w:t>
            </w:r>
          </w:p>
        </w:tc>
        <w:tc>
          <w:tcPr/>
          <w:p>
            <w:pPr>
              <w:pStyle w:val="Compact"/>
            </w:pPr>
            <w:r>
              <w:rPr>
                <w:rFonts w:hint="eastAsia"/>
              </w:rPr>
              <w:t xml:space="preserve">应按成套包界面方式单独管理</w:t>
            </w:r>
          </w:p>
        </w:tc>
      </w:tr>
      <w:tr>
        <w:tc>
          <w:tcPr/>
          <w:p>
            <w:pPr>
              <w:pStyle w:val="Compact"/>
            </w:pPr>
            <w:r>
              <w:rPr>
                <w:rFonts w:hint="eastAsia"/>
              </w:rPr>
              <w:t xml:space="preserve">水处理/IETS/锅炉/燃气/空压站成套包</w:t>
            </w:r>
          </w:p>
        </w:tc>
        <w:tc>
          <w:tcPr/>
          <w:p>
            <w:pPr>
              <w:pStyle w:val="Compact"/>
            </w:pPr>
            <w:r>
              <w:rPr>
                <w:rFonts w:hint="eastAsia"/>
              </w:rPr>
              <w:t xml:space="preserve">过往项目为多厂家分包模式</w:t>
            </w:r>
          </w:p>
        </w:tc>
        <w:tc>
          <w:tcPr/>
          <w:p>
            <w:pPr>
              <w:pStyle w:val="Compact"/>
            </w:pPr>
            <w:r>
              <w:t xml:space="preserve">NCC EPC </w:t>
            </w:r>
            <w:r>
              <w:rPr>
                <w:rFonts w:hint="eastAsia"/>
              </w:rPr>
              <w:t xml:space="preserve">管理</w:t>
            </w:r>
          </w:p>
        </w:tc>
        <w:tc>
          <w:tcPr/>
          <w:p>
            <w:pPr>
              <w:pStyle w:val="Compact"/>
            </w:pPr>
            <w:r>
              <w:rPr>
                <w:rFonts w:hint="eastAsia"/>
              </w:rPr>
              <w:t xml:space="preserve">由设计方提界面，厂家做包内设计，NCC</w:t>
            </w:r>
            <w:r>
              <w:t xml:space="preserve"> </w:t>
            </w:r>
            <w:r>
              <w:rPr>
                <w:rFonts w:hint="eastAsia"/>
              </w:rPr>
              <w:t xml:space="preserve">统一管理</w:t>
            </w:r>
          </w:p>
        </w:tc>
      </w:tr>
      <w:tr>
        <w:tc>
          <w:tcPr/>
          <w:p>
            <w:pPr>
              <w:pStyle w:val="Compact"/>
            </w:pPr>
            <w:r>
              <w:rPr>
                <w:rFonts w:hint="eastAsia"/>
              </w:rPr>
              <w:t xml:space="preserve">钢结构</w:t>
            </w:r>
          </w:p>
        </w:tc>
        <w:tc>
          <w:tcPr/>
          <w:p>
            <w:pPr>
              <w:pStyle w:val="Compact"/>
            </w:pPr>
            <w:r>
              <w:rPr>
                <w:rFonts w:hint="eastAsia"/>
              </w:rPr>
              <w:t xml:space="preserve">过往项目由</w:t>
            </w:r>
            <w:r>
              <w:t xml:space="preserve"> NCC </w:t>
            </w:r>
            <w:r>
              <w:rPr>
                <w:rFonts w:hint="eastAsia"/>
              </w:rPr>
              <w:t xml:space="preserve">组织多批采购和预制</w:t>
            </w:r>
          </w:p>
        </w:tc>
        <w:tc>
          <w:tcPr/>
          <w:p>
            <w:pPr>
              <w:pStyle w:val="Compact"/>
            </w:pPr>
            <w:r>
              <w:t xml:space="preserve">NCC </w:t>
            </w:r>
            <w:r>
              <w:rPr>
                <w:rFonts w:hint="eastAsia"/>
              </w:rPr>
              <w:t xml:space="preserve">跨境采购与国内预制</w:t>
            </w:r>
          </w:p>
        </w:tc>
        <w:tc>
          <w:tcPr/>
          <w:p>
            <w:pPr>
              <w:pStyle w:val="Compact"/>
            </w:pPr>
            <w:r>
              <w:rPr>
                <w:rFonts w:hint="eastAsia"/>
              </w:rPr>
              <w:t xml:space="preserve">建议由</w:t>
            </w:r>
            <w:r>
              <w:t xml:space="preserve"> NCC </w:t>
            </w:r>
            <w:r>
              <w:rPr>
                <w:rFonts w:hint="eastAsia"/>
              </w:rPr>
              <w:t xml:space="preserve">负责国内采购和预制</w:t>
            </w:r>
          </w:p>
        </w:tc>
      </w:tr>
      <w:tr>
        <w:tc>
          <w:tcPr/>
          <w:p>
            <w:pPr>
              <w:pStyle w:val="Compact"/>
            </w:pPr>
            <w:r>
              <w:rPr>
                <w:rFonts w:hint="eastAsia"/>
              </w:rPr>
              <w:t xml:space="preserve">管道主材/管件/法兰</w:t>
            </w:r>
          </w:p>
        </w:tc>
        <w:tc>
          <w:tcPr/>
          <w:p>
            <w:pPr>
              <w:pStyle w:val="Compact"/>
            </w:pPr>
            <w:r>
              <w:rPr>
                <w:rFonts w:hint="eastAsia"/>
              </w:rPr>
              <w:t xml:space="preserve">实华、武进等样本厂家</w:t>
            </w:r>
          </w:p>
        </w:tc>
        <w:tc>
          <w:tcPr/>
          <w:p>
            <w:pPr>
              <w:pStyle w:val="Compact"/>
            </w:pPr>
            <w:r>
              <w:t xml:space="preserve">NCC </w:t>
            </w:r>
            <w:r>
              <w:rPr>
                <w:rFonts w:hint="eastAsia"/>
              </w:rPr>
              <w:t xml:space="preserve">跨境采购与国内预制</w:t>
            </w:r>
          </w:p>
        </w:tc>
        <w:tc>
          <w:tcPr/>
          <w:p>
            <w:pPr>
              <w:pStyle w:val="Compact"/>
            </w:pPr>
            <w:r>
              <w:rPr>
                <w:rFonts w:hint="eastAsia"/>
              </w:rPr>
              <w:t xml:space="preserve">直接关系预制和安装窗口</w:t>
            </w:r>
          </w:p>
        </w:tc>
      </w:tr>
      <w:tr>
        <w:tc>
          <w:tcPr/>
          <w:p>
            <w:pPr>
              <w:pStyle w:val="Compact"/>
            </w:pPr>
            <w:r>
              <w:rPr>
                <w:rFonts w:hint="eastAsia"/>
              </w:rPr>
              <w:t xml:space="preserve">预制罐板/储罐附件</w:t>
            </w:r>
          </w:p>
        </w:tc>
        <w:tc>
          <w:tcPr/>
          <w:p>
            <w:pPr>
              <w:pStyle w:val="Compact"/>
            </w:pPr>
            <w:r>
              <w:rPr>
                <w:rFonts w:hint="eastAsia"/>
              </w:rPr>
              <w:t xml:space="preserve">过往项目由</w:t>
            </w:r>
            <w:r>
              <w:t xml:space="preserve"> NCC </w:t>
            </w:r>
            <w:r>
              <w:rPr>
                <w:rFonts w:hint="eastAsia"/>
              </w:rPr>
              <w:t xml:space="preserve">组织多批采购和发运</w:t>
            </w:r>
          </w:p>
        </w:tc>
        <w:tc>
          <w:tcPr/>
          <w:p>
            <w:pPr>
              <w:pStyle w:val="Compact"/>
            </w:pPr>
            <w:r>
              <w:t xml:space="preserve">NCC </w:t>
            </w:r>
            <w:r>
              <w:rPr>
                <w:rFonts w:hint="eastAsia"/>
              </w:rPr>
              <w:t xml:space="preserve">跨境采购与国内预制</w:t>
            </w:r>
          </w:p>
        </w:tc>
        <w:tc>
          <w:tcPr/>
          <w:p>
            <w:pPr>
              <w:pStyle w:val="Compact"/>
            </w:pPr>
            <w:r>
              <w:rPr>
                <w:rFonts w:hint="eastAsia"/>
              </w:rPr>
              <w:t xml:space="preserve">建议与储罐施工和物流计划一体化管理</w:t>
            </w:r>
          </w:p>
        </w:tc>
      </w:tr>
      <w:tr>
        <w:tc>
          <w:tcPr/>
          <w:p>
            <w:pPr>
              <w:pStyle w:val="Compact"/>
            </w:pPr>
            <w:r>
              <w:rPr>
                <w:rFonts w:hint="eastAsia"/>
              </w:rPr>
              <w:t xml:space="preserve">电缆/桥架/盘柜/变频器</w:t>
            </w:r>
          </w:p>
        </w:tc>
        <w:tc>
          <w:tcPr/>
          <w:p>
            <w:pPr>
              <w:pStyle w:val="Compact"/>
            </w:pPr>
            <w:r>
              <w:rPr>
                <w:rFonts w:hint="eastAsia"/>
              </w:rPr>
              <w:t xml:space="preserve">天康、西门子等样本品牌</w:t>
            </w:r>
          </w:p>
        </w:tc>
        <w:tc>
          <w:tcPr/>
          <w:p>
            <w:pPr>
              <w:pStyle w:val="Compact"/>
            </w:pPr>
            <w:r>
              <w:t xml:space="preserve">NCC </w:t>
            </w:r>
            <w:r>
              <w:rPr>
                <w:rFonts w:hint="eastAsia"/>
              </w:rPr>
              <w:t xml:space="preserve">本地采购与跨境采购结合</w:t>
            </w:r>
          </w:p>
        </w:tc>
        <w:tc>
          <w:tcPr/>
          <w:p>
            <w:pPr>
              <w:pStyle w:val="Compact"/>
            </w:pPr>
            <w:r>
              <w:rPr>
                <w:rFonts w:hint="eastAsia"/>
              </w:rPr>
              <w:t xml:space="preserve">应按当地规范和到场窗口滚动释放</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Equipment / Material Category</w:t>
            </w:r>
          </w:p>
        </w:tc>
        <w:tc>
          <w:tcPr/>
          <w:p>
            <w:pPr>
              <w:pStyle w:val="Compact"/>
            </w:pPr>
            <w:r>
              <w:t xml:space="preserve">Main Suppliers / Brands in Previous Projects</w:t>
            </w:r>
          </w:p>
        </w:tc>
        <w:tc>
          <w:tcPr/>
          <w:p>
            <w:pPr>
              <w:pStyle w:val="Compact"/>
            </w:pPr>
            <w:r>
              <w:t xml:space="preserve">Recommended Allocation for This Project</w:t>
            </w:r>
          </w:p>
        </w:tc>
        <w:tc>
          <w:tcPr/>
          <w:p>
            <w:pPr>
              <w:pStyle w:val="Compact"/>
            </w:pPr>
            <w:r>
              <w:t xml:space="preserve">Remarks</w:t>
            </w:r>
          </w:p>
        </w:tc>
      </w:tr>
      <w:tr>
        <w:tc>
          <w:tcPr/>
          <w:p>
            <w:pPr>
              <w:pStyle w:val="Compact"/>
            </w:pPr>
            <w:r>
              <w:t xml:space="preserve">Reactors</w:t>
            </w:r>
          </w:p>
        </w:tc>
        <w:tc>
          <w:tcPr/>
          <w:p>
            <w:pPr>
              <w:pStyle w:val="Compact"/>
            </w:pPr>
            <w:r>
              <w:t xml:space="preserve">Fushun Machinery, Jiangsu Jiangguo</w:t>
            </w:r>
          </w:p>
        </w:tc>
        <w:tc>
          <w:tcPr/>
          <w:p>
            <w:pPr>
              <w:pStyle w:val="Compact"/>
            </w:pPr>
            <w:r>
              <w:t xml:space="preserve">Technip-led</w:t>
            </w:r>
          </w:p>
        </w:tc>
        <w:tc>
          <w:tcPr/>
          <w:p>
            <w:pPr>
              <w:pStyle w:val="Compact"/>
            </w:pPr>
            <w:r>
              <w:t xml:space="preserve">Critical process equipment; primary and backup vendors should be locked in early</w:t>
            </w:r>
          </w:p>
        </w:tc>
      </w:tr>
      <w:tr>
        <w:tc>
          <w:tcPr/>
          <w:p>
            <w:pPr>
              <w:pStyle w:val="Compact"/>
            </w:pPr>
            <w:r>
              <w:t xml:space="preserve">Hydrogen reformers / fired heaters / reforming furnaces</w:t>
            </w:r>
          </w:p>
        </w:tc>
        <w:tc>
          <w:tcPr/>
          <w:p>
            <w:pPr>
              <w:pStyle w:val="Compact"/>
            </w:pPr>
            <w:r>
              <w:t xml:space="preserve">Top Industry, Shanghai Zhuoran</w:t>
            </w:r>
          </w:p>
        </w:tc>
        <w:tc>
          <w:tcPr/>
          <w:p>
            <w:pPr>
              <w:pStyle w:val="Compact"/>
            </w:pPr>
            <w:r>
              <w:t xml:space="preserve">Technip-led</w:t>
            </w:r>
          </w:p>
        </w:tc>
        <w:tc>
          <w:tcPr/>
          <w:p>
            <w:pPr>
              <w:pStyle w:val="Compact"/>
            </w:pPr>
            <w:r>
              <w:t xml:space="preserve">Large equipment; transport and installation constraints should be considered in parallel</w:t>
            </w:r>
          </w:p>
        </w:tc>
      </w:tr>
      <w:tr>
        <w:tc>
          <w:tcPr/>
          <w:p>
            <w:pPr>
              <w:pStyle w:val="Compact"/>
            </w:pPr>
            <w:r>
              <w:t xml:space="preserve">Compressors</w:t>
            </w:r>
          </w:p>
        </w:tc>
        <w:tc>
          <w:tcPr/>
          <w:p>
            <w:pPr>
              <w:pStyle w:val="Compact"/>
            </w:pPr>
            <w:r>
              <w:t xml:space="preserve">Shengu, Shenyang Yuanda, FS-Elliott</w:t>
            </w:r>
          </w:p>
        </w:tc>
        <w:tc>
          <w:tcPr/>
          <w:p>
            <w:pPr>
              <w:pStyle w:val="Compact"/>
            </w:pPr>
            <w:r>
              <w:t xml:space="preserve">Technip-led</w:t>
            </w:r>
          </w:p>
        </w:tc>
        <w:tc>
          <w:tcPr/>
          <w:p>
            <w:pPr>
              <w:pStyle w:val="Compact"/>
            </w:pPr>
            <w:r>
              <w:t xml:space="preserve">Critical rotating equipment; technical clarification and delivery lock-in should be prioritized</w:t>
            </w:r>
          </w:p>
        </w:tc>
      </w:tr>
      <w:tr>
        <w:tc>
          <w:tcPr/>
          <w:p>
            <w:pPr>
              <w:pStyle w:val="Compact"/>
            </w:pPr>
            <w:r>
              <w:t xml:space="preserve">Centrifuges</w:t>
            </w:r>
          </w:p>
        </w:tc>
        <w:tc>
          <w:tcPr/>
          <w:p>
            <w:pPr>
              <w:pStyle w:val="Compact"/>
            </w:pPr>
            <w:r>
              <w:t xml:space="preserve">Alfa Laval Denmark, Alfa Laval Sweden, Alfa Laval India, Alfa Laval China</w:t>
            </w:r>
          </w:p>
        </w:tc>
        <w:tc>
          <w:tcPr/>
          <w:p>
            <w:pPr>
              <w:pStyle w:val="Compact"/>
            </w:pPr>
            <w:r>
              <w:t xml:space="preserve">Technip-led</w:t>
            </w:r>
          </w:p>
        </w:tc>
        <w:tc>
          <w:tcPr/>
          <w:p>
            <w:pPr>
              <w:pStyle w:val="Compact"/>
            </w:pPr>
            <w:r>
              <w:t xml:space="preserve">International logistics cycle is relatively long and should be brought forward separately</w:t>
            </w:r>
          </w:p>
        </w:tc>
      </w:tr>
      <w:tr>
        <w:tc>
          <w:tcPr/>
          <w:p>
            <w:pPr>
              <w:pStyle w:val="Compact"/>
            </w:pPr>
            <w:r>
              <w:t xml:space="preserve">Pumps</w:t>
            </w:r>
          </w:p>
        </w:tc>
        <w:tc>
          <w:tcPr/>
          <w:p>
            <w:pPr>
              <w:pStyle w:val="Compact"/>
            </w:pPr>
            <w:r>
              <w:t xml:space="preserve">LEWA, Dalian Deep Blue, KSB / Ebara-related suppliers</w:t>
            </w:r>
          </w:p>
        </w:tc>
        <w:tc>
          <w:tcPr/>
          <w:p>
            <w:pPr>
              <w:pStyle w:val="Compact"/>
            </w:pPr>
            <w:r>
              <w:t xml:space="preserve">To be allocated based on system criticality</w:t>
            </w:r>
          </w:p>
        </w:tc>
        <w:tc>
          <w:tcPr/>
          <w:p>
            <w:pPr>
              <w:pStyle w:val="Compact"/>
            </w:pPr>
            <w:r>
              <w:t xml:space="preserve">Critical pumps may remain under Technip; general pumps may be organized by NCC</w:t>
            </w:r>
          </w:p>
        </w:tc>
      </w:tr>
      <w:tr>
        <w:tc>
          <w:tcPr/>
          <w:p>
            <w:pPr>
              <w:pStyle w:val="Compact"/>
            </w:pPr>
            <w:r>
              <w:t xml:space="preserve">DCS/SIS</w:t>
            </w:r>
          </w:p>
        </w:tc>
        <w:tc>
          <w:tcPr/>
          <w:p>
            <w:pPr>
              <w:pStyle w:val="Compact"/>
            </w:pPr>
            <w:r>
              <w:t xml:space="preserve">Emerson</w:t>
            </w:r>
          </w:p>
        </w:tc>
        <w:tc>
          <w:tcPr/>
          <w:p>
            <w:pPr>
              <w:pStyle w:val="Compact"/>
            </w:pPr>
            <w:r>
              <w:t xml:space="preserve">Technip-led</w:t>
            </w:r>
          </w:p>
        </w:tc>
        <w:tc>
          <w:tcPr/>
          <w:p>
            <w:pPr>
              <w:pStyle w:val="Compact"/>
            </w:pPr>
            <w:r>
              <w:t xml:space="preserve">Control system interfaces are complex and should remain under unified control</w:t>
            </w:r>
          </w:p>
        </w:tc>
      </w:tr>
      <w:tr>
        <w:tc>
          <w:tcPr/>
          <w:p>
            <w:pPr>
              <w:pStyle w:val="Compact"/>
            </w:pPr>
            <w:r>
              <w:t xml:space="preserve">Critical control valves / regulating valves</w:t>
            </w:r>
          </w:p>
        </w:tc>
        <w:tc>
          <w:tcPr/>
          <w:p>
            <w:pPr>
              <w:pStyle w:val="Compact"/>
            </w:pPr>
            <w:r>
              <w:t xml:space="preserve">Vatech, Keystone</w:t>
            </w:r>
          </w:p>
        </w:tc>
        <w:tc>
          <w:tcPr/>
          <w:p>
            <w:pPr>
              <w:pStyle w:val="Compact"/>
            </w:pPr>
            <w:r>
              <w:t xml:space="preserve">Technip-led</w:t>
            </w:r>
          </w:p>
        </w:tc>
        <w:tc>
          <w:tcPr/>
          <w:p>
            <w:pPr>
              <w:pStyle w:val="Compact"/>
            </w:pPr>
            <w:r>
              <w:t xml:space="preserve">Strong impact on system control and interlock</w:t>
            </w:r>
          </w:p>
        </w:tc>
      </w:tr>
      <w:tr>
        <w:tc>
          <w:tcPr/>
          <w:p>
            <w:pPr>
              <w:pStyle w:val="Compact"/>
            </w:pPr>
            <w:r>
              <w:t xml:space="preserve">Safety valves</w:t>
            </w:r>
          </w:p>
        </w:tc>
        <w:tc>
          <w:tcPr/>
          <w:p>
            <w:pPr>
              <w:pStyle w:val="Compact"/>
            </w:pPr>
            <w:r>
              <w:t xml:space="preserve">Leser, Leser Safety Valve</w:t>
            </w:r>
          </w:p>
        </w:tc>
        <w:tc>
          <w:tcPr/>
          <w:p>
            <w:pPr>
              <w:pStyle w:val="Compact"/>
            </w:pPr>
            <w:r>
              <w:t xml:space="preserve">Technip-led or allocated by system</w:t>
            </w:r>
          </w:p>
        </w:tc>
        <w:tc>
          <w:tcPr/>
          <w:p>
            <w:pPr>
              <w:pStyle w:val="Compact"/>
            </w:pPr>
            <w:r>
              <w:t xml:space="preserve">Certification and local acceptance requirements should be considered early</w:t>
            </w:r>
          </w:p>
        </w:tc>
      </w:tr>
      <w:tr>
        <w:tc>
          <w:tcPr/>
          <w:p>
            <w:pPr>
              <w:pStyle w:val="Compact"/>
            </w:pPr>
            <w:r>
              <w:t xml:space="preserve">High-pressure / process valves</w:t>
            </w:r>
          </w:p>
        </w:tc>
        <w:tc>
          <w:tcPr/>
          <w:p>
            <w:pPr>
              <w:pStyle w:val="Compact"/>
            </w:pPr>
            <w:r>
              <w:t xml:space="preserve">Keystone, Jiangsu Dafa, Dago, Anhui Tongdu</w:t>
            </w:r>
          </w:p>
        </w:tc>
        <w:tc>
          <w:tcPr/>
          <w:p>
            <w:pPr>
              <w:pStyle w:val="Compact"/>
            </w:pPr>
            <w:r>
              <w:t xml:space="preserve">Mainly NCC cross-border procurement</w:t>
            </w:r>
          </w:p>
        </w:tc>
        <w:tc>
          <w:tcPr/>
          <w:p>
            <w:pPr>
              <w:pStyle w:val="Compact"/>
            </w:pPr>
            <w:r>
              <w:t xml:space="preserve">Closely linked to piping installation and prefabrication</w:t>
            </w:r>
          </w:p>
        </w:tc>
      </w:tr>
      <w:tr>
        <w:tc>
          <w:tcPr/>
          <w:p>
            <w:pPr>
              <w:pStyle w:val="Compact"/>
            </w:pPr>
            <w:r>
              <w:t xml:space="preserve">Firefighting valves</w:t>
            </w:r>
          </w:p>
        </w:tc>
        <w:tc>
          <w:tcPr/>
          <w:p>
            <w:pPr>
              <w:pStyle w:val="Compact"/>
            </w:pPr>
            <w:r>
              <w:t xml:space="preserve">Anhui Tongdu, etc.</w:t>
            </w:r>
          </w:p>
        </w:tc>
        <w:tc>
          <w:tcPr/>
          <w:p>
            <w:pPr>
              <w:pStyle w:val="Compact"/>
            </w:pPr>
            <w:r>
              <w:t xml:space="preserve">NCC cross-border procurement or local supplement</w:t>
            </w:r>
          </w:p>
        </w:tc>
        <w:tc>
          <w:tcPr/>
          <w:p>
            <w:pPr>
              <w:pStyle w:val="Compact"/>
            </w:pPr>
            <w:r>
              <w:t xml:space="preserve">Strong linkage to firefighting package systems and local acceptance</w:t>
            </w:r>
          </w:p>
        </w:tc>
      </w:tr>
      <w:tr>
        <w:tc>
          <w:tcPr/>
          <w:p>
            <w:pPr>
              <w:pStyle w:val="Compact"/>
            </w:pPr>
            <w:r>
              <w:t xml:space="preserve">Instrument tubing valves / instrument accessories</w:t>
            </w:r>
          </w:p>
        </w:tc>
        <w:tc>
          <w:tcPr/>
          <w:p>
            <w:pPr>
              <w:pStyle w:val="Compact"/>
            </w:pPr>
            <w:r>
              <w:t xml:space="preserve">Haiwei, Yokogawa, ABB</w:t>
            </w:r>
          </w:p>
        </w:tc>
        <w:tc>
          <w:tcPr/>
          <w:p>
            <w:pPr>
              <w:pStyle w:val="Compact"/>
            </w:pPr>
            <w:r>
              <w:t xml:space="preserve">Mainly NCC cross-border procurement</w:t>
            </w:r>
          </w:p>
        </w:tc>
        <w:tc>
          <w:tcPr/>
          <w:p>
            <w:pPr>
              <w:pStyle w:val="Compact"/>
            </w:pPr>
            <w:r>
              <w:t xml:space="preserve">Large consumption during later commissioning and system completion</w:t>
            </w:r>
          </w:p>
        </w:tc>
      </w:tr>
      <w:tr>
        <w:tc>
          <w:tcPr/>
          <w:p>
            <w:pPr>
              <w:pStyle w:val="Compact"/>
            </w:pPr>
            <w:r>
              <w:t xml:space="preserve">Mass flowmeters / analytical instruments</w:t>
            </w:r>
          </w:p>
        </w:tc>
        <w:tc>
          <w:tcPr/>
          <w:p>
            <w:pPr>
              <w:pStyle w:val="Compact"/>
            </w:pPr>
            <w:r>
              <w:t xml:space="preserve">Yokogawa, ABB</w:t>
            </w:r>
          </w:p>
        </w:tc>
        <w:tc>
          <w:tcPr/>
          <w:p>
            <w:pPr>
              <w:pStyle w:val="Compact"/>
            </w:pPr>
            <w:r>
              <w:t xml:space="preserve">To be allocated based on system criticality</w:t>
            </w:r>
          </w:p>
        </w:tc>
        <w:tc>
          <w:tcPr/>
          <w:p>
            <w:pPr>
              <w:pStyle w:val="Compact"/>
            </w:pPr>
            <w:r>
              <w:t xml:space="preserve">Critical analyzers should be locked in early</w:t>
            </w:r>
          </w:p>
        </w:tc>
      </w:tr>
      <w:tr>
        <w:tc>
          <w:tcPr/>
          <w:p>
            <w:pPr>
              <w:pStyle w:val="Compact"/>
            </w:pPr>
            <w:r>
              <w:t xml:space="preserve">Bleaching earth conveying system / circulating water package</w:t>
            </w:r>
          </w:p>
        </w:tc>
        <w:tc>
          <w:tcPr/>
          <w:p>
            <w:pPr>
              <w:pStyle w:val="Compact"/>
            </w:pPr>
            <w:r>
              <w:t xml:space="preserve">Package supply samples available in previous projects</w:t>
            </w:r>
          </w:p>
        </w:tc>
        <w:tc>
          <w:tcPr/>
          <w:p>
            <w:pPr>
              <w:pStyle w:val="Compact"/>
            </w:pPr>
            <w:r>
              <w:t xml:space="preserve">Technip or NCC EPC management</w:t>
            </w:r>
          </w:p>
        </w:tc>
        <w:tc>
          <w:tcPr/>
          <w:p>
            <w:pPr>
              <w:pStyle w:val="Compact"/>
            </w:pPr>
            <w:r>
              <w:t xml:space="preserve">Should be managed separately under a package-interface approach</w:t>
            </w:r>
          </w:p>
        </w:tc>
      </w:tr>
      <w:tr>
        <w:tc>
          <w:tcPr/>
          <w:p>
            <w:pPr>
              <w:pStyle w:val="Compact"/>
            </w:pPr>
            <w:r>
              <w:t xml:space="preserve">Water treatment / IETS / boiler / gas / air compressor package systems</w:t>
            </w:r>
          </w:p>
        </w:tc>
        <w:tc>
          <w:tcPr/>
          <w:p>
            <w:pPr>
              <w:pStyle w:val="Compact"/>
            </w:pPr>
            <w:r>
              <w:t xml:space="preserve">Previous projects used multiple specialist vendors</w:t>
            </w:r>
          </w:p>
        </w:tc>
        <w:tc>
          <w:tcPr/>
          <w:p>
            <w:pPr>
              <w:pStyle w:val="Compact"/>
            </w:pPr>
            <w:r>
              <w:t xml:space="preserve">NCC EPC management</w:t>
            </w:r>
          </w:p>
        </w:tc>
        <w:tc>
          <w:tcPr/>
          <w:p>
            <w:pPr>
              <w:pStyle w:val="Compact"/>
            </w:pPr>
            <w:r>
              <w:t xml:space="preserve">Design parties define interfaces, vendors perform package-internal design, NCC manages overall execution</w:t>
            </w:r>
          </w:p>
        </w:tc>
      </w:tr>
      <w:tr>
        <w:tc>
          <w:tcPr/>
          <w:p>
            <w:pPr>
              <w:pStyle w:val="Compact"/>
            </w:pPr>
            <w:r>
              <w:t xml:space="preserve">Structural steel</w:t>
            </w:r>
          </w:p>
        </w:tc>
        <w:tc>
          <w:tcPr/>
          <w:p>
            <w:pPr>
              <w:pStyle w:val="Compact"/>
            </w:pPr>
            <w:r>
              <w:t xml:space="preserve">NCC organized multiple batches of procurement and prefabrication in previous projects</w:t>
            </w:r>
          </w:p>
        </w:tc>
        <w:tc>
          <w:tcPr/>
          <w:p>
            <w:pPr>
              <w:pStyle w:val="Compact"/>
            </w:pPr>
            <w:r>
              <w:t xml:space="preserve">NCC cross-border procurement with domestic prefabrication</w:t>
            </w:r>
          </w:p>
        </w:tc>
        <w:tc>
          <w:tcPr/>
          <w:p>
            <w:pPr>
              <w:pStyle w:val="Compact"/>
            </w:pPr>
            <w:r>
              <w:t xml:space="preserve">Recommended to remain under NCC for domestic procurement and prefabrication</w:t>
            </w:r>
          </w:p>
        </w:tc>
      </w:tr>
      <w:tr>
        <w:tc>
          <w:tcPr/>
          <w:p>
            <w:pPr>
              <w:pStyle w:val="Compact"/>
            </w:pPr>
            <w:r>
              <w:t xml:space="preserve">Piping bulk materials / fittings / flanges</w:t>
            </w:r>
          </w:p>
        </w:tc>
        <w:tc>
          <w:tcPr/>
          <w:p>
            <w:pPr>
              <w:pStyle w:val="Compact"/>
            </w:pPr>
            <w:r>
              <w:t xml:space="preserve">Sample suppliers such as Shihua and Wujin</w:t>
            </w:r>
          </w:p>
        </w:tc>
        <w:tc>
          <w:tcPr/>
          <w:p>
            <w:pPr>
              <w:pStyle w:val="Compact"/>
            </w:pPr>
            <w:r>
              <w:t xml:space="preserve">NCC cross-border procurement with domestic prefabrication</w:t>
            </w:r>
          </w:p>
        </w:tc>
        <w:tc>
          <w:tcPr/>
          <w:p>
            <w:pPr>
              <w:pStyle w:val="Compact"/>
            </w:pPr>
            <w:r>
              <w:t xml:space="preserve">Directly related to prefabrication and installation windows</w:t>
            </w:r>
          </w:p>
        </w:tc>
      </w:tr>
      <w:tr>
        <w:tc>
          <w:tcPr/>
          <w:p>
            <w:pPr>
              <w:pStyle w:val="Compact"/>
            </w:pPr>
            <w:r>
              <w:t xml:space="preserve">Prefabricated tank plates / tank accessories</w:t>
            </w:r>
          </w:p>
        </w:tc>
        <w:tc>
          <w:tcPr/>
          <w:p>
            <w:pPr>
              <w:pStyle w:val="Compact"/>
            </w:pPr>
            <w:r>
              <w:t xml:space="preserve">NCC organized multiple batches of procurement and shipment in previous projects</w:t>
            </w:r>
          </w:p>
        </w:tc>
        <w:tc>
          <w:tcPr/>
          <w:p>
            <w:pPr>
              <w:pStyle w:val="Compact"/>
            </w:pPr>
            <w:r>
              <w:t xml:space="preserve">NCC cross-border procurement with domestic prefabrication</w:t>
            </w:r>
          </w:p>
        </w:tc>
        <w:tc>
          <w:tcPr/>
          <w:p>
            <w:pPr>
              <w:pStyle w:val="Compact"/>
            </w:pPr>
            <w:r>
              <w:t xml:space="preserve">Recommended to be managed in one line together with tank construction and logistics planning</w:t>
            </w:r>
          </w:p>
        </w:tc>
      </w:tr>
      <w:tr>
        <w:tc>
          <w:tcPr/>
          <w:p>
            <w:pPr>
              <w:pStyle w:val="Compact"/>
            </w:pPr>
            <w:r>
              <w:t xml:space="preserve">Cables / trays / panels / VFDs</w:t>
            </w:r>
          </w:p>
        </w:tc>
        <w:tc>
          <w:tcPr/>
          <w:p>
            <w:pPr>
              <w:pStyle w:val="Compact"/>
            </w:pPr>
            <w:r>
              <w:t xml:space="preserve">Sample brands such as Tiankang and Siemens</w:t>
            </w:r>
          </w:p>
        </w:tc>
        <w:tc>
          <w:tcPr/>
          <w:p>
            <w:pPr>
              <w:pStyle w:val="Compact"/>
            </w:pPr>
            <w:r>
              <w:t xml:space="preserve">Combination of NCC local procurement and cross-border procurement</w:t>
            </w:r>
          </w:p>
        </w:tc>
        <w:tc>
          <w:tcPr/>
          <w:p>
            <w:pPr>
              <w:pStyle w:val="Compact"/>
            </w:pPr>
            <w:r>
              <w:t xml:space="preserve">Should be released on a rolling basis according to local code requirements and site windows</w:t>
            </w:r>
          </w:p>
        </w:tc>
      </w:tr>
    </w:tbl>
    <w:bookmarkEnd w:id="19"/>
    <w:bookmarkStart w:id="20" w:name="X3da113917321bce6d506e3e9b21601b629dbc85"/>
    <w:p>
      <w:pPr>
        <w:pStyle w:val="Heading3"/>
      </w:pPr>
      <w:r>
        <w:t xml:space="preserve">5. </w:t>
      </w:r>
      <w:r>
        <w:rPr>
          <w:rFonts w:hint="eastAsia"/>
        </w:rPr>
        <w:t xml:space="preserve">主要成套系统、钢结构和储罐材料厂家建议</w:t>
      </w:r>
      <w:r>
        <w:t xml:space="preserve"> / Recommended Suppliers for Major Package Systems, Structural Steel and Tank Materials</w:t>
      </w:r>
    </w:p>
    <w:p>
      <w:pPr>
        <w:pStyle w:val="FirstParagraph"/>
      </w:pPr>
      <w:r>
        <w:rPr>
          <w:rFonts w:hint="eastAsia"/>
        </w:rPr>
        <w:t xml:space="preserve">过往项目资料已能支持部分成套系统厂家、储罐钢板品牌和钢结构厂家信息。对这类物资，建议区分“系统厂家/品牌”“材料品牌”“供货或预制单位”三个层次理解，避免把成套系统厂家、钢板品牌和现场预制安装单位混为一类。</w:t>
      </w:r>
    </w:p>
    <w:p>
      <w:pPr>
        <w:pStyle w:val="BodyText"/>
      </w:pPr>
      <w:r>
        <w:t xml:space="preserve">Existing project records already support supplier information for selected package systems, tank plate brands and structural steel suppliers. For these materials, it is recommended to distinguish among three levels:</w:t>
      </w:r>
      <w:r>
        <w:t xml:space="preserve"> </w:t>
      </w:r>
      <w:r>
        <w:t xml:space="preserve">“system supplier / brand”</w:t>
      </w:r>
      <w:r>
        <w:t xml:space="preserve">,</w:t>
      </w:r>
      <w:r>
        <w:t xml:space="preserve"> </w:t>
      </w:r>
      <w:r>
        <w:t xml:space="preserve">“material brand”</w:t>
      </w:r>
      <w:r>
        <w:t xml:space="preserve">, and</w:t>
      </w:r>
      <w:r>
        <w:t xml:space="preserve"> </w:t>
      </w:r>
      <w:r>
        <w:t xml:space="preserve">“supply or prefabrication contractor”</w:t>
      </w:r>
      <w:r>
        <w:t xml:space="preserve">, so as to avoid mixing package vendors, steel plate brands and site prefabrication/installation contractors together.</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过往项目主要厂家/品牌或供货单位</w:t>
            </w:r>
          </w:p>
        </w:tc>
        <w:tc>
          <w:tcPr/>
          <w:p>
            <w:pPr>
              <w:pStyle w:val="Compact"/>
            </w:pPr>
            <w:r>
              <w:rPr>
                <w:rFonts w:hint="eastAsia"/>
              </w:rPr>
              <w:t xml:space="preserve">本项目建议归口</w:t>
            </w:r>
          </w:p>
        </w:tc>
        <w:tc>
          <w:tcPr/>
          <w:p>
            <w:pPr>
              <w:pStyle w:val="Compact"/>
            </w:pPr>
            <w:r>
              <w:rPr>
                <w:rFonts w:hint="eastAsia"/>
              </w:rPr>
              <w:t xml:space="preserve">备注</w:t>
            </w:r>
          </w:p>
        </w:tc>
      </w:tr>
      <w:tr>
        <w:tc>
          <w:tcPr/>
          <w:p>
            <w:pPr>
              <w:pStyle w:val="Compact"/>
            </w:pPr>
            <w:r>
              <w:rPr>
                <w:rFonts w:hint="eastAsia"/>
              </w:rPr>
              <w:t xml:space="preserve">地面火炬系统</w:t>
            </w:r>
          </w:p>
        </w:tc>
        <w:tc>
          <w:tcPr/>
          <w:p>
            <w:pPr>
              <w:pStyle w:val="Compact"/>
            </w:pPr>
            <w:r>
              <w:rPr>
                <w:rFonts w:hint="eastAsia"/>
              </w:rPr>
              <w:t xml:space="preserve">柘科</w:t>
            </w:r>
            <w:r>
              <w:t xml:space="preserve"> ZEECON</w:t>
            </w:r>
          </w:p>
        </w:tc>
        <w:tc>
          <w:tcPr/>
          <w:p>
            <w:pPr>
              <w:pStyle w:val="Compact"/>
            </w:pPr>
            <w:r>
              <w:t xml:space="preserve">NCC EPC </w:t>
            </w:r>
            <w:r>
              <w:rPr>
                <w:rFonts w:hint="eastAsia"/>
              </w:rPr>
              <w:t xml:space="preserve">管理</w:t>
            </w:r>
          </w:p>
        </w:tc>
        <w:tc>
          <w:tcPr/>
          <w:p>
            <w:pPr>
              <w:pStyle w:val="Compact"/>
            </w:pPr>
            <w:r>
              <w:rPr>
                <w:rFonts w:hint="eastAsia"/>
              </w:rPr>
              <w:t xml:space="preserve">成套系统，宜明确交货状态和界面</w:t>
            </w:r>
          </w:p>
        </w:tc>
      </w:tr>
      <w:tr>
        <w:tc>
          <w:tcPr/>
          <w:p>
            <w:pPr>
              <w:pStyle w:val="Compact"/>
            </w:pPr>
            <w:r>
              <w:rPr>
                <w:rFonts w:hint="eastAsia"/>
              </w:rPr>
              <w:t xml:space="preserve">蒸汽锅炉系统</w:t>
            </w:r>
          </w:p>
        </w:tc>
        <w:tc>
          <w:tcPr/>
          <w:p>
            <w:pPr>
              <w:pStyle w:val="Compact"/>
            </w:pPr>
            <w:r>
              <w:rPr>
                <w:rFonts w:hint="eastAsia"/>
              </w:rPr>
              <w:t xml:space="preserve">太湖锅炉</w:t>
            </w:r>
            <w:r>
              <w:t xml:space="preserve"> TAIHU</w:t>
            </w:r>
          </w:p>
        </w:tc>
        <w:tc>
          <w:tcPr/>
          <w:p>
            <w:pPr>
              <w:pStyle w:val="Compact"/>
            </w:pPr>
            <w:r>
              <w:t xml:space="preserve">NCC EPC </w:t>
            </w:r>
            <w:r>
              <w:rPr>
                <w:rFonts w:hint="eastAsia"/>
              </w:rPr>
              <w:t xml:space="preserve">管理</w:t>
            </w:r>
          </w:p>
        </w:tc>
        <w:tc>
          <w:tcPr/>
          <w:p>
            <w:pPr>
              <w:pStyle w:val="Compact"/>
            </w:pPr>
            <w:r>
              <w:rPr>
                <w:rFonts w:hint="eastAsia"/>
              </w:rPr>
              <w:t xml:space="preserve">典型公用工程成套包</w:t>
            </w:r>
          </w:p>
        </w:tc>
      </w:tr>
      <w:tr>
        <w:tc>
          <w:tcPr/>
          <w:p>
            <w:pPr>
              <w:pStyle w:val="Compact"/>
            </w:pPr>
            <w:r>
              <w:rPr>
                <w:rFonts w:hint="eastAsia"/>
              </w:rPr>
              <w:t xml:space="preserve">脱盐水系统</w:t>
            </w:r>
          </w:p>
        </w:tc>
        <w:tc>
          <w:tcPr/>
          <w:p>
            <w:pPr>
              <w:pStyle w:val="Compact"/>
            </w:pPr>
            <w:r>
              <w:rPr>
                <w:rFonts w:hint="eastAsia"/>
              </w:rPr>
              <w:t xml:space="preserve">山东格瑞</w:t>
            </w:r>
            <w:r>
              <w:t xml:space="preserve"> Gretech</w:t>
            </w:r>
          </w:p>
        </w:tc>
        <w:tc>
          <w:tcPr/>
          <w:p>
            <w:pPr>
              <w:pStyle w:val="Compact"/>
            </w:pPr>
            <w:r>
              <w:t xml:space="preserve">NCC EPC </w:t>
            </w:r>
            <w:r>
              <w:rPr>
                <w:rFonts w:hint="eastAsia"/>
              </w:rPr>
              <w:t xml:space="preserve">管理</w:t>
            </w:r>
          </w:p>
        </w:tc>
        <w:tc>
          <w:tcPr/>
          <w:p>
            <w:pPr>
              <w:pStyle w:val="Compact"/>
            </w:pPr>
            <w:r>
              <w:rPr>
                <w:rFonts w:hint="eastAsia"/>
              </w:rPr>
              <w:t xml:space="preserve">水处理成套系统之一</w:t>
            </w:r>
          </w:p>
        </w:tc>
      </w:tr>
      <w:tr>
        <w:tc>
          <w:tcPr/>
          <w:p>
            <w:pPr>
              <w:pStyle w:val="Compact"/>
            </w:pPr>
            <w:r>
              <w:rPr>
                <w:rFonts w:hint="eastAsia"/>
              </w:rPr>
              <w:t xml:space="preserve">制氮系统</w:t>
            </w:r>
          </w:p>
        </w:tc>
        <w:tc>
          <w:tcPr/>
          <w:p>
            <w:pPr>
              <w:pStyle w:val="Compact"/>
            </w:pPr>
            <w:r>
              <w:rPr>
                <w:rFonts w:hint="eastAsia"/>
              </w:rPr>
              <w:t xml:space="preserve">杭州川空</w:t>
            </w:r>
            <w:r>
              <w:t xml:space="preserve"> Hangzhou Chuankong</w:t>
            </w:r>
          </w:p>
        </w:tc>
        <w:tc>
          <w:tcPr/>
          <w:p>
            <w:pPr>
              <w:pStyle w:val="Compact"/>
            </w:pPr>
            <w:r>
              <w:t xml:space="preserve">NCC EPC </w:t>
            </w:r>
            <w:r>
              <w:rPr>
                <w:rFonts w:hint="eastAsia"/>
              </w:rPr>
              <w:t xml:space="preserve">管理</w:t>
            </w:r>
          </w:p>
        </w:tc>
        <w:tc>
          <w:tcPr/>
          <w:p>
            <w:pPr>
              <w:pStyle w:val="Compact"/>
            </w:pPr>
            <w:r>
              <w:rPr>
                <w:rFonts w:hint="eastAsia"/>
              </w:rPr>
              <w:t xml:space="preserve">与公用工程接口较多</w:t>
            </w:r>
          </w:p>
        </w:tc>
      </w:tr>
      <w:tr>
        <w:tc>
          <w:tcPr/>
          <w:p>
            <w:pPr>
              <w:pStyle w:val="Compact"/>
            </w:pPr>
            <w:r>
              <w:rPr>
                <w:rFonts w:hint="eastAsia"/>
              </w:rPr>
              <w:t xml:space="preserve">抽真空系统</w:t>
            </w:r>
          </w:p>
        </w:tc>
        <w:tc>
          <w:tcPr/>
          <w:p>
            <w:pPr>
              <w:pStyle w:val="Compact"/>
            </w:pPr>
            <w:r>
              <w:rPr>
                <w:rFonts w:hint="eastAsia"/>
              </w:rPr>
              <w:t xml:space="preserve">浙江杭真</w:t>
            </w:r>
            <w:r>
              <w:t xml:space="preserve"> Hangzhen</w:t>
            </w:r>
          </w:p>
        </w:tc>
        <w:tc>
          <w:tcPr/>
          <w:p>
            <w:pPr>
              <w:pStyle w:val="Compact"/>
            </w:pPr>
            <w:r>
              <w:t xml:space="preserve">NCC EPC </w:t>
            </w:r>
            <w:r>
              <w:rPr>
                <w:rFonts w:hint="eastAsia"/>
              </w:rPr>
              <w:t xml:space="preserve">管理</w:t>
            </w:r>
          </w:p>
        </w:tc>
        <w:tc>
          <w:tcPr/>
          <w:p>
            <w:pPr>
              <w:pStyle w:val="Compact"/>
            </w:pPr>
            <w:r>
              <w:rPr>
                <w:rFonts w:hint="eastAsia"/>
              </w:rPr>
              <w:t xml:space="preserve">建议由</w:t>
            </w:r>
            <w:r>
              <w:t xml:space="preserve"> NCC </w:t>
            </w:r>
            <w:r>
              <w:rPr>
                <w:rFonts w:hint="eastAsia"/>
              </w:rPr>
              <w:t xml:space="preserve">统一协调成套设计和安装</w:t>
            </w:r>
          </w:p>
        </w:tc>
      </w:tr>
      <w:tr>
        <w:tc>
          <w:tcPr/>
          <w:p>
            <w:pPr>
              <w:pStyle w:val="Compact"/>
            </w:pPr>
            <w:r>
              <w:rPr>
                <w:rFonts w:hint="eastAsia"/>
              </w:rPr>
              <w:t xml:space="preserve">循环水系统</w:t>
            </w:r>
          </w:p>
        </w:tc>
        <w:tc>
          <w:tcPr/>
          <w:p>
            <w:pPr>
              <w:pStyle w:val="Compact"/>
            </w:pPr>
            <w:r>
              <w:rPr>
                <w:rFonts w:hint="eastAsia"/>
              </w:rPr>
              <w:t xml:space="preserve">江苏海鸥</w:t>
            </w:r>
            <w:r>
              <w:t xml:space="preserve"> SEAGULL</w:t>
            </w:r>
          </w:p>
        </w:tc>
        <w:tc>
          <w:tcPr/>
          <w:p>
            <w:pPr>
              <w:pStyle w:val="Compact"/>
            </w:pPr>
            <w:r>
              <w:t xml:space="preserve">NCC EPC </w:t>
            </w:r>
            <w:r>
              <w:rPr>
                <w:rFonts w:hint="eastAsia"/>
              </w:rPr>
              <w:t xml:space="preserve">管理</w:t>
            </w:r>
          </w:p>
        </w:tc>
        <w:tc>
          <w:tcPr/>
          <w:p>
            <w:pPr>
              <w:pStyle w:val="Compact"/>
            </w:pPr>
            <w:r>
              <w:rPr>
                <w:rFonts w:hint="eastAsia"/>
              </w:rPr>
              <w:t xml:space="preserve">与主装置和公用工程接口较多</w:t>
            </w:r>
          </w:p>
        </w:tc>
      </w:tr>
      <w:tr>
        <w:tc>
          <w:tcPr/>
          <w:p>
            <w:pPr>
              <w:pStyle w:val="Compact"/>
            </w:pPr>
            <w:r>
              <w:t xml:space="preserve">IETS </w:t>
            </w:r>
            <w:r>
              <w:rPr>
                <w:rFonts w:hint="eastAsia"/>
              </w:rPr>
              <w:t xml:space="preserve">系统</w:t>
            </w:r>
          </w:p>
        </w:tc>
        <w:tc>
          <w:tcPr/>
          <w:p>
            <w:pPr>
              <w:pStyle w:val="Compact"/>
            </w:pPr>
            <w:r>
              <w:rPr>
                <w:rFonts w:hint="eastAsia"/>
              </w:rPr>
              <w:t xml:space="preserve">麦王</w:t>
            </w:r>
            <w:r>
              <w:t xml:space="preserve"> Mcwong</w:t>
            </w:r>
          </w:p>
        </w:tc>
        <w:tc>
          <w:tcPr/>
          <w:p>
            <w:pPr>
              <w:pStyle w:val="Compact"/>
            </w:pPr>
            <w:r>
              <w:t xml:space="preserve">NCC EPC </w:t>
            </w:r>
            <w:r>
              <w:rPr>
                <w:rFonts w:hint="eastAsia"/>
              </w:rPr>
              <w:t xml:space="preserve">管理</w:t>
            </w:r>
          </w:p>
        </w:tc>
        <w:tc>
          <w:tcPr/>
          <w:p>
            <w:pPr>
              <w:pStyle w:val="Compact"/>
            </w:pPr>
            <w:r>
              <w:rPr>
                <w:rFonts w:hint="eastAsia"/>
              </w:rPr>
              <w:t xml:space="preserve">过往项目界面协调工作量较大</w:t>
            </w:r>
          </w:p>
        </w:tc>
      </w:tr>
      <w:tr>
        <w:tc>
          <w:tcPr/>
          <w:p>
            <w:pPr>
              <w:pStyle w:val="Compact"/>
            </w:pPr>
            <w:r>
              <w:rPr>
                <w:rFonts w:hint="eastAsia"/>
              </w:rPr>
              <w:t xml:space="preserve">白土输送系统/拆包系统</w:t>
            </w:r>
          </w:p>
        </w:tc>
        <w:tc>
          <w:tcPr/>
          <w:p>
            <w:pPr>
              <w:pStyle w:val="Compact"/>
            </w:pPr>
            <w:r>
              <w:rPr>
                <w:rFonts w:hint="eastAsia"/>
              </w:rPr>
              <w:t xml:space="preserve">章鼓</w:t>
            </w:r>
            <w:r>
              <w:t xml:space="preserve"> ZhangGu</w:t>
            </w:r>
          </w:p>
        </w:tc>
        <w:tc>
          <w:tcPr/>
          <w:p>
            <w:pPr>
              <w:pStyle w:val="Compact"/>
            </w:pPr>
            <w:r>
              <w:t xml:space="preserve">Technip </w:t>
            </w:r>
            <w:r>
              <w:rPr>
                <w:rFonts w:hint="eastAsia"/>
              </w:rPr>
              <w:t xml:space="preserve">或</w:t>
            </w:r>
            <w:r>
              <w:t xml:space="preserve"> NCC EPC </w:t>
            </w:r>
            <w:r>
              <w:rPr>
                <w:rFonts w:hint="eastAsia"/>
              </w:rPr>
              <w:t xml:space="preserve">管理</w:t>
            </w:r>
          </w:p>
        </w:tc>
        <w:tc>
          <w:tcPr/>
          <w:p>
            <w:pPr>
              <w:pStyle w:val="Compact"/>
            </w:pPr>
            <w:r>
              <w:rPr>
                <w:rFonts w:hint="eastAsia"/>
              </w:rPr>
              <w:t xml:space="preserve">视系统边界和性能责任划分</w:t>
            </w:r>
          </w:p>
        </w:tc>
      </w:tr>
      <w:tr>
        <w:tc>
          <w:tcPr/>
          <w:p>
            <w:pPr>
              <w:pStyle w:val="Compact"/>
            </w:pPr>
            <w:r>
              <w:rPr>
                <w:rFonts w:hint="eastAsia"/>
              </w:rPr>
              <w:t xml:space="preserve">加药系统</w:t>
            </w:r>
          </w:p>
        </w:tc>
        <w:tc>
          <w:tcPr/>
          <w:p>
            <w:pPr>
              <w:pStyle w:val="Compact"/>
            </w:pPr>
            <w:r>
              <w:rPr>
                <w:rFonts w:hint="eastAsia"/>
              </w:rPr>
              <w:t xml:space="preserve">里瓦</w:t>
            </w:r>
            <w:r>
              <w:t xml:space="preserve"> LEWA</w:t>
            </w:r>
          </w:p>
        </w:tc>
        <w:tc>
          <w:tcPr/>
          <w:p>
            <w:pPr>
              <w:pStyle w:val="Compact"/>
            </w:pPr>
            <w:r>
              <w:t xml:space="preserve">Technip </w:t>
            </w:r>
            <w:r>
              <w:rPr>
                <w:rFonts w:hint="eastAsia"/>
              </w:rPr>
              <w:t xml:space="preserve">或</w:t>
            </w:r>
            <w:r>
              <w:t xml:space="preserve"> NCC EPC </w:t>
            </w:r>
            <w:r>
              <w:rPr>
                <w:rFonts w:hint="eastAsia"/>
              </w:rPr>
              <w:t xml:space="preserve">管理</w:t>
            </w:r>
          </w:p>
        </w:tc>
        <w:tc>
          <w:tcPr/>
          <w:p>
            <w:pPr>
              <w:pStyle w:val="Compact"/>
            </w:pPr>
            <w:r>
              <w:rPr>
                <w:rFonts w:hint="eastAsia"/>
              </w:rPr>
              <w:t xml:space="preserve">应根据系统责任决定归口</w:t>
            </w:r>
          </w:p>
        </w:tc>
      </w:tr>
      <w:tr>
        <w:tc>
          <w:tcPr/>
          <w:p>
            <w:pPr>
              <w:pStyle w:val="Compact"/>
            </w:pPr>
            <w:r>
              <w:rPr>
                <w:rFonts w:hint="eastAsia"/>
              </w:rPr>
              <w:t xml:space="preserve">油料预处理/精炼成套设备</w:t>
            </w:r>
          </w:p>
        </w:tc>
        <w:tc>
          <w:tcPr/>
          <w:p>
            <w:pPr>
              <w:pStyle w:val="Compact"/>
            </w:pPr>
            <w:r>
              <w:rPr>
                <w:rFonts w:hint="eastAsia"/>
              </w:rPr>
              <w:t xml:space="preserve">迈安德</w:t>
            </w:r>
            <w:r>
              <w:t xml:space="preserve"> Myande</w:t>
            </w:r>
          </w:p>
        </w:tc>
        <w:tc>
          <w:tcPr/>
          <w:p>
            <w:pPr>
              <w:pStyle w:val="Compact"/>
            </w:pPr>
            <w:r>
              <w:t xml:space="preserve">Technip </w:t>
            </w:r>
            <w:r>
              <w:rPr>
                <w:rFonts w:hint="eastAsia"/>
              </w:rPr>
              <w:t xml:space="preserve">主导</w:t>
            </w:r>
          </w:p>
        </w:tc>
        <w:tc>
          <w:tcPr/>
          <w:p>
            <w:pPr>
              <w:pStyle w:val="Compact"/>
            </w:pPr>
            <w:r>
              <w:rPr>
                <w:rFonts w:hint="eastAsia"/>
              </w:rPr>
              <w:t xml:space="preserve">更接近主装置系统责任</w:t>
            </w:r>
          </w:p>
        </w:tc>
      </w:tr>
      <w:tr>
        <w:tc>
          <w:tcPr/>
          <w:p>
            <w:pPr>
              <w:pStyle w:val="Compact"/>
            </w:pPr>
            <w:r>
              <w:rPr>
                <w:rFonts w:hint="eastAsia"/>
              </w:rPr>
              <w:t xml:space="preserve">膜分离提氢成套装置</w:t>
            </w:r>
          </w:p>
        </w:tc>
        <w:tc>
          <w:tcPr/>
          <w:p>
            <w:pPr>
              <w:pStyle w:val="Compact"/>
            </w:pPr>
            <w:r>
              <w:rPr>
                <w:rFonts w:hint="eastAsia"/>
              </w:rPr>
              <w:t xml:space="preserve">大连欧科膜</w:t>
            </w:r>
            <w:r>
              <w:t xml:space="preserve"> Eurofilm</w:t>
            </w:r>
          </w:p>
        </w:tc>
        <w:tc>
          <w:tcPr/>
          <w:p>
            <w:pPr>
              <w:pStyle w:val="Compact"/>
            </w:pPr>
            <w:r>
              <w:t xml:space="preserve">Technip </w:t>
            </w:r>
            <w:r>
              <w:rPr>
                <w:rFonts w:hint="eastAsia"/>
              </w:rPr>
              <w:t xml:space="preserve">主导</w:t>
            </w:r>
          </w:p>
        </w:tc>
        <w:tc>
          <w:tcPr/>
          <w:p>
            <w:pPr>
              <w:pStyle w:val="Compact"/>
            </w:pPr>
            <w:r>
              <w:rPr>
                <w:rFonts w:hint="eastAsia"/>
              </w:rPr>
              <w:t xml:space="preserve">与制氢系统性能边界关系紧密</w:t>
            </w:r>
          </w:p>
        </w:tc>
      </w:tr>
      <w:tr>
        <w:tc>
          <w:tcPr/>
          <w:p>
            <w:pPr>
              <w:pStyle w:val="Compact"/>
            </w:pPr>
            <w:r>
              <w:rPr>
                <w:rFonts w:hint="eastAsia"/>
              </w:rPr>
              <w:t xml:space="preserve">仪表风/工厂风系统</w:t>
            </w:r>
          </w:p>
        </w:tc>
        <w:tc>
          <w:tcPr/>
          <w:p>
            <w:pPr>
              <w:pStyle w:val="Compact"/>
            </w:pPr>
            <w:r>
              <w:rPr>
                <w:rFonts w:hint="eastAsia"/>
              </w:rPr>
              <w:t xml:space="preserve">复盛易利达</w:t>
            </w:r>
            <w:r>
              <w:t xml:space="preserve"> FS-Elliott</w:t>
            </w:r>
          </w:p>
        </w:tc>
        <w:tc>
          <w:tcPr/>
          <w:p>
            <w:pPr>
              <w:pStyle w:val="Compact"/>
            </w:pPr>
            <w:r>
              <w:t xml:space="preserve">NCC EPC </w:t>
            </w:r>
            <w:r>
              <w:rPr>
                <w:rFonts w:hint="eastAsia"/>
              </w:rPr>
              <w:t xml:space="preserve">管理</w:t>
            </w:r>
          </w:p>
        </w:tc>
        <w:tc>
          <w:tcPr/>
          <w:p>
            <w:pPr>
              <w:pStyle w:val="Compact"/>
            </w:pPr>
            <w:r>
              <w:rPr>
                <w:rFonts w:hint="eastAsia"/>
              </w:rPr>
              <w:t xml:space="preserve">成套系统，宜统一组织采购和安装</w:t>
            </w:r>
          </w:p>
        </w:tc>
      </w:tr>
      <w:tr>
        <w:tc>
          <w:tcPr/>
          <w:p>
            <w:pPr>
              <w:pStyle w:val="Compact"/>
            </w:pPr>
            <w:r>
              <w:rPr>
                <w:rFonts w:hint="eastAsia"/>
              </w:rPr>
              <w:t xml:space="preserve">储罐钢板品牌</w:t>
            </w:r>
          </w:p>
        </w:tc>
        <w:tc>
          <w:tcPr/>
          <w:p>
            <w:pPr>
              <w:pStyle w:val="Compact"/>
            </w:pPr>
            <w:r>
              <w:rPr>
                <w:rFonts w:hint="eastAsia"/>
              </w:rPr>
              <w:t xml:space="preserve">太钢、张浦、沙钢、马钢、新余</w:t>
            </w:r>
          </w:p>
        </w:tc>
        <w:tc>
          <w:tcPr/>
          <w:p>
            <w:pPr>
              <w:pStyle w:val="Compact"/>
            </w:pPr>
            <w:r>
              <w:t xml:space="preserve">NCC </w:t>
            </w:r>
            <w:r>
              <w:rPr>
                <w:rFonts w:hint="eastAsia"/>
              </w:rPr>
              <w:t xml:space="preserve">跨境采购与国内预制</w:t>
            </w:r>
          </w:p>
        </w:tc>
        <w:tc>
          <w:tcPr/>
          <w:p>
            <w:pPr>
              <w:pStyle w:val="Compact"/>
            </w:pPr>
            <w:r>
              <w:rPr>
                <w:rFonts w:hint="eastAsia"/>
              </w:rPr>
              <w:t xml:space="preserve">这里更接近材料品牌，而非单一设备厂家</w:t>
            </w:r>
          </w:p>
        </w:tc>
      </w:tr>
      <w:tr>
        <w:tc>
          <w:tcPr/>
          <w:p>
            <w:pPr>
              <w:pStyle w:val="Compact"/>
            </w:pPr>
            <w:r>
              <w:rPr>
                <w:rFonts w:hint="eastAsia"/>
              </w:rPr>
              <w:t xml:space="preserve">储罐钢板供货单位</w:t>
            </w:r>
          </w:p>
        </w:tc>
        <w:tc>
          <w:tcPr/>
          <w:p>
            <w:pPr>
              <w:pStyle w:val="Compact"/>
            </w:pPr>
            <w:r>
              <w:rPr>
                <w:rFonts w:hint="eastAsia"/>
              </w:rPr>
              <w:t xml:space="preserve">杭州热联集团、南京嘉上环保科技</w:t>
            </w:r>
          </w:p>
        </w:tc>
        <w:tc>
          <w:tcPr/>
          <w:p>
            <w:pPr>
              <w:pStyle w:val="Compact"/>
            </w:pPr>
            <w:r>
              <w:t xml:space="preserve">NCC </w:t>
            </w:r>
            <w:r>
              <w:rPr>
                <w:rFonts w:hint="eastAsia"/>
              </w:rPr>
              <w:t xml:space="preserve">跨境采购与国内预制</w:t>
            </w:r>
          </w:p>
        </w:tc>
        <w:tc>
          <w:tcPr/>
          <w:p>
            <w:pPr>
              <w:pStyle w:val="Compact"/>
            </w:pPr>
            <w:r>
              <w:rPr>
                <w:rFonts w:hint="eastAsia"/>
              </w:rPr>
              <w:t xml:space="preserve">过往项目中已形成采购合同样本</w:t>
            </w:r>
          </w:p>
        </w:tc>
      </w:tr>
      <w:tr>
        <w:tc>
          <w:tcPr/>
          <w:p>
            <w:pPr>
              <w:pStyle w:val="Compact"/>
            </w:pPr>
            <w:r>
              <w:rPr>
                <w:rFonts w:hint="eastAsia"/>
              </w:rPr>
              <w:t xml:space="preserve">储罐附件型钢品牌</w:t>
            </w:r>
          </w:p>
        </w:tc>
        <w:tc>
          <w:tcPr/>
          <w:p>
            <w:pPr>
              <w:pStyle w:val="Compact"/>
            </w:pPr>
            <w:r>
              <w:rPr>
                <w:rFonts w:hint="eastAsia"/>
              </w:rPr>
              <w:t xml:space="preserve">唐山正丰、常州东方高精新材料、马钢</w:t>
            </w:r>
          </w:p>
        </w:tc>
        <w:tc>
          <w:tcPr/>
          <w:p>
            <w:pPr>
              <w:pStyle w:val="Compact"/>
            </w:pPr>
            <w:r>
              <w:t xml:space="preserve">NCC </w:t>
            </w:r>
            <w:r>
              <w:rPr>
                <w:rFonts w:hint="eastAsia"/>
              </w:rPr>
              <w:t xml:space="preserve">跨境采购与国内预制</w:t>
            </w:r>
          </w:p>
        </w:tc>
        <w:tc>
          <w:tcPr/>
          <w:p>
            <w:pPr>
              <w:pStyle w:val="Compact"/>
            </w:pPr>
            <w:r>
              <w:rPr>
                <w:rFonts w:hint="eastAsia"/>
              </w:rPr>
              <w:t xml:space="preserve">与储罐施工和预制配套关系紧密</w:t>
            </w:r>
          </w:p>
        </w:tc>
      </w:tr>
      <w:tr>
        <w:tc>
          <w:tcPr/>
          <w:p>
            <w:pPr>
              <w:pStyle w:val="Compact"/>
            </w:pPr>
            <w:r>
              <w:rPr>
                <w:rFonts w:hint="eastAsia"/>
              </w:rPr>
              <w:t xml:space="preserve">土建钢结构/结构钢品牌</w:t>
            </w:r>
          </w:p>
        </w:tc>
        <w:tc>
          <w:tcPr/>
          <w:p>
            <w:pPr>
              <w:pStyle w:val="Compact"/>
            </w:pPr>
            <w:r>
              <w:rPr>
                <w:rFonts w:hint="eastAsia"/>
              </w:rPr>
              <w:t xml:space="preserve">杭萧</w:t>
            </w:r>
            <w:r>
              <w:t xml:space="preserve"> HANGXIAO</w:t>
            </w:r>
          </w:p>
        </w:tc>
        <w:tc>
          <w:tcPr/>
          <w:p>
            <w:pPr>
              <w:pStyle w:val="Compact"/>
            </w:pPr>
            <w:r>
              <w:t xml:space="preserve">NCC </w:t>
            </w:r>
            <w:r>
              <w:rPr>
                <w:rFonts w:hint="eastAsia"/>
              </w:rPr>
              <w:t xml:space="preserve">跨境采购与国内预制</w:t>
            </w:r>
          </w:p>
        </w:tc>
        <w:tc>
          <w:tcPr/>
          <w:p>
            <w:pPr>
              <w:pStyle w:val="Compact"/>
            </w:pPr>
            <w:r>
              <w:rPr>
                <w:rFonts w:hint="eastAsia"/>
              </w:rPr>
              <w:t xml:space="preserve">可作为钢结构品牌参考样本</w:t>
            </w:r>
          </w:p>
        </w:tc>
      </w:tr>
      <w:tr>
        <w:tc>
          <w:tcPr/>
          <w:p>
            <w:pPr>
              <w:pStyle w:val="Compact"/>
            </w:pPr>
            <w:r>
              <w:rPr>
                <w:rFonts w:hint="eastAsia"/>
              </w:rPr>
              <w:t xml:space="preserve">储罐钢结构及栏杆扶手预制安装单位</w:t>
            </w:r>
          </w:p>
        </w:tc>
        <w:tc>
          <w:tcPr/>
          <w:p>
            <w:pPr>
              <w:pStyle w:val="Compact"/>
            </w:pPr>
            <w:r>
              <w:t xml:space="preserve">GUANGLEI STEEL STRUCTURE ENGINEERING MALAYSIA SDN. BHD.</w:t>
            </w:r>
          </w:p>
        </w:tc>
        <w:tc>
          <w:tcPr/>
          <w:p>
            <w:pPr>
              <w:pStyle w:val="Compact"/>
            </w:pPr>
            <w:r>
              <w:t xml:space="preserve">NCC </w:t>
            </w:r>
            <w:r>
              <w:rPr>
                <w:rFonts w:hint="eastAsia"/>
              </w:rPr>
              <w:t xml:space="preserve">组织</w:t>
            </w:r>
          </w:p>
        </w:tc>
        <w:tc>
          <w:tcPr/>
          <w:p>
            <w:pPr>
              <w:pStyle w:val="Compact"/>
            </w:pPr>
            <w:r>
              <w:rPr>
                <w:rFonts w:hint="eastAsia"/>
              </w:rPr>
              <w:t xml:space="preserve">更接近现场预制安装单位，不属于材料品牌</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Main Suppliers / Brands or Supply Entities in Previous Projects</w:t>
            </w:r>
          </w:p>
        </w:tc>
        <w:tc>
          <w:tcPr/>
          <w:p>
            <w:pPr>
              <w:pStyle w:val="Compact"/>
            </w:pPr>
            <w:r>
              <w:t xml:space="preserve">Recommended Allocation for This Project</w:t>
            </w:r>
          </w:p>
        </w:tc>
        <w:tc>
          <w:tcPr/>
          <w:p>
            <w:pPr>
              <w:pStyle w:val="Compact"/>
            </w:pPr>
            <w:r>
              <w:t xml:space="preserve">Remarks</w:t>
            </w:r>
          </w:p>
        </w:tc>
      </w:tr>
      <w:tr>
        <w:tc>
          <w:tcPr/>
          <w:p>
            <w:pPr>
              <w:pStyle w:val="Compact"/>
            </w:pPr>
            <w:r>
              <w:t xml:space="preserve">Ground flare system</w:t>
            </w:r>
          </w:p>
        </w:tc>
        <w:tc>
          <w:tcPr/>
          <w:p>
            <w:pPr>
              <w:pStyle w:val="Compact"/>
            </w:pPr>
            <w:r>
              <w:t xml:space="preserve">ZEECON</w:t>
            </w:r>
          </w:p>
        </w:tc>
        <w:tc>
          <w:tcPr/>
          <w:p>
            <w:pPr>
              <w:pStyle w:val="Compact"/>
            </w:pPr>
            <w:r>
              <w:t xml:space="preserve">NCC EPC management</w:t>
            </w:r>
          </w:p>
        </w:tc>
        <w:tc>
          <w:tcPr/>
          <w:p>
            <w:pPr>
              <w:pStyle w:val="Compact"/>
            </w:pPr>
            <w:r>
              <w:t xml:space="preserve">Package system; delivery status and interfaces should be clearly defined</w:t>
            </w:r>
          </w:p>
        </w:tc>
      </w:tr>
      <w:tr>
        <w:tc>
          <w:tcPr/>
          <w:p>
            <w:pPr>
              <w:pStyle w:val="Compact"/>
            </w:pPr>
            <w:r>
              <w:t xml:space="preserve">Steam boiler system</w:t>
            </w:r>
          </w:p>
        </w:tc>
        <w:tc>
          <w:tcPr/>
          <w:p>
            <w:pPr>
              <w:pStyle w:val="Compact"/>
            </w:pPr>
            <w:r>
              <w:t xml:space="preserve">TAIHU Boiler</w:t>
            </w:r>
          </w:p>
        </w:tc>
        <w:tc>
          <w:tcPr/>
          <w:p>
            <w:pPr>
              <w:pStyle w:val="Compact"/>
            </w:pPr>
            <w:r>
              <w:t xml:space="preserve">NCC EPC management</w:t>
            </w:r>
          </w:p>
        </w:tc>
        <w:tc>
          <w:tcPr/>
          <w:p>
            <w:pPr>
              <w:pStyle w:val="Compact"/>
            </w:pPr>
            <w:r>
              <w:t xml:space="preserve">Typical utility package system</w:t>
            </w:r>
          </w:p>
        </w:tc>
      </w:tr>
      <w:tr>
        <w:tc>
          <w:tcPr/>
          <w:p>
            <w:pPr>
              <w:pStyle w:val="Compact"/>
            </w:pPr>
            <w:r>
              <w:t xml:space="preserve">Demineralized water system</w:t>
            </w:r>
          </w:p>
        </w:tc>
        <w:tc>
          <w:tcPr/>
          <w:p>
            <w:pPr>
              <w:pStyle w:val="Compact"/>
            </w:pPr>
            <w:r>
              <w:t xml:space="preserve">Gretech</w:t>
            </w:r>
          </w:p>
        </w:tc>
        <w:tc>
          <w:tcPr/>
          <w:p>
            <w:pPr>
              <w:pStyle w:val="Compact"/>
            </w:pPr>
            <w:r>
              <w:t xml:space="preserve">NCC EPC management</w:t>
            </w:r>
          </w:p>
        </w:tc>
        <w:tc>
          <w:tcPr/>
          <w:p>
            <w:pPr>
              <w:pStyle w:val="Compact"/>
            </w:pPr>
            <w:r>
              <w:t xml:space="preserve">One of the water treatment package systems</w:t>
            </w:r>
          </w:p>
        </w:tc>
      </w:tr>
      <w:tr>
        <w:tc>
          <w:tcPr/>
          <w:p>
            <w:pPr>
              <w:pStyle w:val="Compact"/>
            </w:pPr>
            <w:r>
              <w:t xml:space="preserve">Nitrogen generation system</w:t>
            </w:r>
          </w:p>
        </w:tc>
        <w:tc>
          <w:tcPr/>
          <w:p>
            <w:pPr>
              <w:pStyle w:val="Compact"/>
            </w:pPr>
            <w:r>
              <w:t xml:space="preserve">Hangzhou Chuankong</w:t>
            </w:r>
          </w:p>
        </w:tc>
        <w:tc>
          <w:tcPr/>
          <w:p>
            <w:pPr>
              <w:pStyle w:val="Compact"/>
            </w:pPr>
            <w:r>
              <w:t xml:space="preserve">NCC EPC management</w:t>
            </w:r>
          </w:p>
        </w:tc>
        <w:tc>
          <w:tcPr/>
          <w:p>
            <w:pPr>
              <w:pStyle w:val="Compact"/>
            </w:pPr>
            <w:r>
              <w:t xml:space="preserve">Multiple interfaces with utility systems</w:t>
            </w:r>
          </w:p>
        </w:tc>
      </w:tr>
      <w:tr>
        <w:tc>
          <w:tcPr/>
          <w:p>
            <w:pPr>
              <w:pStyle w:val="Compact"/>
            </w:pPr>
            <w:r>
              <w:t xml:space="preserve">Vacuum system</w:t>
            </w:r>
          </w:p>
        </w:tc>
        <w:tc>
          <w:tcPr/>
          <w:p>
            <w:pPr>
              <w:pStyle w:val="Compact"/>
            </w:pPr>
            <w:r>
              <w:t xml:space="preserve">Hangzhen</w:t>
            </w:r>
          </w:p>
        </w:tc>
        <w:tc>
          <w:tcPr/>
          <w:p>
            <w:pPr>
              <w:pStyle w:val="Compact"/>
            </w:pPr>
            <w:r>
              <w:t xml:space="preserve">NCC EPC management</w:t>
            </w:r>
          </w:p>
        </w:tc>
        <w:tc>
          <w:tcPr/>
          <w:p>
            <w:pPr>
              <w:pStyle w:val="Compact"/>
            </w:pPr>
            <w:r>
              <w:t xml:space="preserve">Recommended for unified package design and installation coordination by NCC</w:t>
            </w:r>
          </w:p>
        </w:tc>
      </w:tr>
      <w:tr>
        <w:tc>
          <w:tcPr/>
          <w:p>
            <w:pPr>
              <w:pStyle w:val="Compact"/>
            </w:pPr>
            <w:r>
              <w:t xml:space="preserve">Circulating water system</w:t>
            </w:r>
          </w:p>
        </w:tc>
        <w:tc>
          <w:tcPr/>
          <w:p>
            <w:pPr>
              <w:pStyle w:val="Compact"/>
            </w:pPr>
            <w:r>
              <w:t xml:space="preserve">SEAGULL</w:t>
            </w:r>
          </w:p>
        </w:tc>
        <w:tc>
          <w:tcPr/>
          <w:p>
            <w:pPr>
              <w:pStyle w:val="Compact"/>
            </w:pPr>
            <w:r>
              <w:t xml:space="preserve">NCC EPC management</w:t>
            </w:r>
          </w:p>
        </w:tc>
        <w:tc>
          <w:tcPr/>
          <w:p>
            <w:pPr>
              <w:pStyle w:val="Compact"/>
            </w:pPr>
            <w:r>
              <w:t xml:space="preserve">Multiple interfaces with the main units and utility systems</w:t>
            </w:r>
          </w:p>
        </w:tc>
      </w:tr>
      <w:tr>
        <w:tc>
          <w:tcPr/>
          <w:p>
            <w:pPr>
              <w:pStyle w:val="Compact"/>
            </w:pPr>
            <w:r>
              <w:t xml:space="preserve">IETS system</w:t>
            </w:r>
          </w:p>
        </w:tc>
        <w:tc>
          <w:tcPr/>
          <w:p>
            <w:pPr>
              <w:pStyle w:val="Compact"/>
            </w:pPr>
            <w:r>
              <w:t xml:space="preserve">Mcwong</w:t>
            </w:r>
          </w:p>
        </w:tc>
        <w:tc>
          <w:tcPr/>
          <w:p>
            <w:pPr>
              <w:pStyle w:val="Compact"/>
            </w:pPr>
            <w:r>
              <w:t xml:space="preserve">NCC EPC management</w:t>
            </w:r>
          </w:p>
        </w:tc>
        <w:tc>
          <w:tcPr/>
          <w:p>
            <w:pPr>
              <w:pStyle w:val="Compact"/>
            </w:pPr>
            <w:r>
              <w:t xml:space="preserve">Interface coordination workload was significant in previous projects</w:t>
            </w:r>
          </w:p>
        </w:tc>
      </w:tr>
      <w:tr>
        <w:tc>
          <w:tcPr/>
          <w:p>
            <w:pPr>
              <w:pStyle w:val="Compact"/>
            </w:pPr>
            <w:r>
              <w:t xml:space="preserve">Bleaching earth conveying / bag unloading system</w:t>
            </w:r>
          </w:p>
        </w:tc>
        <w:tc>
          <w:tcPr/>
          <w:p>
            <w:pPr>
              <w:pStyle w:val="Compact"/>
            </w:pPr>
            <w:r>
              <w:t xml:space="preserve">ZhangGu</w:t>
            </w:r>
          </w:p>
        </w:tc>
        <w:tc>
          <w:tcPr/>
          <w:p>
            <w:pPr>
              <w:pStyle w:val="Compact"/>
            </w:pPr>
            <w:r>
              <w:t xml:space="preserve">Technip or NCC EPC management</w:t>
            </w:r>
          </w:p>
        </w:tc>
        <w:tc>
          <w:tcPr/>
          <w:p>
            <w:pPr>
              <w:pStyle w:val="Compact"/>
            </w:pPr>
            <w:r>
              <w:t xml:space="preserve">To be allocated based on system boundary and performance responsibility</w:t>
            </w:r>
          </w:p>
        </w:tc>
      </w:tr>
      <w:tr>
        <w:tc>
          <w:tcPr/>
          <w:p>
            <w:pPr>
              <w:pStyle w:val="Compact"/>
            </w:pPr>
            <w:r>
              <w:t xml:space="preserve">Chemical dosing system</w:t>
            </w:r>
          </w:p>
        </w:tc>
        <w:tc>
          <w:tcPr/>
          <w:p>
            <w:pPr>
              <w:pStyle w:val="Compact"/>
            </w:pPr>
            <w:r>
              <w:t xml:space="preserve">LEWA</w:t>
            </w:r>
          </w:p>
        </w:tc>
        <w:tc>
          <w:tcPr/>
          <w:p>
            <w:pPr>
              <w:pStyle w:val="Compact"/>
            </w:pPr>
            <w:r>
              <w:t xml:space="preserve">Technip or NCC EPC management</w:t>
            </w:r>
          </w:p>
        </w:tc>
        <w:tc>
          <w:tcPr/>
          <w:p>
            <w:pPr>
              <w:pStyle w:val="Compact"/>
            </w:pPr>
            <w:r>
              <w:t xml:space="preserve">Allocation should be decided according to system responsibility</w:t>
            </w:r>
          </w:p>
        </w:tc>
      </w:tr>
      <w:tr>
        <w:tc>
          <w:tcPr/>
          <w:p>
            <w:pPr>
              <w:pStyle w:val="Compact"/>
            </w:pPr>
            <w:r>
              <w:t xml:space="preserve">Oil pretreatment / refining package equipment</w:t>
            </w:r>
          </w:p>
        </w:tc>
        <w:tc>
          <w:tcPr/>
          <w:p>
            <w:pPr>
              <w:pStyle w:val="Compact"/>
            </w:pPr>
            <w:r>
              <w:t xml:space="preserve">Myande</w:t>
            </w:r>
          </w:p>
        </w:tc>
        <w:tc>
          <w:tcPr/>
          <w:p>
            <w:pPr>
              <w:pStyle w:val="Compact"/>
            </w:pPr>
            <w:r>
              <w:t xml:space="preserve">Technip-led</w:t>
            </w:r>
          </w:p>
        </w:tc>
        <w:tc>
          <w:tcPr/>
          <w:p>
            <w:pPr>
              <w:pStyle w:val="Compact"/>
            </w:pPr>
            <w:r>
              <w:t xml:space="preserve">Closer to main process unit responsibility</w:t>
            </w:r>
          </w:p>
        </w:tc>
      </w:tr>
      <w:tr>
        <w:tc>
          <w:tcPr/>
          <w:p>
            <w:pPr>
              <w:pStyle w:val="Compact"/>
            </w:pPr>
            <w:r>
              <w:t xml:space="preserve">Membrane hydrogen recovery package</w:t>
            </w:r>
          </w:p>
        </w:tc>
        <w:tc>
          <w:tcPr/>
          <w:p>
            <w:pPr>
              <w:pStyle w:val="Compact"/>
            </w:pPr>
            <w:r>
              <w:t xml:space="preserve">Eurofilm</w:t>
            </w:r>
          </w:p>
        </w:tc>
        <w:tc>
          <w:tcPr/>
          <w:p>
            <w:pPr>
              <w:pStyle w:val="Compact"/>
            </w:pPr>
            <w:r>
              <w:t xml:space="preserve">Technip-led</w:t>
            </w:r>
          </w:p>
        </w:tc>
        <w:tc>
          <w:tcPr/>
          <w:p>
            <w:pPr>
              <w:pStyle w:val="Compact"/>
            </w:pPr>
            <w:r>
              <w:t xml:space="preserve">Closely related to hydrogen system performance boundary</w:t>
            </w:r>
          </w:p>
        </w:tc>
      </w:tr>
      <w:tr>
        <w:tc>
          <w:tcPr/>
          <w:p>
            <w:pPr>
              <w:pStyle w:val="Compact"/>
            </w:pPr>
            <w:r>
              <w:t xml:space="preserve">Instrument air / plant air system</w:t>
            </w:r>
          </w:p>
        </w:tc>
        <w:tc>
          <w:tcPr/>
          <w:p>
            <w:pPr>
              <w:pStyle w:val="Compact"/>
            </w:pPr>
            <w:r>
              <w:t xml:space="preserve">FS-Elliott</w:t>
            </w:r>
          </w:p>
        </w:tc>
        <w:tc>
          <w:tcPr/>
          <w:p>
            <w:pPr>
              <w:pStyle w:val="Compact"/>
            </w:pPr>
            <w:r>
              <w:t xml:space="preserve">NCC EPC management</w:t>
            </w:r>
          </w:p>
        </w:tc>
        <w:tc>
          <w:tcPr/>
          <w:p>
            <w:pPr>
              <w:pStyle w:val="Compact"/>
            </w:pPr>
            <w:r>
              <w:t xml:space="preserve">Package system and recommended to be procured and installed under unified management</w:t>
            </w:r>
          </w:p>
        </w:tc>
      </w:tr>
      <w:tr>
        <w:tc>
          <w:tcPr/>
          <w:p>
            <w:pPr>
              <w:pStyle w:val="Compact"/>
            </w:pPr>
            <w:r>
              <w:t xml:space="preserve">Tank plate brands</w:t>
            </w:r>
          </w:p>
        </w:tc>
        <w:tc>
          <w:tcPr/>
          <w:p>
            <w:pPr>
              <w:pStyle w:val="Compact"/>
            </w:pPr>
            <w:r>
              <w:t xml:space="preserve">TISCO, ZPSS, Shagang, Maanshan Steel, Xinyu Steel</w:t>
            </w:r>
          </w:p>
        </w:tc>
        <w:tc>
          <w:tcPr/>
          <w:p>
            <w:pPr>
              <w:pStyle w:val="Compact"/>
            </w:pPr>
            <w:r>
              <w:t xml:space="preserve">NCC cross-border procurement with domestic prefabrication</w:t>
            </w:r>
          </w:p>
        </w:tc>
        <w:tc>
          <w:tcPr/>
          <w:p>
            <w:pPr>
              <w:pStyle w:val="Compact"/>
            </w:pPr>
            <w:r>
              <w:t xml:space="preserve">This is closer to a material brand category than a single equipment supplier</w:t>
            </w:r>
          </w:p>
        </w:tc>
      </w:tr>
      <w:tr>
        <w:tc>
          <w:tcPr/>
          <w:p>
            <w:pPr>
              <w:pStyle w:val="Compact"/>
            </w:pPr>
            <w:r>
              <w:t xml:space="preserve">Tank plate supply entities</w:t>
            </w:r>
          </w:p>
        </w:tc>
        <w:tc>
          <w:tcPr/>
          <w:p>
            <w:pPr>
              <w:pStyle w:val="Compact"/>
            </w:pPr>
            <w:r>
              <w:t xml:space="preserve">Hangzhou Thermal Union Group, Nanjing Jiashang Environmental Technology</w:t>
            </w:r>
          </w:p>
        </w:tc>
        <w:tc>
          <w:tcPr/>
          <w:p>
            <w:pPr>
              <w:pStyle w:val="Compact"/>
            </w:pPr>
            <w:r>
              <w:t xml:space="preserve">NCC cross-border procurement with domestic prefabrication</w:t>
            </w:r>
          </w:p>
        </w:tc>
        <w:tc>
          <w:tcPr/>
          <w:p>
            <w:pPr>
              <w:pStyle w:val="Compact"/>
            </w:pPr>
            <w:r>
              <w:t xml:space="preserve">Procurement contract samples already exist in previous projects</w:t>
            </w:r>
          </w:p>
        </w:tc>
      </w:tr>
      <w:tr>
        <w:tc>
          <w:tcPr/>
          <w:p>
            <w:pPr>
              <w:pStyle w:val="Compact"/>
            </w:pPr>
            <w:r>
              <w:t xml:space="preserve">Tank accessory section steel brands</w:t>
            </w:r>
          </w:p>
        </w:tc>
        <w:tc>
          <w:tcPr/>
          <w:p>
            <w:pPr>
              <w:pStyle w:val="Compact"/>
            </w:pPr>
            <w:r>
              <w:t xml:space="preserve">Tangshan Zhengfeng, Changzhou Dongfang High Precision, Maanshan Steel</w:t>
            </w:r>
          </w:p>
        </w:tc>
        <w:tc>
          <w:tcPr/>
          <w:p>
            <w:pPr>
              <w:pStyle w:val="Compact"/>
            </w:pPr>
            <w:r>
              <w:t xml:space="preserve">NCC cross-border procurement with domestic prefabrication</w:t>
            </w:r>
          </w:p>
        </w:tc>
        <w:tc>
          <w:tcPr/>
          <w:p>
            <w:pPr>
              <w:pStyle w:val="Compact"/>
            </w:pPr>
            <w:r>
              <w:t xml:space="preserve">Closely related to tank construction and prefabrication support</w:t>
            </w:r>
          </w:p>
        </w:tc>
      </w:tr>
      <w:tr>
        <w:tc>
          <w:tcPr/>
          <w:p>
            <w:pPr>
              <w:pStyle w:val="Compact"/>
            </w:pPr>
            <w:r>
              <w:t xml:space="preserve">Civil / structural steel brands</w:t>
            </w:r>
          </w:p>
        </w:tc>
        <w:tc>
          <w:tcPr/>
          <w:p>
            <w:pPr>
              <w:pStyle w:val="Compact"/>
            </w:pPr>
            <w:r>
              <w:t xml:space="preserve">HANGXIAO</w:t>
            </w:r>
          </w:p>
        </w:tc>
        <w:tc>
          <w:tcPr/>
          <w:p>
            <w:pPr>
              <w:pStyle w:val="Compact"/>
            </w:pPr>
            <w:r>
              <w:t xml:space="preserve">NCC cross-border procurement with domestic prefabrication</w:t>
            </w:r>
          </w:p>
        </w:tc>
        <w:tc>
          <w:tcPr/>
          <w:p>
            <w:pPr>
              <w:pStyle w:val="Compact"/>
            </w:pPr>
            <w:r>
              <w:t xml:space="preserve">Can be used as a structural steel brand reference</w:t>
            </w:r>
          </w:p>
        </w:tc>
      </w:tr>
      <w:tr>
        <w:tc>
          <w:tcPr/>
          <w:p>
            <w:pPr>
              <w:pStyle w:val="Compact"/>
            </w:pPr>
            <w:r>
              <w:t xml:space="preserve">Tank steel structure and handrail prefabrication / installation contractor</w:t>
            </w:r>
          </w:p>
        </w:tc>
        <w:tc>
          <w:tcPr/>
          <w:p>
            <w:pPr>
              <w:pStyle w:val="Compact"/>
            </w:pPr>
            <w:r>
              <w:t xml:space="preserve">GUANGLEI STEEL STRUCTURE ENGINEERING MALAYSIA SDN. BHD.</w:t>
            </w:r>
          </w:p>
        </w:tc>
        <w:tc>
          <w:tcPr/>
          <w:p>
            <w:pPr>
              <w:pStyle w:val="Compact"/>
            </w:pPr>
            <w:r>
              <w:t xml:space="preserve">NCC organization</w:t>
            </w:r>
          </w:p>
        </w:tc>
        <w:tc>
          <w:tcPr/>
          <w:p>
            <w:pPr>
              <w:pStyle w:val="Compact"/>
            </w:pPr>
            <w:r>
              <w:t xml:space="preserve">Closer to a site prefabrication and installation contractor than a material brand</w:t>
            </w:r>
          </w:p>
        </w:tc>
      </w:tr>
    </w:tbl>
    <w:bookmarkEnd w:id="20"/>
    <w:bookmarkStart w:id="21" w:name="X3b3680c774ab128e7bc476143e640f024376495"/>
    <w:p>
      <w:pPr>
        <w:pStyle w:val="Heading3"/>
      </w:pPr>
      <w:r>
        <w:t xml:space="preserve">6. NCC </w:t>
      </w:r>
      <w:r>
        <w:rPr>
          <w:rFonts w:hint="eastAsia"/>
        </w:rPr>
        <w:t xml:space="preserve">跨境采购范围</w:t>
      </w:r>
      <w:r>
        <w:t xml:space="preserve"> / NCC Cross-Border Procurement Scope</w:t>
      </w:r>
    </w:p>
    <w:p>
      <w:pPr>
        <w:pStyle w:val="FirstParagraph"/>
      </w:pPr>
      <w:r>
        <w:t xml:space="preserve">NCC </w:t>
      </w:r>
      <w:r>
        <w:rPr>
          <w:rFonts w:hint="eastAsia"/>
        </w:rPr>
        <w:t xml:space="preserve">跨境采购范围建议集中在国内采购、国内预制后再出口的主材和安装型物资，重点包括钢结构、储罐主材、管道主材、法兰管件、常规阀门、预制管道材料、预制罐板及附件、防腐保温材料和部分安装型设备。钢结构建议由</w:t>
      </w:r>
      <w:r>
        <w:t xml:space="preserve"> NCC </w:t>
      </w:r>
      <w:r>
        <w:rPr>
          <w:rFonts w:hint="eastAsia"/>
        </w:rPr>
        <w:t xml:space="preserve">负责国内采购和国内预制，再统一组织出运和现场安装衔接。此类物资与国内预制、分段、防腐、包装和海运组织关系紧密，由</w:t>
      </w:r>
      <w:r>
        <w:t xml:space="preserve"> NCC </w:t>
      </w:r>
      <w:r>
        <w:rPr>
          <w:rFonts w:hint="eastAsia"/>
        </w:rPr>
        <w:t xml:space="preserve">统一组织更有利于把采购、预制、发运和现场安装连成一条线。</w:t>
      </w:r>
    </w:p>
    <w:p>
      <w:pPr>
        <w:pStyle w:val="BodyText"/>
      </w:pPr>
      <w:r>
        <w:t xml:space="preserve">NCC’s cross-border procurement scope is recommended to focus on main materials and installation-related materials that are procured in China, prefabricated in China and then exported, including structural steel, tank bulk materials, piping bulk materials, flanges and fittings, conventional valves, piping prefabrication materials, prefabricated tank plates and accessories, painting and insulation materials, and selected installation-type equipment. Structural steel is recommended to be procured and prefabricated domestically by NCC, followed by unified shipment and coordination with site installation. Because these materials are closely linked to domestic prefabrication, segmentation, coating, packing and marine shipment, NCC’s unified organization is more conducive to connecting procurement, prefabrication, shipment and site installation into one execution line.</w:t>
      </w:r>
    </w:p>
    <w:bookmarkEnd w:id="21"/>
    <w:bookmarkStart w:id="22" w:name="Xa60be1be7b6d04e084978c374967633d82dc5f4"/>
    <w:p>
      <w:pPr>
        <w:pStyle w:val="Heading3"/>
      </w:pPr>
      <w:r>
        <w:t xml:space="preserve">7. </w:t>
      </w:r>
      <w:r>
        <w:rPr>
          <w:rFonts w:hint="eastAsia"/>
        </w:rPr>
        <w:t xml:space="preserve">公用工程成套包采购与管理范围</w:t>
      </w:r>
      <w:r>
        <w:t xml:space="preserve"> / Procurement and Management Scope for Utility Package Systems</w:t>
      </w:r>
    </w:p>
    <w:p>
      <w:pPr>
        <w:pStyle w:val="FirstParagraph"/>
      </w:pPr>
      <w:r>
        <w:rPr>
          <w:rFonts w:hint="eastAsia"/>
        </w:rPr>
        <w:t xml:space="preserve">锅炉、燃气、空压站、水处理、IETS</w:t>
      </w:r>
      <w:r>
        <w:t xml:space="preserve"> </w:t>
      </w:r>
      <w:r>
        <w:rPr>
          <w:rFonts w:hint="eastAsia"/>
        </w:rPr>
        <w:t xml:space="preserve">等公用工程成套包，建议纳入</w:t>
      </w:r>
      <w:r>
        <w:t xml:space="preserve"> NCC </w:t>
      </w:r>
      <w:r>
        <w:rPr>
          <w:rFonts w:hint="eastAsia"/>
        </w:rPr>
        <w:t xml:space="preserve">范围，由</w:t>
      </w:r>
      <w:r>
        <w:t xml:space="preserve"> NCC </w:t>
      </w:r>
      <w:r>
        <w:rPr>
          <w:rFonts w:hint="eastAsia"/>
        </w:rPr>
        <w:t xml:space="preserve">进行</w:t>
      </w:r>
      <w:r>
        <w:t xml:space="preserve"> EPC </w:t>
      </w:r>
      <w:r>
        <w:rPr>
          <w:rFonts w:hint="eastAsia"/>
        </w:rPr>
        <w:t xml:space="preserve">管理。主装置和配套系统设计方负责提供接口条件和设计参数，专业成套厂家负责包内设计和设备供货，NCC</w:t>
      </w:r>
      <w:r>
        <w:t xml:space="preserve"> </w:t>
      </w:r>
      <w:r>
        <w:rPr>
          <w:rFonts w:hint="eastAsia"/>
        </w:rPr>
        <w:t xml:space="preserve">负责成套包的技术协调、采购组织、制造催交、物流发运、现场安装和界面关闭。过往项目中，这类成套系统因分别选用不同厂家，现场界面和协调工作较多，因此本项目更适合由</w:t>
      </w:r>
      <w:r>
        <w:t xml:space="preserve"> NCC </w:t>
      </w:r>
      <w:r>
        <w:rPr>
          <w:rFonts w:hint="eastAsia"/>
        </w:rPr>
        <w:t xml:space="preserve">统一管理。</w:t>
      </w:r>
    </w:p>
    <w:p>
      <w:pPr>
        <w:pStyle w:val="BodyText"/>
      </w:pPr>
      <w:r>
        <w:t xml:space="preserve">Utility package systems such as boilers, gas systems, air compressor stations, water treatment and IETS are recommended to be included within NCC’s scope under EPC management. The main process design party and the supporting systems design party should provide interface conditions and design parameters. Specialist package vendors should perform package-internal design and equipment supply. NCC should be responsible for technical coordination of the package systems, procurement organization, manufacturing expediting, logistics shipment, site installation and interface close-out. In previous projects, these package systems were awarded to different vendors, resulting in a large amount of site interface and coordination work. For this project, unified management by NCC is therefore more suitable.</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成套系统</w:t>
            </w:r>
          </w:p>
        </w:tc>
        <w:tc>
          <w:tcPr/>
          <w:p>
            <w:pPr>
              <w:pStyle w:val="Compact"/>
            </w:pPr>
            <w:r>
              <w:rPr>
                <w:rFonts w:hint="eastAsia"/>
              </w:rPr>
              <w:t xml:space="preserve">设计方责任</w:t>
            </w:r>
          </w:p>
        </w:tc>
        <w:tc>
          <w:tcPr/>
          <w:p>
            <w:pPr>
              <w:pStyle w:val="Compact"/>
            </w:pPr>
            <w:r>
              <w:rPr>
                <w:rFonts w:hint="eastAsia"/>
              </w:rPr>
              <w:t xml:space="preserve">成套厂家责任</w:t>
            </w:r>
          </w:p>
        </w:tc>
        <w:tc>
          <w:tcPr/>
          <w:p>
            <w:pPr>
              <w:pStyle w:val="Compact"/>
            </w:pPr>
            <w:r>
              <w:t xml:space="preserve">NCC </w:t>
            </w:r>
            <w:r>
              <w:rPr>
                <w:rFonts w:hint="eastAsia"/>
              </w:rPr>
              <w:t xml:space="preserve">责任</w:t>
            </w:r>
          </w:p>
        </w:tc>
      </w:tr>
      <w:tr>
        <w:tc>
          <w:tcPr/>
          <w:p>
            <w:pPr>
              <w:pStyle w:val="Compact"/>
            </w:pPr>
            <w:r>
              <w:rPr>
                <w:rFonts w:hint="eastAsia"/>
              </w:rPr>
              <w:t xml:space="preserve">锅炉系统</w:t>
            </w:r>
          </w:p>
        </w:tc>
        <w:tc>
          <w:tcPr/>
          <w:p>
            <w:pPr>
              <w:pStyle w:val="Compact"/>
            </w:pPr>
            <w:r>
              <w:rPr>
                <w:rFonts w:hint="eastAsia"/>
              </w:rPr>
              <w:t xml:space="preserve">提供界面条件、蒸汽参数、接入要求</w:t>
            </w:r>
          </w:p>
        </w:tc>
        <w:tc>
          <w:tcPr/>
          <w:p>
            <w:pPr>
              <w:pStyle w:val="Compact"/>
            </w:pPr>
            <w:r>
              <w:rPr>
                <w:rFonts w:hint="eastAsia"/>
              </w:rPr>
              <w:t xml:space="preserve">负责包内设计和成套供货</w:t>
            </w:r>
          </w:p>
        </w:tc>
        <w:tc>
          <w:tcPr/>
          <w:p>
            <w:pPr>
              <w:pStyle w:val="Compact"/>
            </w:pPr>
            <w:r>
              <w:rPr>
                <w:rFonts w:hint="eastAsia"/>
              </w:rPr>
              <w:t xml:space="preserve">负责</w:t>
            </w:r>
            <w:r>
              <w:t xml:space="preserve"> EPC </w:t>
            </w:r>
            <w:r>
              <w:rPr>
                <w:rFonts w:hint="eastAsia"/>
              </w:rPr>
              <w:t xml:space="preserve">管理、催交、安装和界面关闭</w:t>
            </w:r>
          </w:p>
        </w:tc>
      </w:tr>
      <w:tr>
        <w:tc>
          <w:tcPr/>
          <w:p>
            <w:pPr>
              <w:pStyle w:val="Compact"/>
            </w:pPr>
            <w:r>
              <w:rPr>
                <w:rFonts w:hint="eastAsia"/>
              </w:rPr>
              <w:t xml:space="preserve">燃气系统</w:t>
            </w:r>
          </w:p>
        </w:tc>
        <w:tc>
          <w:tcPr/>
          <w:p>
            <w:pPr>
              <w:pStyle w:val="Compact"/>
            </w:pPr>
            <w:r>
              <w:rPr>
                <w:rFonts w:hint="eastAsia"/>
              </w:rPr>
              <w:t xml:space="preserve">提供边界条件和工艺参数</w:t>
            </w:r>
          </w:p>
        </w:tc>
        <w:tc>
          <w:tcPr/>
          <w:p>
            <w:pPr>
              <w:pStyle w:val="Compact"/>
            </w:pPr>
            <w:r>
              <w:rPr>
                <w:rFonts w:hint="eastAsia"/>
              </w:rPr>
              <w:t xml:space="preserve">负责包内设计和设备成套</w:t>
            </w:r>
          </w:p>
        </w:tc>
        <w:tc>
          <w:tcPr/>
          <w:p>
            <w:pPr>
              <w:pStyle w:val="Compact"/>
            </w:pPr>
            <w:r>
              <w:rPr>
                <w:rFonts w:hint="eastAsia"/>
              </w:rPr>
              <w:t xml:space="preserve">负责采购组织、发运、现场安装和协调</w:t>
            </w:r>
          </w:p>
        </w:tc>
      </w:tr>
      <w:tr>
        <w:tc>
          <w:tcPr/>
          <w:p>
            <w:pPr>
              <w:pStyle w:val="Compact"/>
            </w:pPr>
            <w:r>
              <w:rPr>
                <w:rFonts w:hint="eastAsia"/>
              </w:rPr>
              <w:t xml:space="preserve">空压站</w:t>
            </w:r>
          </w:p>
        </w:tc>
        <w:tc>
          <w:tcPr/>
          <w:p>
            <w:pPr>
              <w:pStyle w:val="Compact"/>
            </w:pPr>
            <w:r>
              <w:rPr>
                <w:rFonts w:hint="eastAsia"/>
              </w:rPr>
              <w:t xml:space="preserve">提供接口和公用工程参数</w:t>
            </w:r>
          </w:p>
        </w:tc>
        <w:tc>
          <w:tcPr/>
          <w:p>
            <w:pPr>
              <w:pStyle w:val="Compact"/>
            </w:pPr>
            <w:r>
              <w:rPr>
                <w:rFonts w:hint="eastAsia"/>
              </w:rPr>
              <w:t xml:space="preserve">负责包内设计和设备供货</w:t>
            </w:r>
          </w:p>
        </w:tc>
        <w:tc>
          <w:tcPr/>
          <w:p>
            <w:pPr>
              <w:pStyle w:val="Compact"/>
            </w:pPr>
            <w:r>
              <w:rPr>
                <w:rFonts w:hint="eastAsia"/>
              </w:rPr>
              <w:t xml:space="preserve">负责制造协调、安装和系统交付</w:t>
            </w:r>
          </w:p>
        </w:tc>
      </w:tr>
      <w:tr>
        <w:tc>
          <w:tcPr/>
          <w:p>
            <w:pPr>
              <w:pStyle w:val="Compact"/>
            </w:pPr>
            <w:r>
              <w:rPr>
                <w:rFonts w:hint="eastAsia"/>
              </w:rPr>
              <w:t xml:space="preserve">水处理系统</w:t>
            </w:r>
          </w:p>
        </w:tc>
        <w:tc>
          <w:tcPr/>
          <w:p>
            <w:pPr>
              <w:pStyle w:val="Compact"/>
            </w:pPr>
            <w:r>
              <w:rPr>
                <w:rFonts w:hint="eastAsia"/>
              </w:rPr>
              <w:t xml:space="preserve">提供进出水指标和边界条件</w:t>
            </w:r>
          </w:p>
        </w:tc>
        <w:tc>
          <w:tcPr/>
          <w:p>
            <w:pPr>
              <w:pStyle w:val="Compact"/>
            </w:pPr>
            <w:r>
              <w:rPr>
                <w:rFonts w:hint="eastAsia"/>
              </w:rPr>
              <w:t xml:space="preserve">负责包内工艺、设备和控制设计</w:t>
            </w:r>
          </w:p>
        </w:tc>
        <w:tc>
          <w:tcPr/>
          <w:p>
            <w:pPr>
              <w:pStyle w:val="Compact"/>
            </w:pPr>
            <w:r>
              <w:rPr>
                <w:rFonts w:hint="eastAsia"/>
              </w:rPr>
              <w:t xml:space="preserve">负责</w:t>
            </w:r>
            <w:r>
              <w:t xml:space="preserve"> EPC </w:t>
            </w:r>
            <w:r>
              <w:rPr>
                <w:rFonts w:hint="eastAsia"/>
              </w:rPr>
              <w:t xml:space="preserve">管理和现场实施</w:t>
            </w:r>
          </w:p>
        </w:tc>
      </w:tr>
      <w:tr>
        <w:tc>
          <w:tcPr/>
          <w:p>
            <w:pPr>
              <w:pStyle w:val="Compact"/>
            </w:pPr>
            <w:r>
              <w:t xml:space="preserve">IETS</w:t>
            </w:r>
          </w:p>
        </w:tc>
        <w:tc>
          <w:tcPr/>
          <w:p>
            <w:pPr>
              <w:pStyle w:val="Compact"/>
            </w:pPr>
            <w:r>
              <w:rPr>
                <w:rFonts w:hint="eastAsia"/>
              </w:rPr>
              <w:t xml:space="preserve">提供总体界面和参数要求</w:t>
            </w:r>
          </w:p>
        </w:tc>
        <w:tc>
          <w:tcPr/>
          <w:p>
            <w:pPr>
              <w:pStyle w:val="Compact"/>
            </w:pPr>
            <w:r>
              <w:rPr>
                <w:rFonts w:hint="eastAsia"/>
              </w:rPr>
              <w:t xml:space="preserve">负责包内系统设计和成套供货</w:t>
            </w:r>
          </w:p>
        </w:tc>
        <w:tc>
          <w:tcPr/>
          <w:p>
            <w:pPr>
              <w:pStyle w:val="Compact"/>
            </w:pPr>
            <w:r>
              <w:rPr>
                <w:rFonts w:hint="eastAsia"/>
              </w:rPr>
              <w:t xml:space="preserve">负责全过程组织和界面管理</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 System</w:t>
            </w:r>
          </w:p>
        </w:tc>
        <w:tc>
          <w:tcPr/>
          <w:p>
            <w:pPr>
              <w:pStyle w:val="Compact"/>
            </w:pPr>
            <w:r>
              <w:t xml:space="preserve">Responsibility of Design Party</w:t>
            </w:r>
          </w:p>
        </w:tc>
        <w:tc>
          <w:tcPr/>
          <w:p>
            <w:pPr>
              <w:pStyle w:val="Compact"/>
            </w:pPr>
            <w:r>
              <w:t xml:space="preserve">Responsibility of Package Vendor</w:t>
            </w:r>
          </w:p>
        </w:tc>
        <w:tc>
          <w:tcPr/>
          <w:p>
            <w:pPr>
              <w:pStyle w:val="Compact"/>
            </w:pPr>
            <w:r>
              <w:t xml:space="preserve">Responsibility of NCC</w:t>
            </w:r>
          </w:p>
        </w:tc>
      </w:tr>
      <w:tr>
        <w:tc>
          <w:tcPr/>
          <w:p>
            <w:pPr>
              <w:pStyle w:val="Compact"/>
            </w:pPr>
            <w:r>
              <w:t xml:space="preserve">Boiler system</w:t>
            </w:r>
          </w:p>
        </w:tc>
        <w:tc>
          <w:tcPr/>
          <w:p>
            <w:pPr>
              <w:pStyle w:val="Compact"/>
            </w:pPr>
            <w:r>
              <w:t xml:space="preserve">Provide interface conditions, steam parameters and tie-in requirements</w:t>
            </w:r>
          </w:p>
        </w:tc>
        <w:tc>
          <w:tcPr/>
          <w:p>
            <w:pPr>
              <w:pStyle w:val="Compact"/>
            </w:pPr>
            <w:r>
              <w:t xml:space="preserve">Perform package-internal design and package supply</w:t>
            </w:r>
          </w:p>
        </w:tc>
        <w:tc>
          <w:tcPr/>
          <w:p>
            <w:pPr>
              <w:pStyle w:val="Compact"/>
            </w:pPr>
            <w:r>
              <w:t xml:space="preserve">Provide EPC management, expediting, installation and interface close-out</w:t>
            </w:r>
          </w:p>
        </w:tc>
      </w:tr>
      <w:tr>
        <w:tc>
          <w:tcPr/>
          <w:p>
            <w:pPr>
              <w:pStyle w:val="Compact"/>
            </w:pPr>
            <w:r>
              <w:t xml:space="preserve">Gas system</w:t>
            </w:r>
          </w:p>
        </w:tc>
        <w:tc>
          <w:tcPr/>
          <w:p>
            <w:pPr>
              <w:pStyle w:val="Compact"/>
            </w:pPr>
            <w:r>
              <w:t xml:space="preserve">Provide boundary conditions and process parameters</w:t>
            </w:r>
          </w:p>
        </w:tc>
        <w:tc>
          <w:tcPr/>
          <w:p>
            <w:pPr>
              <w:pStyle w:val="Compact"/>
            </w:pPr>
            <w:r>
              <w:t xml:space="preserve">Perform package-internal design and equipment package supply</w:t>
            </w:r>
          </w:p>
        </w:tc>
        <w:tc>
          <w:tcPr/>
          <w:p>
            <w:pPr>
              <w:pStyle w:val="Compact"/>
            </w:pPr>
            <w:r>
              <w:t xml:space="preserve">Organize procurement, shipment, site installation and coordination</w:t>
            </w:r>
          </w:p>
        </w:tc>
      </w:tr>
      <w:tr>
        <w:tc>
          <w:tcPr/>
          <w:p>
            <w:pPr>
              <w:pStyle w:val="Compact"/>
            </w:pPr>
            <w:r>
              <w:t xml:space="preserve">Air compressor station</w:t>
            </w:r>
          </w:p>
        </w:tc>
        <w:tc>
          <w:tcPr/>
          <w:p>
            <w:pPr>
              <w:pStyle w:val="Compact"/>
            </w:pPr>
            <w:r>
              <w:t xml:space="preserve">Provide interfaces and utility parameters</w:t>
            </w:r>
          </w:p>
        </w:tc>
        <w:tc>
          <w:tcPr/>
          <w:p>
            <w:pPr>
              <w:pStyle w:val="Compact"/>
            </w:pPr>
            <w:r>
              <w:t xml:space="preserve">Perform package-internal design and equipment supply</w:t>
            </w:r>
          </w:p>
        </w:tc>
        <w:tc>
          <w:tcPr/>
          <w:p>
            <w:pPr>
              <w:pStyle w:val="Compact"/>
            </w:pPr>
            <w:r>
              <w:t xml:space="preserve">Coordinate manufacturing, installation and system delivery</w:t>
            </w:r>
          </w:p>
        </w:tc>
      </w:tr>
      <w:tr>
        <w:tc>
          <w:tcPr/>
          <w:p>
            <w:pPr>
              <w:pStyle w:val="Compact"/>
            </w:pPr>
            <w:r>
              <w:t xml:space="preserve">Water treatment system</w:t>
            </w:r>
          </w:p>
        </w:tc>
        <w:tc>
          <w:tcPr/>
          <w:p>
            <w:pPr>
              <w:pStyle w:val="Compact"/>
            </w:pPr>
            <w:r>
              <w:t xml:space="preserve">Provide inlet/outlet water quality targets and boundary conditions</w:t>
            </w:r>
          </w:p>
        </w:tc>
        <w:tc>
          <w:tcPr/>
          <w:p>
            <w:pPr>
              <w:pStyle w:val="Compact"/>
            </w:pPr>
            <w:r>
              <w:t xml:space="preserve">Perform package-internal process, equipment and control design</w:t>
            </w:r>
          </w:p>
        </w:tc>
        <w:tc>
          <w:tcPr/>
          <w:p>
            <w:pPr>
              <w:pStyle w:val="Compact"/>
            </w:pPr>
            <w:r>
              <w:t xml:space="preserve">Provide EPC management and site execution</w:t>
            </w:r>
          </w:p>
        </w:tc>
      </w:tr>
      <w:tr>
        <w:tc>
          <w:tcPr/>
          <w:p>
            <w:pPr>
              <w:pStyle w:val="Compact"/>
            </w:pPr>
            <w:r>
              <w:t xml:space="preserve">IETS</w:t>
            </w:r>
          </w:p>
        </w:tc>
        <w:tc>
          <w:tcPr/>
          <w:p>
            <w:pPr>
              <w:pStyle w:val="Compact"/>
            </w:pPr>
            <w:r>
              <w:t xml:space="preserve">Provide overall interfaces and parameter requirements</w:t>
            </w:r>
          </w:p>
        </w:tc>
        <w:tc>
          <w:tcPr/>
          <w:p>
            <w:pPr>
              <w:pStyle w:val="Compact"/>
            </w:pPr>
            <w:r>
              <w:t xml:space="preserve">Perform package-internal system design and package supply</w:t>
            </w:r>
          </w:p>
        </w:tc>
        <w:tc>
          <w:tcPr/>
          <w:p>
            <w:pPr>
              <w:pStyle w:val="Compact"/>
            </w:pPr>
            <w:r>
              <w:t xml:space="preserve">Provide end-to-end organization and interface management</w:t>
            </w:r>
          </w:p>
        </w:tc>
      </w:tr>
    </w:tbl>
    <w:bookmarkEnd w:id="22"/>
    <w:bookmarkStart w:id="23" w:name="ncc-本地采购范围-ncc-local-procurement-scope"/>
    <w:p>
      <w:pPr>
        <w:pStyle w:val="Heading3"/>
      </w:pPr>
      <w:r>
        <w:t xml:space="preserve">8. NCC </w:t>
      </w:r>
      <w:r>
        <w:rPr>
          <w:rFonts w:hint="eastAsia"/>
        </w:rPr>
        <w:t xml:space="preserve">本地采购范围</w:t>
      </w:r>
      <w:r>
        <w:t xml:space="preserve"> / NCC Local Procurement Scope</w:t>
      </w:r>
    </w:p>
    <w:p>
      <w:pPr>
        <w:pStyle w:val="FirstParagraph"/>
      </w:pPr>
      <w:r>
        <w:t xml:space="preserve">NCC </w:t>
      </w:r>
      <w:r>
        <w:rPr>
          <w:rFonts w:hint="eastAsia"/>
        </w:rPr>
        <w:t xml:space="preserve">本地采购范围建议单独列项，不并入跨境采购。重点包括高低压电缆、仪表电缆、控制电缆、防火涂料、弱电监控、脚手和施工机具、部分本地配套五金材料以及需要结合现场条件快速响应的属地适配物资。过往项目采购合同和执行资料表明，国内采购、国内预制采购和属地采购是并行存在的，本地采购并不是补充项，而是现场执行链的一部分。对这类物资，更适合按现场安装窗口和本地响应速度滚动释放，而不是完全按跨境批量采购逻辑组织。</w:t>
      </w:r>
    </w:p>
    <w:p>
      <w:pPr>
        <w:pStyle w:val="BodyText"/>
      </w:pPr>
      <w:r>
        <w:t xml:space="preserve">NCC local procurement should be listed separately rather than merged into cross-border procurement. It should mainly include MV/LV cables, instrument cables, control cables, fireproofing materials, low-current monitoring systems, scaffolding and construction tools, selected local supporting hardware materials, and other localization-sensitive materials requiring fast response to site conditions. Procurement contracts and execution records from previous projects show that domestic procurement, domestic prefabrication procurement and local procurement coexist in parallel. Local procurement is not merely a supplementary item, but an integral part of the site execution chain. These materials are better released on a rolling basis according to site installation windows and local response requirements, rather than being managed entirely through the logic of bulk cross-border purchasing.</w:t>
      </w:r>
    </w:p>
    <w:bookmarkEnd w:id="23"/>
    <w:bookmarkStart w:id="24" w:name="Xaee1516ee4cf42da10e826b87ae8712d8c6b0da"/>
    <w:p>
      <w:pPr>
        <w:pStyle w:val="Heading3"/>
      </w:pPr>
      <w:r>
        <w:t xml:space="preserve">9. </w:t>
      </w:r>
      <w:r>
        <w:rPr>
          <w:rFonts w:hint="eastAsia"/>
        </w:rPr>
        <w:t xml:space="preserve">预制材料采购模式</w:t>
      </w:r>
      <w:r>
        <w:t xml:space="preserve"> / Procurement Model for Prefabrication Materials</w:t>
      </w:r>
    </w:p>
    <w:p>
      <w:pPr>
        <w:pStyle w:val="FirstParagraph"/>
      </w:pPr>
      <w:r>
        <w:rPr>
          <w:rFonts w:hint="eastAsia"/>
        </w:rPr>
        <w:t xml:space="preserve">凡需要在中国完成预制、防腐、成段加工后再发运的材料，建议采用</w:t>
      </w:r>
      <w:r>
        <w:t xml:space="preserve"> NCC </w:t>
      </w:r>
      <w:r>
        <w:rPr>
          <w:rFonts w:hint="eastAsia"/>
        </w:rPr>
        <w:t xml:space="preserve">主导采购模式。重点包括管道预制材料、储罐预制材料及其相关主材。过往项目中，这类物资若由业主先行采购并直接交到海外，后续仍需回到国内完成预制和防腐。因此，凡与预制深度直接相关的物资，建议从一开始就按“采购、预制、发运、安装一体化”原则组织。</w:t>
      </w:r>
    </w:p>
    <w:p>
      <w:pPr>
        <w:pStyle w:val="BodyText"/>
      </w:pPr>
      <w:r>
        <w:t xml:space="preserve">For any materials that need to be prefabricated, coated and fabricated into spools or segments in China before shipment, an NCC-led procurement model is recommended. This mainly includes piping prefabrication materials, tank prefabrication materials and their related bulk materials. Previous projects show that if such materials are procured by the owner and shipped directly overseas, they often still need to be brought back into a domestic prefabrication workflow for fabrication and coating. Therefore, for any materials directly tied to the depth of prefabrication, it is recommended to organize them from the outset under the principle of integrated procurement, prefabrication, shipment and installation.</w:t>
      </w:r>
    </w:p>
    <w:bookmarkEnd w:id="24"/>
    <w:bookmarkStart w:id="25" w:name="Xa12b48e03784fcc70aeac53d5e6ab1a69528a42"/>
    <w:p>
      <w:pPr>
        <w:pStyle w:val="Heading3"/>
      </w:pPr>
      <w:r>
        <w:t xml:space="preserve">10. </w:t>
      </w:r>
      <w:r>
        <w:rPr>
          <w:rFonts w:hint="eastAsia"/>
        </w:rPr>
        <w:t xml:space="preserve">采购周期建议</w:t>
      </w:r>
      <w:r>
        <w:t xml:space="preserve"> / Recommended Procurement Lead Times</w:t>
      </w:r>
    </w:p>
    <w:p>
      <w:pPr>
        <w:pStyle w:val="FirstParagraph"/>
      </w:pPr>
      <w:r>
        <w:rPr>
          <w:rFonts w:hint="eastAsia"/>
        </w:rPr>
        <w:t xml:space="preserve">采购策划建议按三类周期分别管理：</w:t>
      </w:r>
    </w:p>
    <w:p>
      <w:pPr>
        <w:pStyle w:val="BodyText"/>
      </w:pPr>
      <w:r>
        <w:t xml:space="preserve">Procurement planning is recommended to be managed under four lead-time categories:</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采购类别</w:t>
            </w:r>
          </w:p>
        </w:tc>
        <w:tc>
          <w:tcPr/>
          <w:p>
            <w:pPr>
              <w:pStyle w:val="Compact"/>
            </w:pPr>
            <w:r>
              <w:rPr>
                <w:rFonts w:hint="eastAsia"/>
              </w:rPr>
              <w:t xml:space="preserve">建议周期</w:t>
            </w:r>
          </w:p>
        </w:tc>
        <w:tc>
          <w:tcPr/>
          <w:p>
            <w:pPr>
              <w:pStyle w:val="Compact"/>
            </w:pPr>
            <w:r>
              <w:rPr>
                <w:rFonts w:hint="eastAsia"/>
              </w:rPr>
              <w:t xml:space="preserve">说明</w:t>
            </w:r>
          </w:p>
        </w:tc>
      </w:tr>
      <w:tr>
        <w:tc>
          <w:tcPr/>
          <w:p>
            <w:pPr>
              <w:pStyle w:val="Compact"/>
            </w:pPr>
            <w:r>
              <w:t xml:space="preserve">Technip </w:t>
            </w:r>
            <w:r>
              <w:rPr>
                <w:rFonts w:hint="eastAsia"/>
              </w:rPr>
              <w:t xml:space="preserve">关键设备采购</w:t>
            </w:r>
          </w:p>
        </w:tc>
        <w:tc>
          <w:tcPr/>
          <w:p>
            <w:pPr>
              <w:pStyle w:val="Compact"/>
            </w:pPr>
            <w:r>
              <w:rPr>
                <w:rFonts w:hint="eastAsia"/>
              </w:rPr>
              <w:t xml:space="preserve">约</w:t>
            </w:r>
            <w:r>
              <w:t xml:space="preserve"> 65 </w:t>
            </w:r>
            <w:r>
              <w:rPr>
                <w:rFonts w:hint="eastAsia"/>
              </w:rPr>
              <w:t xml:space="preserve">天起步</w:t>
            </w:r>
          </w:p>
        </w:tc>
        <w:tc>
          <w:tcPr/>
          <w:p>
            <w:pPr>
              <w:pStyle w:val="Compact"/>
            </w:pPr>
            <w:r>
              <w:rPr>
                <w:rFonts w:hint="eastAsia"/>
              </w:rPr>
              <w:t xml:space="preserve">可按“签约后约</w:t>
            </w:r>
            <w:r>
              <w:t xml:space="preserve"> 50 </w:t>
            </w:r>
            <w:r>
              <w:rPr>
                <w:rFonts w:hint="eastAsia"/>
              </w:rPr>
              <w:t xml:space="preserve">天到货准备</w:t>
            </w:r>
            <w:r>
              <w:t xml:space="preserve"> + </w:t>
            </w:r>
            <w:r>
              <w:rPr>
                <w:rFonts w:hint="eastAsia"/>
              </w:rPr>
              <w:t xml:space="preserve">约</w:t>
            </w:r>
            <w:r>
              <w:t xml:space="preserve"> 15 </w:t>
            </w:r>
            <w:r>
              <w:rPr>
                <w:rFonts w:hint="eastAsia"/>
              </w:rPr>
              <w:t xml:space="preserve">天典型物流落地”倒排；跨洲进口设备和关键阀门应单独增加冗余</w:t>
            </w:r>
          </w:p>
        </w:tc>
      </w:tr>
      <w:tr>
        <w:tc>
          <w:tcPr/>
          <w:p>
            <w:pPr>
              <w:pStyle w:val="Compact"/>
            </w:pPr>
            <w:r>
              <w:t xml:space="preserve">NCC </w:t>
            </w:r>
            <w:r>
              <w:rPr>
                <w:rFonts w:hint="eastAsia"/>
              </w:rPr>
              <w:t xml:space="preserve">成套包采购与</w:t>
            </w:r>
            <w:r>
              <w:t xml:space="preserve"> EPC </w:t>
            </w:r>
            <w:r>
              <w:rPr>
                <w:rFonts w:hint="eastAsia"/>
              </w:rPr>
              <w:t xml:space="preserve">管理</w:t>
            </w:r>
          </w:p>
        </w:tc>
        <w:tc>
          <w:tcPr/>
          <w:p>
            <w:pPr>
              <w:pStyle w:val="Compact"/>
            </w:pPr>
            <w:r>
              <w:rPr>
                <w:rFonts w:hint="eastAsia"/>
              </w:rPr>
              <w:t xml:space="preserve">约</w:t>
            </w:r>
            <w:r>
              <w:t xml:space="preserve"> 3 </w:t>
            </w:r>
            <w:r>
              <w:rPr>
                <w:rFonts w:hint="eastAsia"/>
              </w:rPr>
              <w:t xml:space="preserve">至</w:t>
            </w:r>
            <w:r>
              <w:t xml:space="preserve"> 4 </w:t>
            </w:r>
            <w:r>
              <w:rPr>
                <w:rFonts w:hint="eastAsia"/>
              </w:rPr>
              <w:t xml:space="preserve">个月起步</w:t>
            </w:r>
          </w:p>
        </w:tc>
        <w:tc>
          <w:tcPr/>
          <w:p>
            <w:pPr>
              <w:pStyle w:val="Compact"/>
            </w:pPr>
            <w:r>
              <w:rPr>
                <w:rFonts w:hint="eastAsia"/>
              </w:rPr>
              <w:t xml:space="preserve">应包含厂家技术澄清、包内设计、制造、发运和现场接口协调；宜较普通跨境采购更早启动</w:t>
            </w:r>
          </w:p>
        </w:tc>
      </w:tr>
      <w:tr>
        <w:tc>
          <w:tcPr/>
          <w:p>
            <w:pPr>
              <w:pStyle w:val="Compact"/>
            </w:pPr>
            <w:r>
              <w:t xml:space="preserve">NCC </w:t>
            </w:r>
            <w:r>
              <w:rPr>
                <w:rFonts w:hint="eastAsia"/>
              </w:rPr>
              <w:t xml:space="preserve">跨境采购</w:t>
            </w:r>
          </w:p>
        </w:tc>
        <w:tc>
          <w:tcPr/>
          <w:p>
            <w:pPr>
              <w:pStyle w:val="Compact"/>
            </w:pPr>
            <w:r>
              <w:rPr>
                <w:rFonts w:hint="eastAsia"/>
              </w:rPr>
              <w:t xml:space="preserve">约</w:t>
            </w:r>
            <w:r>
              <w:t xml:space="preserve"> 45 </w:t>
            </w:r>
            <w:r>
              <w:rPr>
                <w:rFonts w:hint="eastAsia"/>
              </w:rPr>
              <w:t xml:space="preserve">至</w:t>
            </w:r>
            <w:r>
              <w:t xml:space="preserve"> 60 </w:t>
            </w:r>
            <w:r>
              <w:rPr>
                <w:rFonts w:hint="eastAsia"/>
              </w:rPr>
              <w:t xml:space="preserve">天</w:t>
            </w:r>
          </w:p>
        </w:tc>
        <w:tc>
          <w:tcPr/>
          <w:p>
            <w:pPr>
              <w:pStyle w:val="Compact"/>
            </w:pPr>
            <w:r>
              <w:rPr>
                <w:rFonts w:hint="eastAsia"/>
              </w:rPr>
              <w:t xml:space="preserve">其中应包含下单、制造准备、打包、发运和到场窗口；预制关联材料宜再前置</w:t>
            </w:r>
          </w:p>
        </w:tc>
      </w:tr>
      <w:tr>
        <w:tc>
          <w:tcPr/>
          <w:p>
            <w:pPr>
              <w:pStyle w:val="Compact"/>
            </w:pPr>
            <w:r>
              <w:t xml:space="preserve">NCC </w:t>
            </w:r>
            <w:r>
              <w:rPr>
                <w:rFonts w:hint="eastAsia"/>
              </w:rPr>
              <w:t xml:space="preserve">本地采购</w:t>
            </w:r>
          </w:p>
        </w:tc>
        <w:tc>
          <w:tcPr/>
          <w:p>
            <w:pPr>
              <w:pStyle w:val="Compact"/>
            </w:pPr>
            <w:r>
              <w:rPr>
                <w:rFonts w:hint="eastAsia"/>
              </w:rPr>
              <w:t xml:space="preserve">约</w:t>
            </w:r>
            <w:r>
              <w:t xml:space="preserve"> 20 </w:t>
            </w:r>
            <w:r>
              <w:rPr>
                <w:rFonts w:hint="eastAsia"/>
              </w:rPr>
              <w:t xml:space="preserve">至</w:t>
            </w:r>
            <w:r>
              <w:t xml:space="preserve"> 30 </w:t>
            </w:r>
            <w:r>
              <w:rPr>
                <w:rFonts w:hint="eastAsia"/>
              </w:rPr>
              <w:t xml:space="preserve">天</w:t>
            </w:r>
          </w:p>
        </w:tc>
        <w:tc>
          <w:tcPr/>
          <w:p>
            <w:pPr>
              <w:pStyle w:val="Compact"/>
            </w:pPr>
            <w:r>
              <w:rPr>
                <w:rFonts w:hint="eastAsia"/>
              </w:rPr>
              <w:t xml:space="preserve">按合同签订到到货管理，不单独叠加跨境物流；对脚手机具、电缆等滚动物资可更短周期分批组织</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Procurement Category</w:t>
            </w:r>
          </w:p>
        </w:tc>
        <w:tc>
          <w:tcPr/>
          <w:p>
            <w:pPr>
              <w:pStyle w:val="Compact"/>
            </w:pPr>
            <w:r>
              <w:t xml:space="preserve">Recommended Lead Time</w:t>
            </w:r>
          </w:p>
        </w:tc>
        <w:tc>
          <w:tcPr/>
          <w:p>
            <w:pPr>
              <w:pStyle w:val="Compact"/>
            </w:pPr>
            <w:r>
              <w:t xml:space="preserve">Remarks</w:t>
            </w:r>
          </w:p>
        </w:tc>
      </w:tr>
      <w:tr>
        <w:tc>
          <w:tcPr/>
          <w:p>
            <w:pPr>
              <w:pStyle w:val="Compact"/>
            </w:pPr>
            <w:r>
              <w:t xml:space="preserve">Technip key equipment procurement</w:t>
            </w:r>
          </w:p>
        </w:tc>
        <w:tc>
          <w:tcPr/>
          <w:p>
            <w:pPr>
              <w:pStyle w:val="Compact"/>
            </w:pPr>
            <w:r>
              <w:t xml:space="preserve">Starting from approximately 65 days</w:t>
            </w:r>
          </w:p>
        </w:tc>
        <w:tc>
          <w:tcPr/>
          <w:p>
            <w:pPr>
              <w:pStyle w:val="Compact"/>
            </w:pPr>
            <w:r>
              <w:t xml:space="preserve">Can be back-calculated as approximately 50 days for supply readiness after PO plus approximately 15 days for typical logistics landing; additional float should be added for intercontinental imports and critical valves</w:t>
            </w:r>
          </w:p>
        </w:tc>
      </w:tr>
      <w:tr>
        <w:tc>
          <w:tcPr/>
          <w:p>
            <w:pPr>
              <w:pStyle w:val="Compact"/>
            </w:pPr>
            <w:r>
              <w:t xml:space="preserve">NCC package procurement with EPC management</w:t>
            </w:r>
          </w:p>
        </w:tc>
        <w:tc>
          <w:tcPr/>
          <w:p>
            <w:pPr>
              <w:pStyle w:val="Compact"/>
            </w:pPr>
            <w:r>
              <w:t xml:space="preserve">Starting from approximately 3 to 4 months</w:t>
            </w:r>
          </w:p>
        </w:tc>
        <w:tc>
          <w:tcPr/>
          <w:p>
            <w:pPr>
              <w:pStyle w:val="Compact"/>
            </w:pPr>
            <w:r>
              <w:t xml:space="preserve">Should cover technical clarification, package-internal design, manufacturing, shipment and site interface coordination; should start earlier than ordinary cross-border procurement</w:t>
            </w:r>
          </w:p>
        </w:tc>
      </w:tr>
      <w:tr>
        <w:tc>
          <w:tcPr/>
          <w:p>
            <w:pPr>
              <w:pStyle w:val="Compact"/>
            </w:pPr>
            <w:r>
              <w:t xml:space="preserve">NCC cross-border procurement</w:t>
            </w:r>
          </w:p>
        </w:tc>
        <w:tc>
          <w:tcPr/>
          <w:p>
            <w:pPr>
              <w:pStyle w:val="Compact"/>
            </w:pPr>
            <w:r>
              <w:t xml:space="preserve">Approximately 45 to 60 days</w:t>
            </w:r>
          </w:p>
        </w:tc>
        <w:tc>
          <w:tcPr/>
          <w:p>
            <w:pPr>
              <w:pStyle w:val="Compact"/>
            </w:pPr>
            <w:r>
              <w:t xml:space="preserve">Should cover ordering, manufacturing readiness, packing, shipment and site delivery window; prefabrication-related materials should start even earlier</w:t>
            </w:r>
          </w:p>
        </w:tc>
      </w:tr>
      <w:tr>
        <w:tc>
          <w:tcPr/>
          <w:p>
            <w:pPr>
              <w:pStyle w:val="Compact"/>
            </w:pPr>
            <w:r>
              <w:t xml:space="preserve">NCC local procurement</w:t>
            </w:r>
          </w:p>
        </w:tc>
        <w:tc>
          <w:tcPr/>
          <w:p>
            <w:pPr>
              <w:pStyle w:val="Compact"/>
            </w:pPr>
            <w:r>
              <w:t xml:space="preserve">Approximately 20 to 30 days</w:t>
            </w:r>
          </w:p>
        </w:tc>
        <w:tc>
          <w:tcPr/>
          <w:p>
            <w:pPr>
              <w:pStyle w:val="Compact"/>
            </w:pPr>
            <w:r>
              <w:t xml:space="preserve">Managed from contract placement to delivery without adding cross-border logistics duration; rolling items such as scaffolding tools and cables may be organized in shorter batches</w:t>
            </w:r>
          </w:p>
        </w:tc>
      </w:tr>
    </w:tbl>
    <w:bookmarkEnd w:id="25"/>
    <w:bookmarkStart w:id="26" w:name="采购章节结论-conclusion-of-procurement-section"/>
    <w:p>
      <w:pPr>
        <w:pStyle w:val="Heading3"/>
      </w:pPr>
      <w:r>
        <w:t xml:space="preserve">11. </w:t>
      </w:r>
      <w:r>
        <w:rPr>
          <w:rFonts w:hint="eastAsia"/>
        </w:rPr>
        <w:t xml:space="preserve">采购章节结论</w:t>
      </w:r>
      <w:r>
        <w:t xml:space="preserve"> / Conclusion of Procurement Section</w:t>
      </w:r>
    </w:p>
    <w:p>
      <w:pPr>
        <w:pStyle w:val="FirstParagraph"/>
      </w:pPr>
      <w:r>
        <w:rPr>
          <w:rFonts w:hint="eastAsia"/>
        </w:rPr>
        <w:t xml:space="preserve">采购分工建议形成四条链，即</w:t>
      </w:r>
      <w:r>
        <w:t xml:space="preserve"> Technip </w:t>
      </w:r>
      <w:r>
        <w:rPr>
          <w:rFonts w:hint="eastAsia"/>
        </w:rPr>
        <w:t xml:space="preserve">关键设备采购链、NCC</w:t>
      </w:r>
      <w:r>
        <w:t xml:space="preserve"> </w:t>
      </w:r>
      <w:r>
        <w:rPr>
          <w:rFonts w:hint="eastAsia"/>
        </w:rPr>
        <w:t xml:space="preserve">成套包</w:t>
      </w:r>
      <w:r>
        <w:t xml:space="preserve"> EPC </w:t>
      </w:r>
      <w:r>
        <w:rPr>
          <w:rFonts w:hint="eastAsia"/>
        </w:rPr>
        <w:t xml:space="preserve">管理链、NCC</w:t>
      </w:r>
      <w:r>
        <w:t xml:space="preserve"> </w:t>
      </w:r>
      <w:r>
        <w:rPr>
          <w:rFonts w:hint="eastAsia"/>
        </w:rPr>
        <w:t xml:space="preserve">跨境采购链和</w:t>
      </w:r>
      <w:r>
        <w:t xml:space="preserve"> NCC </w:t>
      </w:r>
      <w:r>
        <w:rPr>
          <w:rFonts w:hint="eastAsia"/>
        </w:rPr>
        <w:t xml:space="preserve">本地采购链。关键设备和关键系统由</w:t>
      </w:r>
      <w:r>
        <w:t xml:space="preserve"> Technip </w:t>
      </w:r>
      <w:r>
        <w:rPr>
          <w:rFonts w:hint="eastAsia"/>
        </w:rPr>
        <w:t xml:space="preserve">控制，锅炉、燃气、空压站、水处理、IETS</w:t>
      </w:r>
      <w:r>
        <w:t xml:space="preserve"> </w:t>
      </w:r>
      <w:r>
        <w:rPr>
          <w:rFonts w:hint="eastAsia"/>
        </w:rPr>
        <w:t xml:space="preserve">等成套公用工程建议由</w:t>
      </w:r>
      <w:r>
        <w:t xml:space="preserve"> NCC </w:t>
      </w:r>
      <w:r>
        <w:rPr>
          <w:rFonts w:hint="eastAsia"/>
        </w:rPr>
        <w:t xml:space="preserve">统一做</w:t>
      </w:r>
      <w:r>
        <w:t xml:space="preserve"> EPC </w:t>
      </w:r>
      <w:r>
        <w:rPr>
          <w:rFonts w:hint="eastAsia"/>
        </w:rPr>
        <w:t xml:space="preserve">管理，预制关联材料和大宗主材由</w:t>
      </w:r>
      <w:r>
        <w:t xml:space="preserve"> NCC </w:t>
      </w:r>
      <w:r>
        <w:rPr>
          <w:rFonts w:hint="eastAsia"/>
        </w:rPr>
        <w:t xml:space="preserve">跨境组织，本地适配物资由</w:t>
      </w:r>
      <w:r>
        <w:t xml:space="preserve"> NCC </w:t>
      </w:r>
      <w:r>
        <w:rPr>
          <w:rFonts w:hint="eastAsia"/>
        </w:rPr>
        <w:t xml:space="preserve">属地滚动采购。采购标准宜优先采用</w:t>
      </w:r>
      <w:r>
        <w:t xml:space="preserve"> </w:t>
      </w:r>
      <w:r>
        <w:rPr>
          <w:rStyle w:val="VerbatimChar"/>
        </w:rPr>
        <w:t xml:space="preserve">ASME + </w:t>
      </w:r>
      <w:r>
        <w:rPr>
          <w:rStyle w:val="VerbatimChar"/>
          <w:rFonts w:hint="eastAsia"/>
        </w:rPr>
        <w:t xml:space="preserve">中国标准</w:t>
      </w:r>
      <w:r>
        <w:t xml:space="preserve"> </w:t>
      </w:r>
      <w:r>
        <w:rPr>
          <w:rFonts w:hint="eastAsia"/>
        </w:rPr>
        <w:t xml:space="preserve">的组合，以更充分利用中国供应链、制造和预制优势。</w:t>
      </w:r>
    </w:p>
    <w:p>
      <w:pPr>
        <w:pStyle w:val="BodyText"/>
      </w:pPr>
      <w:r>
        <w:t xml:space="preserve">The procurement arrangement is recommended to form four chains: a Technip key equipment procurement chain, an NCC package EPC management chain, an NCC cross-border procurement chain and an NCC local procurement chain. Key equipment and key systems should remain under Technip’s control. Utility package systems such as boilers, gas systems, air compressor stations, water treatment and IETS are recommended to be managed by NCC under EPC mode. Prefabrication-related materials and bulk main materials should be organized by NCC on a cross-border basis, while local adaptation materials should be procured by NCC locally on a rolling basis. Procurement standards are recommended to follow the combined basis of</w:t>
      </w:r>
      <w:r>
        <w:t xml:space="preserve"> </w:t>
      </w:r>
      <w:r>
        <w:rPr>
          <w:rStyle w:val="VerbatimChar"/>
        </w:rPr>
        <w:t xml:space="preserve">ASME + Chinese standards</w:t>
      </w:r>
      <w:r>
        <w:t xml:space="preserve"> </w:t>
      </w:r>
      <w:r>
        <w:t xml:space="preserve">so as to better leverage the advantages of the Chinese supply chain, manufacturing and prefabrication.</w:t>
      </w:r>
    </w:p>
    <w:bookmarkEnd w:id="26"/>
    <w:bookmarkEnd w:id="27"/>
    <w:bookmarkStart w:id="35" w:name="三物流策划-iii.-logistics-planning"/>
    <w:p>
      <w:pPr>
        <w:pStyle w:val="Heading2"/>
      </w:pPr>
      <w:r>
        <w:rPr>
          <w:rFonts w:hint="eastAsia"/>
        </w:rPr>
        <w:t xml:space="preserve">三、物流策划</w:t>
      </w:r>
      <w:r>
        <w:t xml:space="preserve"> / III. Logistics Planning</w:t>
      </w:r>
    </w:p>
    <w:bookmarkStart w:id="28" w:name="物流策划整体情况-overall-logistics-arrangement"/>
    <w:p>
      <w:pPr>
        <w:pStyle w:val="Heading3"/>
      </w:pPr>
      <w:r>
        <w:t xml:space="preserve">1. </w:t>
      </w:r>
      <w:r>
        <w:rPr>
          <w:rFonts w:hint="eastAsia"/>
        </w:rPr>
        <w:t xml:space="preserve">物流策划整体情况</w:t>
      </w:r>
      <w:r>
        <w:t xml:space="preserve"> / Overall Logistics Arrangement</w:t>
      </w:r>
    </w:p>
    <w:p>
      <w:pPr>
        <w:pStyle w:val="FirstParagraph"/>
      </w:pPr>
      <w:r>
        <w:rPr>
          <w:rFonts w:hint="eastAsia"/>
        </w:rPr>
        <w:t xml:space="preserve">物流策划不应只理解为海运安排，而应覆盖工厂发货计划、打包数据、包装标准、运输方式、港口组织、认证清关和现场到货顺序。过往项目表明，真正影响施工节奏的，往往不是海上运输本身，而是前端准备是否及时、运输方式是否匹配、包装是否满足海运要求，以及到场顺序是否与施工顺序一致。物流管理建议统一由乙方统筹组织，包括统一发运计划、统一报关资料准备、统一清关协调和统一到场顺序控制，以便把采购、发运、到港和到场顺序放在一套节奏里管理。</w:t>
      </w:r>
    </w:p>
    <w:p>
      <w:pPr>
        <w:pStyle w:val="BodyText"/>
      </w:pPr>
      <w:r>
        <w:t xml:space="preserve">Logistics planning should not be understood merely as marine transportation arrangement. It should cover factory dispatch planning, packing data, packing standards, transport mode, port handling, certification and customs clearance, and site delivery sequence. Previous project experience shows that what actually affects construction rhythm is often not the sea voyage itself, but whether upstream preparation is timely, whether the selected transport mode is suitable, whether packing meets marine transport requirements, and whether the arrival sequence matches the construction sequence. It is recommended that logistics management be coordinated in a unified manner by the contractor side, including unified shipment planning, unified customs documentation preparation, unified customs clearance coordination and unified control of site arrival sequence, so that procurement, shipment, port arrival and site delivery can all be managed within one schedule logic.</w:t>
      </w:r>
    </w:p>
    <w:bookmarkEnd w:id="28"/>
    <w:bookmarkStart w:id="29" w:name="X1652a4707eeb328f497601748867d6377e5010c"/>
    <w:p>
      <w:pPr>
        <w:pStyle w:val="Heading3"/>
      </w:pPr>
      <w:r>
        <w:t xml:space="preserve">2. </w:t>
      </w:r>
      <w:r>
        <w:rPr>
          <w:rFonts w:hint="eastAsia"/>
        </w:rPr>
        <w:t xml:space="preserve">运输方式与物资类别</w:t>
      </w:r>
      <w:r>
        <w:t xml:space="preserve"> / Transport Modes and Material Categories</w:t>
      </w:r>
    </w:p>
    <w:p>
      <w:pPr>
        <w:pStyle w:val="FirstParagraph"/>
      </w:pPr>
      <w:r>
        <w:rPr>
          <w:rFonts w:hint="eastAsia"/>
        </w:rPr>
        <w:t xml:space="preserve">关键设备和成套包运输方式应优先按散杂船、重件散杂船、甲板驳船和滚装条件策划，不能按普通集装箱货理解。预制罐板及附件、预制管道及支架、成品罐附件和管道附件也应作为散杂运输重点物资管理。电气、仪表、油漆及零星增补物资一般采用集装箱运输，更适合纳入滚动补充和后续配套节奏管理。对炉类、反应器、大件压缩机等，还应同步落实运输限界、装船方式和现场吊装条件。</w:t>
      </w:r>
    </w:p>
    <w:p>
      <w:pPr>
        <w:pStyle w:val="BodyText"/>
      </w:pPr>
      <w:r>
        <w:t xml:space="preserve">Key equipment and package systems should be planned first under breakbulk, heavy-lift breakbulk, deck barge and Ro-Ro conditions, rather than being treated as normal containerized cargo. Prefabricated tank plates and accessories, prefabricated piping and supports, finished tank accessories and piping accessories should also be treated as priority breakbulk cargo. Electrical, instrumentation, paint and small supplementary materials can generally be shipped in containers and are better managed under rolling replenishment and later-stage supporting supply. For fired heaters, reactors and large compressors, transport limits, loading arrangement and site lifting conditions should also be confirmed in parallel.</w:t>
      </w:r>
    </w:p>
    <w:bookmarkEnd w:id="29"/>
    <w:bookmarkStart w:id="30" w:name="物流主要风险-major-logistics-risks"/>
    <w:p>
      <w:pPr>
        <w:pStyle w:val="Heading3"/>
      </w:pPr>
      <w:r>
        <w:t xml:space="preserve">3. </w:t>
      </w:r>
      <w:r>
        <w:rPr>
          <w:rFonts w:hint="eastAsia"/>
        </w:rPr>
        <w:t xml:space="preserve">物流主要风险</w:t>
      </w:r>
      <w:r>
        <w:t xml:space="preserve"> / Major Logistics Risks</w:t>
      </w:r>
    </w:p>
    <w:p>
      <w:pPr>
        <w:pStyle w:val="FirstParagraph"/>
      </w:pPr>
      <w:r>
        <w:rPr>
          <w:rFonts w:hint="eastAsia"/>
        </w:rPr>
        <w:t xml:space="preserve">物流主要风险集中在四个方面。第一，工厂发货计划不准，导致物流计划频繁调整，现场顺序被打乱。第二，打包数据提交滞后或尺寸不准，导致订舱推迟、舱位不匹配，整体到场时间被拉长。第三，包装未按海运要求执行，导致货物在倒运、堆存和海运过程中变形、受潮和受损。第四，成套包合同未明确交货状态，导致大量散件和未预制件到场后仍需现场组装，形成“名义到货但不具备安装条件”的问题。</w:t>
      </w:r>
    </w:p>
    <w:p>
      <w:pPr>
        <w:pStyle w:val="BodyText"/>
      </w:pPr>
      <w:r>
        <w:t xml:space="preserve">The major logistics risks are concentrated in four aspects. First, inaccurate factory dispatch planning may lead to repeated logistics replanning and disorder in site sequence. Second, delayed or inaccurate packing data may delay vessel booking, result in unsuitable cargo space, and extend overall arrival time. Third, if packing is not executed in accordance with marine shipment requirements, cargo may deform, absorb moisture or be damaged during inland transfer, storage and sea transport. Fourth, if package contracts do not clearly define the delivery status, a large number of loose parts and non-prefabricated items may still require field assembly after arrival, resulting in cargo that is nominally delivered but not actually ready for installation.</w:t>
      </w:r>
    </w:p>
    <w:bookmarkEnd w:id="30"/>
    <w:bookmarkStart w:id="31" w:name="Xf66569eccd2d9cd51195e5a2ec90b2267fd31b1"/>
    <w:p>
      <w:pPr>
        <w:pStyle w:val="Heading3"/>
      </w:pPr>
      <w:r>
        <w:t xml:space="preserve">4. </w:t>
      </w:r>
      <w:r>
        <w:rPr>
          <w:rFonts w:hint="eastAsia"/>
        </w:rPr>
        <w:t xml:space="preserve">外部物流风险与认证条件</w:t>
      </w:r>
      <w:r>
        <w:t xml:space="preserve"> / External Logistics Risks and Certification Requirements</w:t>
      </w:r>
    </w:p>
    <w:p>
      <w:pPr>
        <w:pStyle w:val="FirstParagraph"/>
      </w:pPr>
      <w:r>
        <w:rPr>
          <w:rFonts w:hint="eastAsia"/>
        </w:rPr>
        <w:t xml:space="preserve">散杂货、大宗材料和关键设备除常规运输周期外，还应额外考虑港口拥堵、天气、码头切换和等泊风险。过往项目中，长三角塞港曾导致船舶发运延后约</w:t>
      </w:r>
      <w:r>
        <w:t xml:space="preserve"> 1 </w:t>
      </w:r>
      <w:r>
        <w:rPr>
          <w:rFonts w:hint="eastAsia"/>
        </w:rPr>
        <w:t xml:space="preserve">个月，后续又因台风等泊</w:t>
      </w:r>
      <w:r>
        <w:t xml:space="preserve"> 11 </w:t>
      </w:r>
      <w:r>
        <w:rPr>
          <w:rFonts w:hint="eastAsia"/>
        </w:rPr>
        <w:t xml:space="preserve">天，直接影响预制罐板和管道材料到场。对进入马来西亚需强制认证的建材和钢铁产品，应将</w:t>
      </w:r>
      <w:r>
        <w:t xml:space="preserve"> CIDB COA </w:t>
      </w:r>
      <w:r>
        <w:rPr>
          <w:rFonts w:hint="eastAsia"/>
        </w:rPr>
        <w:t xml:space="preserve">等认证准备时间单独纳入计划，建议至少预留</w:t>
      </w:r>
      <w:r>
        <w:t xml:space="preserve"> 2 </w:t>
      </w:r>
      <w:r>
        <w:rPr>
          <w:rFonts w:hint="eastAsia"/>
        </w:rPr>
        <w:t xml:space="preserve">至</w:t>
      </w:r>
      <w:r>
        <w:t xml:space="preserve"> 3 </w:t>
      </w:r>
      <w:r>
        <w:rPr>
          <w:rFonts w:hint="eastAsia"/>
        </w:rPr>
        <w:t xml:space="preserve">个月。对成套包设备，应同步明确交货状态、随包范围和界面分工，避免设备到场后仍大量缺件和散件。对选用品牌和厂家时，还应优先考虑其是否符合马来西亚当地验收标准、是否具备当地售后服务能力以及是否有当地项目供货经验。</w:t>
      </w:r>
    </w:p>
    <w:p>
      <w:pPr>
        <w:pStyle w:val="BodyText"/>
      </w:pPr>
      <w:r>
        <w:t xml:space="preserve">For breakbulk cargo, bulk materials and key equipment, in addition to normal transport duration, extra allowance should be made for port congestion, weather, terminal changes and berth waiting risk. In previous projects, congestion at ports in the Yangtze River Delta delayed vessel departure by about one month, followed by an additional 11-day berth waiting period due to typhoons, directly affecting the arrival of prefabricated tank plates and piping materials. For building materials and steel products subject to mandatory certification in Malaysia, preparation time for CIDB COA and similar approvals should be included separately in the schedule, with a recommended allowance of at least 2 to 3 months. For package equipment, delivery status, package scope and interface split should be clearly defined at the same time, so as to avoid large quantities of missing parts and loose components after site arrival. When selecting brands and suppliers, priority should also be given to whether they comply with Malaysian local acceptance standards, whether they can provide local after-sales support, and whether they have local project reference experience.</w:t>
      </w:r>
    </w:p>
    <w:bookmarkEnd w:id="31"/>
    <w:bookmarkStart w:id="32" w:name="X2c68dff4566e56c356293149e6a4ef55a1df66e"/>
    <w:p>
      <w:pPr>
        <w:pStyle w:val="Heading3"/>
      </w:pPr>
      <w:r>
        <w:t xml:space="preserve">5. </w:t>
      </w:r>
      <w:r>
        <w:rPr>
          <w:rFonts w:hint="eastAsia"/>
        </w:rPr>
        <w:t xml:space="preserve">材料到货对进度的影响</w:t>
      </w:r>
      <w:r>
        <w:t xml:space="preserve"> / Impact of Material Arrival on Schedule</w:t>
      </w:r>
    </w:p>
    <w:p>
      <w:pPr>
        <w:pStyle w:val="FirstParagraph"/>
      </w:pPr>
      <w:r>
        <w:rPr>
          <w:rFonts w:hint="eastAsia"/>
        </w:rPr>
        <w:t xml:space="preserve">不同专业材料对进度的影响程度不同。电气、仪表、储罐附件及部分管道材料，更多影响后期连续施工、系统完善和移交节奏；地管材料影响最直接。物流资料显示，地管材料</w:t>
      </w:r>
      <w:r>
        <w:t xml:space="preserve"> </w:t>
      </w:r>
      <w:r>
        <w:rPr>
          <w:rStyle w:val="VerbatimChar"/>
        </w:rPr>
        <w:t xml:space="preserve">UG batch 1~8</w:t>
      </w:r>
      <w:r>
        <w:t xml:space="preserve"> </w:t>
      </w:r>
      <w:r>
        <w:rPr>
          <w:rFonts w:hint="eastAsia"/>
        </w:rPr>
        <w:t xml:space="preserve">的到场时间集中在</w:t>
      </w:r>
      <w:r>
        <w:t xml:space="preserve"> </w:t>
      </w:r>
      <w:r>
        <w:rPr>
          <w:rStyle w:val="VerbatimChar"/>
          <w:rFonts w:hint="eastAsia"/>
        </w:rPr>
        <w:t xml:space="preserve">2024年7月30日</w:t>
      </w:r>
      <w:r>
        <w:t xml:space="preserve"> </w:t>
      </w:r>
      <w:r>
        <w:rPr>
          <w:rFonts w:hint="eastAsia"/>
        </w:rPr>
        <w:t xml:space="preserve">至</w:t>
      </w:r>
      <w:r>
        <w:t xml:space="preserve"> </w:t>
      </w:r>
      <w:r>
        <w:rPr>
          <w:rStyle w:val="VerbatimChar"/>
          <w:rFonts w:hint="eastAsia"/>
        </w:rPr>
        <w:t xml:space="preserve">2024年9月14日</w:t>
      </w:r>
      <w:r>
        <w:rPr>
          <w:rFonts w:hint="eastAsia"/>
        </w:rPr>
        <w:t xml:space="preserve">，而多个区域的原计划地管施工窗口明显早于这一时间。以辅助区样本为例，原计划地管安装及试压完成时间为</w:t>
      </w:r>
      <w:r>
        <w:t xml:space="preserve"> </w:t>
      </w:r>
      <w:r>
        <w:rPr>
          <w:rStyle w:val="VerbatimChar"/>
          <w:rFonts w:hint="eastAsia"/>
        </w:rPr>
        <w:t xml:space="preserve">2024年4月25日</w:t>
      </w:r>
      <w:r>
        <w:rPr>
          <w:rFonts w:hint="eastAsia"/>
        </w:rPr>
        <w:t xml:space="preserve">，回填完成时间为</w:t>
      </w:r>
      <w:r>
        <w:t xml:space="preserve"> </w:t>
      </w:r>
      <w:r>
        <w:rPr>
          <w:rStyle w:val="VerbatimChar"/>
          <w:rFonts w:hint="eastAsia"/>
        </w:rPr>
        <w:t xml:space="preserve">2024年4月27日</w:t>
      </w:r>
      <w:r>
        <w:rPr>
          <w:rFonts w:hint="eastAsia"/>
        </w:rPr>
        <w:t xml:space="preserve">，更新计划中均延后至</w:t>
      </w:r>
      <w:r>
        <w:t xml:space="preserve"> </w:t>
      </w:r>
      <w:r>
        <w:rPr>
          <w:rStyle w:val="VerbatimChar"/>
          <w:rFonts w:hint="eastAsia"/>
        </w:rPr>
        <w:t xml:space="preserve">2024年9月中旬</w:t>
      </w:r>
      <w:r>
        <w:rPr>
          <w:rFonts w:hint="eastAsia"/>
        </w:rPr>
        <w:t xml:space="preserve">。这说明地管材料到场时间与施工窗口存在明显错位，是导致部分区域前序条件延后、后续安装窗口被压缩的重要原因之一。</w:t>
      </w:r>
    </w:p>
    <w:p>
      <w:pPr>
        <w:pStyle w:val="BodyText"/>
      </w:pPr>
      <w:r>
        <w:t xml:space="preserve">Different categories of materials affect schedule in different ways. Electrical materials, instrumentation materials, tank accessories and certain piping materials tend to affect later continuous construction, system completion and handover rhythm, while underground piping materials have the most direct impact. Logistics records show that underground piping materials for</w:t>
      </w:r>
      <w:r>
        <w:t xml:space="preserve"> </w:t>
      </w:r>
      <w:r>
        <w:rPr>
          <w:rStyle w:val="VerbatimChar"/>
        </w:rPr>
        <w:t xml:space="preserve">UG batch 1~8</w:t>
      </w:r>
      <w:r>
        <w:t xml:space="preserve"> </w:t>
      </w:r>
      <w:r>
        <w:t xml:space="preserve">arrived between</w:t>
      </w:r>
      <w:r>
        <w:t xml:space="preserve"> </w:t>
      </w:r>
      <w:r>
        <w:rPr>
          <w:rStyle w:val="VerbatimChar"/>
        </w:rPr>
        <w:t xml:space="preserve">July 30, 2024</w:t>
      </w:r>
      <w:r>
        <w:t xml:space="preserve"> </w:t>
      </w:r>
      <w:r>
        <w:t xml:space="preserve">and</w:t>
      </w:r>
      <w:r>
        <w:t xml:space="preserve"> </w:t>
      </w:r>
      <w:r>
        <w:rPr>
          <w:rStyle w:val="VerbatimChar"/>
        </w:rPr>
        <w:t xml:space="preserve">September 14, 2024</w:t>
      </w:r>
      <w:r>
        <w:t xml:space="preserve">, while the originally planned underground piping construction windows in multiple areas were clearly earlier than this period. Taking one auxiliary area sample as an example, the originally planned completion date for underground piping installation and pressure testing was</w:t>
      </w:r>
      <w:r>
        <w:t xml:space="preserve"> </w:t>
      </w:r>
      <w:r>
        <w:rPr>
          <w:rStyle w:val="VerbatimChar"/>
        </w:rPr>
        <w:t xml:space="preserve">April 25, 2024</w:t>
      </w:r>
      <w:r>
        <w:t xml:space="preserve">, and the backfilling completion date was</w:t>
      </w:r>
      <w:r>
        <w:t xml:space="preserve"> </w:t>
      </w:r>
      <w:r>
        <w:rPr>
          <w:rStyle w:val="VerbatimChar"/>
        </w:rPr>
        <w:t xml:space="preserve">April 27, 2024</w:t>
      </w:r>
      <w:r>
        <w:t xml:space="preserve">; both were postponed in the updated schedule to mid-September 2024. This indicates a clear mismatch between underground piping arrival and construction windows, which became one of the important reasons for delayed preconditions in certain areas and the compression of follow-on installation windows.</w:t>
      </w:r>
    </w:p>
    <w:bookmarkEnd w:id="32"/>
    <w:bookmarkStart w:id="33" w:name="物流周期建议-recommended-logistics-durations"/>
    <w:p>
      <w:pPr>
        <w:pStyle w:val="Heading3"/>
      </w:pPr>
      <w:r>
        <w:t xml:space="preserve">6. </w:t>
      </w:r>
      <w:r>
        <w:rPr>
          <w:rFonts w:hint="eastAsia"/>
        </w:rPr>
        <w:t xml:space="preserve">物流周期建议</w:t>
      </w:r>
      <w:r>
        <w:t xml:space="preserve"> / Recommended Logistics Durations</w:t>
      </w:r>
    </w:p>
    <w:p>
      <w:pPr>
        <w:pStyle w:val="FirstParagraph"/>
      </w:pPr>
      <w:r>
        <w:rPr>
          <w:rFonts w:hint="eastAsia"/>
        </w:rPr>
        <w:t xml:space="preserve">物流策划建议按三类周期管理：</w:t>
      </w:r>
    </w:p>
    <w:p>
      <w:pPr>
        <w:pStyle w:val="BodyText"/>
      </w:pPr>
      <w:r>
        <w:t xml:space="preserve">Logistics planning is recommended to be managed under three duration categories:</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物流类别</w:t>
            </w:r>
          </w:p>
        </w:tc>
        <w:tc>
          <w:tcPr/>
          <w:p>
            <w:pPr>
              <w:pStyle w:val="Compact"/>
            </w:pPr>
            <w:r>
              <w:rPr>
                <w:rFonts w:hint="eastAsia"/>
              </w:rPr>
              <w:t xml:space="preserve">建议周期</w:t>
            </w:r>
          </w:p>
        </w:tc>
        <w:tc>
          <w:tcPr/>
          <w:p>
            <w:pPr>
              <w:pStyle w:val="Compact"/>
            </w:pPr>
            <w:r>
              <w:rPr>
                <w:rFonts w:hint="eastAsia"/>
              </w:rPr>
              <w:t xml:space="preserve">说明</w:t>
            </w:r>
          </w:p>
        </w:tc>
      </w:tr>
      <w:tr>
        <w:tc>
          <w:tcPr/>
          <w:p>
            <w:pPr>
              <w:pStyle w:val="Compact"/>
            </w:pPr>
            <w:r>
              <w:rPr>
                <w:rFonts w:hint="eastAsia"/>
              </w:rPr>
              <w:t xml:space="preserve">常规中国至马来西亚跨境物流</w:t>
            </w:r>
          </w:p>
        </w:tc>
        <w:tc>
          <w:tcPr/>
          <w:p>
            <w:pPr>
              <w:pStyle w:val="Compact"/>
            </w:pPr>
            <w:r>
              <w:rPr>
                <w:rFonts w:hint="eastAsia"/>
              </w:rPr>
              <w:t xml:space="preserve">约</w:t>
            </w:r>
            <w:r>
              <w:t xml:space="preserve"> 15 </w:t>
            </w:r>
            <w:r>
              <w:rPr>
                <w:rFonts w:hint="eastAsia"/>
              </w:rPr>
              <w:t xml:space="preserve">天</w:t>
            </w:r>
          </w:p>
        </w:tc>
        <w:tc>
          <w:tcPr/>
          <w:p>
            <w:pPr>
              <w:pStyle w:val="Compact"/>
            </w:pPr>
            <w:r>
              <w:rPr>
                <w:rFonts w:hint="eastAsia"/>
              </w:rPr>
              <w:t xml:space="preserve">可按“离港到到港约</w:t>
            </w:r>
            <w:r>
              <w:t xml:space="preserve"> 10 </w:t>
            </w:r>
            <w:r>
              <w:rPr>
                <w:rFonts w:hint="eastAsia"/>
              </w:rPr>
              <w:t xml:space="preserve">天</w:t>
            </w:r>
            <w:r>
              <w:t xml:space="preserve"> + </w:t>
            </w:r>
            <w:r>
              <w:rPr>
                <w:rFonts w:hint="eastAsia"/>
              </w:rPr>
              <w:t xml:space="preserve">到港到到场约</w:t>
            </w:r>
            <w:r>
              <w:t xml:space="preserve"> 5 </w:t>
            </w:r>
            <w:r>
              <w:rPr>
                <w:rFonts w:hint="eastAsia"/>
              </w:rPr>
              <w:t xml:space="preserve">天”理解</w:t>
            </w:r>
          </w:p>
        </w:tc>
      </w:tr>
      <w:tr>
        <w:tc>
          <w:tcPr/>
          <w:p>
            <w:pPr>
              <w:pStyle w:val="Compact"/>
            </w:pPr>
            <w:r>
              <w:rPr>
                <w:rFonts w:hint="eastAsia"/>
              </w:rPr>
              <w:t xml:space="preserve">散杂货和重大件物流</w:t>
            </w:r>
          </w:p>
        </w:tc>
        <w:tc>
          <w:tcPr/>
          <w:p>
            <w:pPr>
              <w:pStyle w:val="Compact"/>
            </w:pPr>
            <w:r>
              <w:rPr>
                <w:rFonts w:hint="eastAsia"/>
              </w:rPr>
              <w:t xml:space="preserve">约</w:t>
            </w:r>
            <w:r>
              <w:t xml:space="preserve"> 20 </w:t>
            </w:r>
            <w:r>
              <w:rPr>
                <w:rFonts w:hint="eastAsia"/>
              </w:rPr>
              <w:t xml:space="preserve">至</w:t>
            </w:r>
            <w:r>
              <w:t xml:space="preserve"> 30 </w:t>
            </w:r>
            <w:r>
              <w:rPr>
                <w:rFonts w:hint="eastAsia"/>
              </w:rPr>
              <w:t xml:space="preserve">天</w:t>
            </w:r>
          </w:p>
        </w:tc>
        <w:tc>
          <w:tcPr/>
          <w:p>
            <w:pPr>
              <w:pStyle w:val="Compact"/>
            </w:pPr>
            <w:r>
              <w:rPr>
                <w:rFonts w:hint="eastAsia"/>
              </w:rPr>
              <w:t xml:space="preserve">需额外考虑集港、装船、等泊、卸货和现场吊装条件</w:t>
            </w:r>
          </w:p>
        </w:tc>
      </w:tr>
      <w:tr>
        <w:tc>
          <w:tcPr/>
          <w:p>
            <w:pPr>
              <w:pStyle w:val="Compact"/>
            </w:pPr>
            <w:r>
              <w:rPr>
                <w:rFonts w:hint="eastAsia"/>
              </w:rPr>
              <w:t xml:space="preserve">认证类钢材和建材物流</w:t>
            </w:r>
          </w:p>
        </w:tc>
        <w:tc>
          <w:tcPr/>
          <w:p>
            <w:pPr>
              <w:pStyle w:val="Compact"/>
            </w:pPr>
            <w:r>
              <w:rPr>
                <w:rFonts w:hint="eastAsia"/>
              </w:rPr>
              <w:t xml:space="preserve">常规物流基础上增加</w:t>
            </w:r>
            <w:r>
              <w:t xml:space="preserve"> 2 </w:t>
            </w:r>
            <w:r>
              <w:rPr>
                <w:rFonts w:hint="eastAsia"/>
              </w:rPr>
              <w:t xml:space="preserve">至</w:t>
            </w:r>
            <w:r>
              <w:t xml:space="preserve"> 3 </w:t>
            </w:r>
            <w:r>
              <w:rPr>
                <w:rFonts w:hint="eastAsia"/>
              </w:rPr>
              <w:t xml:space="preserve">个月</w:t>
            </w:r>
          </w:p>
        </w:tc>
        <w:tc>
          <w:tcPr/>
          <w:p>
            <w:pPr>
              <w:pStyle w:val="Compact"/>
            </w:pPr>
            <w:r>
              <w:t xml:space="preserve">CIDB COA </w:t>
            </w:r>
            <w:r>
              <w:rPr>
                <w:rFonts w:hint="eastAsia"/>
              </w:rPr>
              <w:t xml:space="preserve">等认证时间应单独前置，不宜并入海运天数理解</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Logistics Category</w:t>
            </w:r>
          </w:p>
        </w:tc>
        <w:tc>
          <w:tcPr/>
          <w:p>
            <w:pPr>
              <w:pStyle w:val="Compact"/>
            </w:pPr>
            <w:r>
              <w:t xml:space="preserve">Recommended Duration</w:t>
            </w:r>
          </w:p>
        </w:tc>
        <w:tc>
          <w:tcPr/>
          <w:p>
            <w:pPr>
              <w:pStyle w:val="Compact"/>
            </w:pPr>
            <w:r>
              <w:t xml:space="preserve">Remarks</w:t>
            </w:r>
          </w:p>
        </w:tc>
      </w:tr>
      <w:tr>
        <w:tc>
          <w:tcPr/>
          <w:p>
            <w:pPr>
              <w:pStyle w:val="Compact"/>
            </w:pPr>
            <w:r>
              <w:t xml:space="preserve">Conventional cross-border logistics from China to Malaysia</w:t>
            </w:r>
          </w:p>
        </w:tc>
        <w:tc>
          <w:tcPr/>
          <w:p>
            <w:pPr>
              <w:pStyle w:val="Compact"/>
            </w:pPr>
            <w:r>
              <w:t xml:space="preserve">Approximately 15 days</w:t>
            </w:r>
          </w:p>
        </w:tc>
        <w:tc>
          <w:tcPr/>
          <w:p>
            <w:pPr>
              <w:pStyle w:val="Compact"/>
            </w:pPr>
            <w:r>
              <w:t xml:space="preserve">Can be understood as around 10 days from port departure to port arrival plus around 5 days from port arrival to site delivery</w:t>
            </w:r>
          </w:p>
        </w:tc>
      </w:tr>
      <w:tr>
        <w:tc>
          <w:tcPr/>
          <w:p>
            <w:pPr>
              <w:pStyle w:val="Compact"/>
            </w:pPr>
            <w:r>
              <w:t xml:space="preserve">Breakbulk and heavy-lift logistics</w:t>
            </w:r>
          </w:p>
        </w:tc>
        <w:tc>
          <w:tcPr/>
          <w:p>
            <w:pPr>
              <w:pStyle w:val="Compact"/>
            </w:pPr>
            <w:r>
              <w:t xml:space="preserve">Approximately 20 to 30 days</w:t>
            </w:r>
          </w:p>
        </w:tc>
        <w:tc>
          <w:tcPr/>
          <w:p>
            <w:pPr>
              <w:pStyle w:val="Compact"/>
            </w:pPr>
            <w:r>
              <w:t xml:space="preserve">Additional allowance should be made for marshaling at port, loading, berth waiting, discharge and site lifting conditions</w:t>
            </w:r>
          </w:p>
        </w:tc>
      </w:tr>
      <w:tr>
        <w:tc>
          <w:tcPr/>
          <w:p>
            <w:pPr>
              <w:pStyle w:val="Compact"/>
            </w:pPr>
            <w:r>
              <w:t xml:space="preserve">Certified steel and construction material logistics</w:t>
            </w:r>
          </w:p>
        </w:tc>
        <w:tc>
          <w:tcPr/>
          <w:p>
            <w:pPr>
              <w:pStyle w:val="Compact"/>
            </w:pPr>
            <w:r>
              <w:t xml:space="preserve">Add 2 to 3 months on top of normal logistics</w:t>
            </w:r>
          </w:p>
        </w:tc>
        <w:tc>
          <w:tcPr/>
          <w:p>
            <w:pPr>
              <w:pStyle w:val="Compact"/>
            </w:pPr>
            <w:r>
              <w:t xml:space="preserve">Time for CIDB COA and similar certification should be planned separately and should not be absorbed into marine transport duration</w:t>
            </w:r>
          </w:p>
        </w:tc>
      </w:tr>
    </w:tbl>
    <w:bookmarkEnd w:id="33"/>
    <w:bookmarkStart w:id="34" w:name="物流章节结论-conclusion-of-logistics-section"/>
    <w:p>
      <w:pPr>
        <w:pStyle w:val="Heading3"/>
      </w:pPr>
      <w:r>
        <w:t xml:space="preserve">7. </w:t>
      </w:r>
      <w:r>
        <w:rPr>
          <w:rFonts w:hint="eastAsia"/>
        </w:rPr>
        <w:t xml:space="preserve">物流章节结论</w:t>
      </w:r>
      <w:r>
        <w:t xml:space="preserve"> / Conclusion of Logistics Section</w:t>
      </w:r>
    </w:p>
    <w:p>
      <w:pPr>
        <w:pStyle w:val="FirstParagraph"/>
      </w:pPr>
      <w:r>
        <w:rPr>
          <w:rFonts w:hint="eastAsia"/>
        </w:rPr>
        <w:t xml:space="preserve">物流策划应重点回答四个问题，即怎么装、什么时候发、按什么状态到、是否满足现场顺序。对关键设备、预制物资、钢结构、储罐材料和地管材料，应按关键路径倒排物流；对电气、仪表和零星增补物资，应按系统完善和移交窗口滚动组织。过往项目说明，地管材料和大宗预制物资最容易直接影响前序条件，必须作为物流重点控制对象。物流执行建议由乙方统一统筹、统一报关和统一清关协调，以减少多头管理对进度的影响。</w:t>
      </w:r>
    </w:p>
    <w:p>
      <w:pPr>
        <w:pStyle w:val="BodyText"/>
      </w:pPr>
      <w:r>
        <w:t xml:space="preserve">Logistics planning should answer four questions clearly: how the cargo will be shipped, when it will be shipped, in what delivery status it will arrive, and whether the arrival sequence matches site needs. Key equipment, prefabricated materials, structural steel, tank materials and underground piping materials should all be scheduled backward from the critical path. Electrical, instrumentation and small supplementary materials should be organized on a rolling basis according to system completion and handover windows. Previous projects show that underground piping materials and bulk prefabricated materials are the items most likely to directly affect preconditions and therefore must be treated as logistics control priorities. It is recommended that logistics execution be organized in a unified manner by the contractor side, including unified customs declaration and customs clearance coordination, so as to reduce the schedule impact of fragmented management.</w:t>
      </w:r>
    </w:p>
    <w:bookmarkEnd w:id="34"/>
    <w:bookmarkEnd w:id="35"/>
    <w:bookmarkStart w:id="43" w:name="四进度计划策划-iv.-schedule-planning"/>
    <w:p>
      <w:pPr>
        <w:pStyle w:val="Heading2"/>
      </w:pPr>
      <w:r>
        <w:rPr>
          <w:rFonts w:hint="eastAsia"/>
        </w:rPr>
        <w:t xml:space="preserve">四、进度计划策划</w:t>
      </w:r>
      <w:r>
        <w:t xml:space="preserve"> / IV. Schedule Planning</w:t>
      </w:r>
    </w:p>
    <w:bookmarkStart w:id="36" w:name="项目周期建议-recommended-project-duration"/>
    <w:p>
      <w:pPr>
        <w:pStyle w:val="Heading3"/>
      </w:pPr>
      <w:r>
        <w:t xml:space="preserve">1. </w:t>
      </w:r>
      <w:r>
        <w:rPr>
          <w:rFonts w:hint="eastAsia"/>
        </w:rPr>
        <w:t xml:space="preserve">项目周期建议</w:t>
      </w:r>
      <w:r>
        <w:t xml:space="preserve"> / Recommended Project Duration</w:t>
      </w:r>
    </w:p>
    <w:p>
      <w:pPr>
        <w:pStyle w:val="FirstParagraph"/>
      </w:pPr>
      <w:r>
        <w:rPr>
          <w:rFonts w:hint="eastAsia"/>
        </w:rPr>
        <w:t xml:space="preserve">本项目进度策划建议按“设计前置、采购分层、土建先行、物流匹配、安装分区推进、当地验收提前启动”的思路组织。结合过往项目执行结果、成套包界面协调工作量以及当前分工模式，建议以打桩开工为项目主控起点，以机械竣工为阶段控制节点，以完工证书为最终交付节点。项目总体可按“打桩开始至机械竣工控制在</w:t>
      </w:r>
      <w:r>
        <w:t xml:space="preserve"> </w:t>
      </w:r>
      <w:r>
        <w:rPr>
          <w:rStyle w:val="VerbatimChar"/>
        </w:rPr>
        <w:t xml:space="preserve">26 </w:t>
      </w:r>
      <w:r>
        <w:rPr>
          <w:rStyle w:val="VerbatimChar"/>
          <w:rFonts w:hint="eastAsia"/>
        </w:rPr>
        <w:t xml:space="preserve">个月</w:t>
      </w:r>
      <w:r>
        <w:rPr>
          <w:rFonts w:hint="eastAsia"/>
        </w:rPr>
        <w:t xml:space="preserve">，机械竣工至完工证书再预留</w:t>
      </w:r>
      <w:r>
        <w:t xml:space="preserve"> </w:t>
      </w:r>
      <w:r>
        <w:rPr>
          <w:rStyle w:val="VerbatimChar"/>
        </w:rPr>
        <w:t xml:space="preserve">4 </w:t>
      </w:r>
      <w:r>
        <w:rPr>
          <w:rStyle w:val="VerbatimChar"/>
          <w:rFonts w:hint="eastAsia"/>
        </w:rPr>
        <w:t xml:space="preserve">个月</w:t>
      </w:r>
      <w:r>
        <w:rPr>
          <w:rFonts w:hint="eastAsia"/>
        </w:rPr>
        <w:t xml:space="preserve">”组织。当地专项验收和</w:t>
      </w:r>
      <w:r>
        <w:t xml:space="preserve"> CCC </w:t>
      </w:r>
      <w:r>
        <w:rPr>
          <w:rFonts w:hint="eastAsia"/>
        </w:rPr>
        <w:t xml:space="preserve">等合规收尾应纳入这</w:t>
      </w:r>
      <w:r>
        <w:t xml:space="preserve"> </w:t>
      </w:r>
      <w:r>
        <w:rPr>
          <w:rStyle w:val="VerbatimChar"/>
        </w:rPr>
        <w:t xml:space="preserve">4 </w:t>
      </w:r>
      <w:r>
        <w:rPr>
          <w:rStyle w:val="VerbatimChar"/>
          <w:rFonts w:hint="eastAsia"/>
        </w:rPr>
        <w:t xml:space="preserve">个月</w:t>
      </w:r>
      <w:r>
        <w:t xml:space="preserve"> </w:t>
      </w:r>
      <w:r>
        <w:rPr>
          <w:rFonts w:hint="eastAsia"/>
        </w:rPr>
        <w:t xml:space="preserve">内统筹推进，并在后期施工阶段提前穿插启动。各阶段建议周期如下：</w:t>
      </w:r>
    </w:p>
    <w:p>
      <w:pPr>
        <w:pStyle w:val="BodyText"/>
      </w:pPr>
      <w:r>
        <w:t xml:space="preserve">It is recommended that the project schedule be organized under the logic of front-loaded design, layered procurement, civil works first, logistics matched to execution, installation advanced by area, and local acceptance started early. Based on previous project execution results, the coordination workload of package interfaces and the current workshare model, it is recommended to take piling start as the main project control starting point, mechanical completion as the phase control milestone, and completion certificate as the final delivery milestone. Overall project duration may be organized on the basis of controlling the period from piling start to mechanical completion within</w:t>
      </w:r>
      <w:r>
        <w:t xml:space="preserve"> </w:t>
      </w:r>
      <w:r>
        <w:rPr>
          <w:rStyle w:val="VerbatimChar"/>
        </w:rPr>
        <w:t xml:space="preserve">26 months</w:t>
      </w:r>
      <w:r>
        <w:t xml:space="preserve">, followed by an additional</w:t>
      </w:r>
      <w:r>
        <w:t xml:space="preserve"> </w:t>
      </w:r>
      <w:r>
        <w:rPr>
          <w:rStyle w:val="VerbatimChar"/>
        </w:rPr>
        <w:t xml:space="preserve">4 months</w:t>
      </w:r>
      <w:r>
        <w:t xml:space="preserve"> </w:t>
      </w:r>
      <w:r>
        <w:t xml:space="preserve">from mechanical completion to completion certificate. Local statutory acceptance activities and CCC-related close-out should be incorporated within these</w:t>
      </w:r>
      <w:r>
        <w:t xml:space="preserve"> </w:t>
      </w:r>
      <w:r>
        <w:rPr>
          <w:rStyle w:val="VerbatimChar"/>
        </w:rPr>
        <w:t xml:space="preserve">4 months</w:t>
      </w:r>
      <w:r>
        <w:t xml:space="preserve"> </w:t>
      </w:r>
      <w:r>
        <w:t xml:space="preserve">and started in parallel during the later construction phase rather than being left until after mechanical completion.</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建议周期</w:t>
            </w:r>
          </w:p>
        </w:tc>
        <w:tc>
          <w:tcPr/>
          <w:p>
            <w:pPr>
              <w:pStyle w:val="Compact"/>
            </w:pPr>
            <w:r>
              <w:rPr>
                <w:rFonts w:hint="eastAsia"/>
              </w:rPr>
              <w:t xml:space="preserve">说明</w:t>
            </w:r>
          </w:p>
        </w:tc>
      </w:tr>
      <w:tr>
        <w:tc>
          <w:tcPr/>
          <w:p>
            <w:pPr>
              <w:pStyle w:val="Compact"/>
            </w:pPr>
            <w:r>
              <w:rPr>
                <w:rFonts w:hint="eastAsia"/>
              </w:rPr>
              <w:t xml:space="preserve">设计周期</w:t>
            </w:r>
          </w:p>
        </w:tc>
        <w:tc>
          <w:tcPr/>
          <w:p>
            <w:pPr>
              <w:pStyle w:val="Compact"/>
            </w:pPr>
            <w:r>
              <w:t xml:space="preserve">6 </w:t>
            </w:r>
            <w:r>
              <w:rPr>
                <w:rFonts w:hint="eastAsia"/>
              </w:rPr>
              <w:t xml:space="preserve">至</w:t>
            </w:r>
            <w:r>
              <w:t xml:space="preserve"> 8 </w:t>
            </w:r>
            <w:r>
              <w:rPr>
                <w:rFonts w:hint="eastAsia"/>
              </w:rPr>
              <w:t xml:space="preserve">个月</w:t>
            </w:r>
          </w:p>
        </w:tc>
        <w:tc>
          <w:tcPr/>
          <w:p>
            <w:pPr>
              <w:pStyle w:val="Compact"/>
            </w:pPr>
            <w:r>
              <w:rPr>
                <w:rFonts w:hint="eastAsia"/>
              </w:rPr>
              <w:t xml:space="preserve">主装置系统设计、配套系统设计和本地深化设计应并行推进，关键采购包宜在设计中前期释放</w:t>
            </w:r>
          </w:p>
        </w:tc>
      </w:tr>
      <w:tr>
        <w:tc>
          <w:tcPr/>
          <w:p>
            <w:pPr>
              <w:pStyle w:val="Compact"/>
            </w:pPr>
            <w:r>
              <w:rPr>
                <w:rFonts w:hint="eastAsia"/>
              </w:rPr>
              <w:t xml:space="preserve">采购周期</w:t>
            </w:r>
          </w:p>
        </w:tc>
        <w:tc>
          <w:tcPr/>
          <w:p>
            <w:pPr>
              <w:pStyle w:val="Compact"/>
            </w:pPr>
            <w:r>
              <w:t xml:space="preserve">2 </w:t>
            </w:r>
            <w:r>
              <w:rPr>
                <w:rFonts w:hint="eastAsia"/>
              </w:rPr>
              <w:t xml:space="preserve">至</w:t>
            </w:r>
            <w:r>
              <w:t xml:space="preserve"> 3 </w:t>
            </w:r>
            <w:r>
              <w:rPr>
                <w:rFonts w:hint="eastAsia"/>
              </w:rPr>
              <w:t xml:space="preserve">个月起步</w:t>
            </w:r>
          </w:p>
        </w:tc>
        <w:tc>
          <w:tcPr/>
          <w:p>
            <w:pPr>
              <w:pStyle w:val="Compact"/>
            </w:pPr>
            <w:r>
              <w:t xml:space="preserve">Technip </w:t>
            </w:r>
            <w:r>
              <w:rPr>
                <w:rFonts w:hint="eastAsia"/>
              </w:rPr>
              <w:t xml:space="preserve">关键设备、NCC</w:t>
            </w:r>
            <w:r>
              <w:t xml:space="preserve"> </w:t>
            </w:r>
            <w:r>
              <w:rPr>
                <w:rFonts w:hint="eastAsia"/>
              </w:rPr>
              <w:t xml:space="preserve">跨境采购、NCC</w:t>
            </w:r>
            <w:r>
              <w:t xml:space="preserve"> </w:t>
            </w:r>
            <w:r>
              <w:rPr>
                <w:rFonts w:hint="eastAsia"/>
              </w:rPr>
              <w:t xml:space="preserve">本地采购三条链同步启动；长周期设备需更早锁定</w:t>
            </w:r>
          </w:p>
        </w:tc>
      </w:tr>
      <w:tr>
        <w:tc>
          <w:tcPr/>
          <w:p>
            <w:pPr>
              <w:pStyle w:val="Compact"/>
            </w:pPr>
            <w:r>
              <w:rPr>
                <w:rFonts w:hint="eastAsia"/>
              </w:rPr>
              <w:t xml:space="preserve">物流周期</w:t>
            </w:r>
          </w:p>
        </w:tc>
        <w:tc>
          <w:tcPr/>
          <w:p>
            <w:pPr>
              <w:pStyle w:val="Compact"/>
            </w:pPr>
            <w:r>
              <w:t xml:space="preserve">0.5 </w:t>
            </w:r>
            <w:r>
              <w:rPr>
                <w:rFonts w:hint="eastAsia"/>
              </w:rPr>
              <w:t xml:space="preserve">至</w:t>
            </w:r>
            <w:r>
              <w:t xml:space="preserve"> 2 </w:t>
            </w:r>
            <w:r>
              <w:rPr>
                <w:rFonts w:hint="eastAsia"/>
              </w:rPr>
              <w:t xml:space="preserve">个月</w:t>
            </w:r>
          </w:p>
        </w:tc>
        <w:tc>
          <w:tcPr/>
          <w:p>
            <w:pPr>
              <w:pStyle w:val="Compact"/>
            </w:pPr>
            <w:r>
              <w:rPr>
                <w:rFonts w:hint="eastAsia"/>
              </w:rPr>
              <w:t xml:space="preserve">常规跨境物流可按约</w:t>
            </w:r>
            <w:r>
              <w:t xml:space="preserve"> 15 </w:t>
            </w:r>
            <w:r>
              <w:rPr>
                <w:rFonts w:hint="eastAsia"/>
              </w:rPr>
              <w:t xml:space="preserve">天考虑，重大件、散杂货和认证类物资应单独加冗余</w:t>
            </w:r>
          </w:p>
        </w:tc>
      </w:tr>
      <w:tr>
        <w:tc>
          <w:tcPr/>
          <w:p>
            <w:pPr>
              <w:pStyle w:val="Compact"/>
            </w:pPr>
            <w:r>
              <w:rPr>
                <w:rFonts w:hint="eastAsia"/>
              </w:rPr>
              <w:t xml:space="preserve">土建及前序条件周期</w:t>
            </w:r>
          </w:p>
        </w:tc>
        <w:tc>
          <w:tcPr/>
          <w:p>
            <w:pPr>
              <w:pStyle w:val="Compact"/>
            </w:pPr>
            <w:r>
              <w:t xml:space="preserve">6 </w:t>
            </w:r>
            <w:r>
              <w:rPr>
                <w:rFonts w:hint="eastAsia"/>
              </w:rPr>
              <w:t xml:space="preserve">至</w:t>
            </w:r>
            <w:r>
              <w:t xml:space="preserve"> 7 </w:t>
            </w:r>
            <w:r>
              <w:rPr>
                <w:rFonts w:hint="eastAsia"/>
              </w:rPr>
              <w:t xml:space="preserve">个月</w:t>
            </w:r>
          </w:p>
        </w:tc>
        <w:tc>
          <w:tcPr/>
          <w:p>
            <w:pPr>
              <w:pStyle w:val="Compact"/>
            </w:pPr>
            <w:r>
              <w:rPr>
                <w:rFonts w:hint="eastAsia"/>
              </w:rPr>
              <w:t xml:space="preserve">地下、基础、地管、土建和钢结构应作为前序条件整体管理</w:t>
            </w:r>
          </w:p>
        </w:tc>
      </w:tr>
      <w:tr>
        <w:tc>
          <w:tcPr/>
          <w:p>
            <w:pPr>
              <w:pStyle w:val="Compact"/>
            </w:pPr>
            <w:r>
              <w:rPr>
                <w:rFonts w:hint="eastAsia"/>
              </w:rPr>
              <w:t xml:space="preserve">安装及系统完善周期</w:t>
            </w:r>
          </w:p>
        </w:tc>
        <w:tc>
          <w:tcPr/>
          <w:p>
            <w:pPr>
              <w:pStyle w:val="Compact"/>
            </w:pPr>
            <w:r>
              <w:t xml:space="preserve">16 </w:t>
            </w:r>
            <w:r>
              <w:rPr>
                <w:rFonts w:hint="eastAsia"/>
              </w:rPr>
              <w:t xml:space="preserve">至</w:t>
            </w:r>
            <w:r>
              <w:t xml:space="preserve"> 18 </w:t>
            </w:r>
            <w:r>
              <w:rPr>
                <w:rFonts w:hint="eastAsia"/>
              </w:rPr>
              <w:t xml:space="preserve">个月</w:t>
            </w:r>
          </w:p>
        </w:tc>
        <w:tc>
          <w:tcPr/>
          <w:p>
            <w:pPr>
              <w:pStyle w:val="Compact"/>
            </w:pPr>
            <w:r>
              <w:rPr>
                <w:rFonts w:hint="eastAsia"/>
              </w:rPr>
              <w:t xml:space="preserve">按主装置、公用工程、配套系统和移交顺序分区推进，并考虑成套包界面协调、现场安装和系统完善的实际工作量</w:t>
            </w:r>
          </w:p>
        </w:tc>
      </w:tr>
      <w:tr>
        <w:tc>
          <w:tcPr/>
          <w:p>
            <w:pPr>
              <w:pStyle w:val="Compact"/>
            </w:pPr>
            <w:r>
              <w:rPr>
                <w:rFonts w:hint="eastAsia"/>
              </w:rPr>
              <w:t xml:space="preserve">机械竣工至完工证书周期</w:t>
            </w:r>
          </w:p>
        </w:tc>
        <w:tc>
          <w:tcPr/>
          <w:p>
            <w:pPr>
              <w:pStyle w:val="Compact"/>
            </w:pPr>
            <w:r>
              <w:t xml:space="preserve">4 </w:t>
            </w:r>
            <w:r>
              <w:rPr>
                <w:rFonts w:hint="eastAsia"/>
              </w:rPr>
              <w:t xml:space="preserve">个月</w:t>
            </w:r>
          </w:p>
        </w:tc>
        <w:tc>
          <w:tcPr/>
          <w:p>
            <w:pPr>
              <w:pStyle w:val="Compact"/>
            </w:pPr>
            <w:r>
              <w:rPr>
                <w:rFonts w:hint="eastAsia"/>
              </w:rPr>
              <w:t xml:space="preserve">应覆盖专项验收、CCC、整改关闭和完工证书办理，不宜放到机械竣工后再被动启动</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主控节点</w:t>
            </w:r>
          </w:p>
        </w:tc>
        <w:tc>
          <w:tcPr/>
          <w:p>
            <w:pPr>
              <w:pStyle w:val="Compact"/>
            </w:pPr>
            <w:r>
              <w:rPr>
                <w:rFonts w:hint="eastAsia"/>
              </w:rPr>
              <w:t xml:space="preserve">建议控制目标</w:t>
            </w:r>
          </w:p>
        </w:tc>
        <w:tc>
          <w:tcPr/>
          <w:p>
            <w:pPr>
              <w:pStyle w:val="Compact"/>
            </w:pPr>
            <w:r>
              <w:rPr>
                <w:rFonts w:hint="eastAsia"/>
              </w:rPr>
              <w:t xml:space="preserve">说明</w:t>
            </w:r>
          </w:p>
        </w:tc>
      </w:tr>
      <w:tr>
        <w:tc>
          <w:tcPr/>
          <w:p>
            <w:pPr>
              <w:pStyle w:val="Compact"/>
            </w:pPr>
            <w:r>
              <w:rPr>
                <w:rFonts w:hint="eastAsia"/>
              </w:rPr>
              <w:t xml:space="preserve">打桩开工</w:t>
            </w:r>
          </w:p>
        </w:tc>
        <w:tc>
          <w:tcPr/>
          <w:p>
            <w:pPr>
              <w:pStyle w:val="Compact"/>
            </w:pPr>
            <w:r>
              <w:rPr>
                <w:rFonts w:hint="eastAsia"/>
              </w:rPr>
              <w:t xml:space="preserve">项目主控起点</w:t>
            </w:r>
          </w:p>
        </w:tc>
        <w:tc>
          <w:tcPr/>
          <w:p>
            <w:pPr>
              <w:pStyle w:val="Compact"/>
            </w:pPr>
            <w:r>
              <w:rPr>
                <w:rFonts w:hint="eastAsia"/>
              </w:rPr>
              <w:t xml:space="preserve">作为整体工期起算基准</w:t>
            </w:r>
          </w:p>
        </w:tc>
      </w:tr>
      <w:tr>
        <w:tc>
          <w:tcPr/>
          <w:p>
            <w:pPr>
              <w:pStyle w:val="Compact"/>
            </w:pPr>
            <w:r>
              <w:rPr>
                <w:rFonts w:hint="eastAsia"/>
              </w:rPr>
              <w:t xml:space="preserve">机械竣工</w:t>
            </w:r>
          </w:p>
        </w:tc>
        <w:tc>
          <w:tcPr/>
          <w:p>
            <w:pPr>
              <w:pStyle w:val="Compact"/>
            </w:pPr>
            <w:r>
              <w:rPr>
                <w:rFonts w:hint="eastAsia"/>
              </w:rPr>
              <w:t xml:space="preserve">打桩开始后</w:t>
            </w:r>
            <w:r>
              <w:t xml:space="preserve"> 26 </w:t>
            </w:r>
            <w:r>
              <w:rPr>
                <w:rFonts w:hint="eastAsia"/>
              </w:rPr>
              <w:t xml:space="preserve">个月内</w:t>
            </w:r>
          </w:p>
        </w:tc>
        <w:tc>
          <w:tcPr/>
          <w:p>
            <w:pPr>
              <w:pStyle w:val="Compact"/>
            </w:pPr>
            <w:r>
              <w:rPr>
                <w:rFonts w:hint="eastAsia"/>
              </w:rPr>
              <w:t xml:space="preserve">作为项目阶段控制节点</w:t>
            </w:r>
          </w:p>
        </w:tc>
      </w:tr>
      <w:tr>
        <w:tc>
          <w:tcPr/>
          <w:p>
            <w:pPr>
              <w:pStyle w:val="Compact"/>
            </w:pPr>
            <w:r>
              <w:rPr>
                <w:rFonts w:hint="eastAsia"/>
              </w:rPr>
              <w:t xml:space="preserve">完工证书</w:t>
            </w:r>
          </w:p>
        </w:tc>
        <w:tc>
          <w:tcPr/>
          <w:p>
            <w:pPr>
              <w:pStyle w:val="Compact"/>
            </w:pPr>
            <w:r>
              <w:rPr>
                <w:rFonts w:hint="eastAsia"/>
              </w:rPr>
              <w:t xml:space="preserve">机械竣工后</w:t>
            </w:r>
            <w:r>
              <w:t xml:space="preserve"> 4 </w:t>
            </w:r>
            <w:r>
              <w:rPr>
                <w:rFonts w:hint="eastAsia"/>
              </w:rPr>
              <w:t xml:space="preserve">个月内</w:t>
            </w:r>
          </w:p>
        </w:tc>
        <w:tc>
          <w:tcPr/>
          <w:p>
            <w:pPr>
              <w:pStyle w:val="Compact"/>
            </w:pPr>
            <w:r>
              <w:rPr>
                <w:rFonts w:hint="eastAsia"/>
              </w:rPr>
              <w:t xml:space="preserve">覆盖专项验收、CCC</w:t>
            </w:r>
            <w:r>
              <w:t xml:space="preserve"> </w:t>
            </w:r>
            <w:r>
              <w:rPr>
                <w:rFonts w:hint="eastAsia"/>
              </w:rPr>
              <w:t xml:space="preserve">和完工证书办理</w:t>
            </w:r>
          </w:p>
        </w:tc>
      </w:tr>
    </w:tbl>
    <w:p>
      <w:pPr>
        <w:pStyle w:val="BodyText"/>
      </w:pPr>
      <w:r>
        <w:t xml:space="preserve">English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Recommended Duration</w:t>
            </w:r>
          </w:p>
        </w:tc>
        <w:tc>
          <w:tcPr/>
          <w:p>
            <w:pPr>
              <w:pStyle w:val="Compact"/>
            </w:pPr>
            <w:r>
              <w:t xml:space="preserve">Remarks</w:t>
            </w:r>
          </w:p>
        </w:tc>
      </w:tr>
      <w:tr>
        <w:tc>
          <w:tcPr/>
          <w:p>
            <w:pPr>
              <w:pStyle w:val="Compact"/>
            </w:pPr>
            <w:r>
              <w:t xml:space="preserve">Design phase</w:t>
            </w:r>
          </w:p>
        </w:tc>
        <w:tc>
          <w:tcPr/>
          <w:p>
            <w:pPr>
              <w:pStyle w:val="Compact"/>
            </w:pPr>
            <w:r>
              <w:t xml:space="preserve">6 to 8 months</w:t>
            </w:r>
          </w:p>
        </w:tc>
        <w:tc>
          <w:tcPr/>
          <w:p>
            <w:pPr>
              <w:pStyle w:val="Compact"/>
            </w:pPr>
            <w:r>
              <w:t xml:space="preserve">Main process units design, supporting systems design and local detailed design should proceed in parallel; key procurement packages should be released in the early to middle design stage</w:t>
            </w:r>
          </w:p>
        </w:tc>
      </w:tr>
      <w:tr>
        <w:tc>
          <w:tcPr/>
          <w:p>
            <w:pPr>
              <w:pStyle w:val="Compact"/>
            </w:pPr>
            <w:r>
              <w:t xml:space="preserve">Procurement phase</w:t>
            </w:r>
          </w:p>
        </w:tc>
        <w:tc>
          <w:tcPr/>
          <w:p>
            <w:pPr>
              <w:pStyle w:val="Compact"/>
            </w:pPr>
            <w:r>
              <w:t xml:space="preserve">Starting from 2 to 3 months</w:t>
            </w:r>
          </w:p>
        </w:tc>
        <w:tc>
          <w:tcPr/>
          <w:p>
            <w:pPr>
              <w:pStyle w:val="Compact"/>
            </w:pPr>
            <w:r>
              <w:t xml:space="preserve">Technip key equipment, NCC cross-border procurement and NCC local procurement should start in parallel; long-lead items should be locked earlier</w:t>
            </w:r>
          </w:p>
        </w:tc>
      </w:tr>
      <w:tr>
        <w:tc>
          <w:tcPr/>
          <w:p>
            <w:pPr>
              <w:pStyle w:val="Compact"/>
            </w:pPr>
            <w:r>
              <w:t xml:space="preserve">Logistics phase</w:t>
            </w:r>
          </w:p>
        </w:tc>
        <w:tc>
          <w:tcPr/>
          <w:p>
            <w:pPr>
              <w:pStyle w:val="Compact"/>
            </w:pPr>
            <w:r>
              <w:t xml:space="preserve">0.5 to 2 months</w:t>
            </w:r>
          </w:p>
        </w:tc>
        <w:tc>
          <w:tcPr/>
          <w:p>
            <w:pPr>
              <w:pStyle w:val="Compact"/>
            </w:pPr>
            <w:r>
              <w:t xml:space="preserve">Conventional cross-border logistics can be assumed at about 15 days; additional float should be added for heavy-lift, breakbulk and certification-sensitive items</w:t>
            </w:r>
          </w:p>
        </w:tc>
      </w:tr>
      <w:tr>
        <w:tc>
          <w:tcPr/>
          <w:p>
            <w:pPr>
              <w:pStyle w:val="Compact"/>
            </w:pPr>
            <w:r>
              <w:t xml:space="preserve">Civil works and precondition phase</w:t>
            </w:r>
          </w:p>
        </w:tc>
        <w:tc>
          <w:tcPr/>
          <w:p>
            <w:pPr>
              <w:pStyle w:val="Compact"/>
            </w:pPr>
            <w:r>
              <w:t xml:space="preserve">6 to 7 months</w:t>
            </w:r>
          </w:p>
        </w:tc>
        <w:tc>
          <w:tcPr/>
          <w:p>
            <w:pPr>
              <w:pStyle w:val="Compact"/>
            </w:pPr>
            <w:r>
              <w:t xml:space="preserve">Underground works, foundations, underground piping, civil works and structural steel should be managed together as preconditions</w:t>
            </w:r>
          </w:p>
        </w:tc>
      </w:tr>
      <w:tr>
        <w:tc>
          <w:tcPr/>
          <w:p>
            <w:pPr>
              <w:pStyle w:val="Compact"/>
            </w:pPr>
            <w:r>
              <w:t xml:space="preserve">Installation and system completion phase</w:t>
            </w:r>
          </w:p>
        </w:tc>
        <w:tc>
          <w:tcPr/>
          <w:p>
            <w:pPr>
              <w:pStyle w:val="Compact"/>
            </w:pPr>
            <w:r>
              <w:t xml:space="preserve">16 to 18 months</w:t>
            </w:r>
          </w:p>
        </w:tc>
        <w:tc>
          <w:tcPr/>
          <w:p>
            <w:pPr>
              <w:pStyle w:val="Compact"/>
            </w:pPr>
            <w:r>
              <w:t xml:space="preserve">Should be advanced by area and by sequence across main units, utilities, supporting systems and handover, taking into account package interface coordination, site installation and the actual workload of system completion</w:t>
            </w:r>
          </w:p>
        </w:tc>
      </w:tr>
      <w:tr>
        <w:tc>
          <w:tcPr/>
          <w:p>
            <w:pPr>
              <w:pStyle w:val="Compact"/>
            </w:pPr>
            <w:r>
              <w:t xml:space="preserve">Mechanical completion to completion certificate</w:t>
            </w:r>
          </w:p>
        </w:tc>
        <w:tc>
          <w:tcPr/>
          <w:p>
            <w:pPr>
              <w:pStyle w:val="Compact"/>
            </w:pPr>
            <w:r>
              <w:t xml:space="preserve">4 months</w:t>
            </w:r>
          </w:p>
        </w:tc>
        <w:tc>
          <w:tcPr/>
          <w:p>
            <w:pPr>
              <w:pStyle w:val="Compact"/>
            </w:pPr>
            <w:r>
              <w:t xml:space="preserve">Should cover statutory inspections, CCC, punch close-out and completion certificate processing, rather than being started passively after mechanical completion</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Main Control Milestone</w:t>
            </w:r>
          </w:p>
        </w:tc>
        <w:tc>
          <w:tcPr/>
          <w:p>
            <w:pPr>
              <w:pStyle w:val="Compact"/>
            </w:pPr>
            <w:r>
              <w:t xml:space="preserve">Recommended Target</w:t>
            </w:r>
          </w:p>
        </w:tc>
        <w:tc>
          <w:tcPr/>
          <w:p>
            <w:pPr>
              <w:pStyle w:val="Compact"/>
            </w:pPr>
            <w:r>
              <w:t xml:space="preserve">Remarks</w:t>
            </w:r>
          </w:p>
        </w:tc>
      </w:tr>
      <w:tr>
        <w:tc>
          <w:tcPr/>
          <w:p>
            <w:pPr>
              <w:pStyle w:val="Compact"/>
            </w:pPr>
            <w:r>
              <w:t xml:space="preserve">Piling start</w:t>
            </w:r>
          </w:p>
        </w:tc>
        <w:tc>
          <w:tcPr/>
          <w:p>
            <w:pPr>
              <w:pStyle w:val="Compact"/>
            </w:pPr>
            <w:r>
              <w:t xml:space="preserve">Main project control starting point</w:t>
            </w:r>
          </w:p>
        </w:tc>
        <w:tc>
          <w:tcPr/>
          <w:p>
            <w:pPr>
              <w:pStyle w:val="Compact"/>
            </w:pPr>
            <w:r>
              <w:t xml:space="preserve">Baseline point for overall schedule calculation</w:t>
            </w:r>
          </w:p>
        </w:tc>
      </w:tr>
      <w:tr>
        <w:tc>
          <w:tcPr/>
          <w:p>
            <w:pPr>
              <w:pStyle w:val="Compact"/>
            </w:pPr>
            <w:r>
              <w:t xml:space="preserve">Mechanical completion</w:t>
            </w:r>
          </w:p>
        </w:tc>
        <w:tc>
          <w:tcPr/>
          <w:p>
            <w:pPr>
              <w:pStyle w:val="Compact"/>
            </w:pPr>
            <w:r>
              <w:t xml:space="preserve">Within 26 months after piling start</w:t>
            </w:r>
          </w:p>
        </w:tc>
        <w:tc>
          <w:tcPr/>
          <w:p>
            <w:pPr>
              <w:pStyle w:val="Compact"/>
            </w:pPr>
            <w:r>
              <w:t xml:space="preserve">Phase control milestone for the project</w:t>
            </w:r>
          </w:p>
        </w:tc>
      </w:tr>
      <w:tr>
        <w:tc>
          <w:tcPr/>
          <w:p>
            <w:pPr>
              <w:pStyle w:val="Compact"/>
            </w:pPr>
            <w:r>
              <w:t xml:space="preserve">Completion certificate</w:t>
            </w:r>
          </w:p>
        </w:tc>
        <w:tc>
          <w:tcPr/>
          <w:p>
            <w:pPr>
              <w:pStyle w:val="Compact"/>
            </w:pPr>
            <w:r>
              <w:t xml:space="preserve">Within 4 months after mechanical completion</w:t>
            </w:r>
          </w:p>
        </w:tc>
        <w:tc>
          <w:tcPr/>
          <w:p>
            <w:pPr>
              <w:pStyle w:val="Compact"/>
            </w:pPr>
            <w:r>
              <w:t xml:space="preserve">Covers statutory acceptance, CCC and completion certificate processing</w:t>
            </w:r>
          </w:p>
        </w:tc>
      </w:tr>
    </w:tbl>
    <w:bookmarkEnd w:id="36"/>
    <w:bookmarkStart w:id="37" w:name="关键路径建议-recommended-critical-paths"/>
    <w:p>
      <w:pPr>
        <w:pStyle w:val="Heading3"/>
      </w:pPr>
      <w:r>
        <w:t xml:space="preserve">2. </w:t>
      </w:r>
      <w:r>
        <w:rPr>
          <w:rFonts w:hint="eastAsia"/>
        </w:rPr>
        <w:t xml:space="preserve">关键路径建议</w:t>
      </w:r>
      <w:r>
        <w:t xml:space="preserve"> / Recommended Critical Paths</w:t>
      </w:r>
    </w:p>
    <w:p>
      <w:pPr>
        <w:pStyle w:val="FirstParagraph"/>
      </w:pPr>
      <w:r>
        <w:rPr>
          <w:rFonts w:hint="eastAsia"/>
        </w:rPr>
        <w:t xml:space="preserve">本项目关键路径不宜只按主装置单线理解，建议至少按四条主线同步策划。第一条是主装置路径，覆盖主装置前序条件释放、关键设备安装、工艺管道、电仪接线、机械竣工和装置接收。第二条是公用工程路径，覆盖变配电、消防水、冷却水、水处理、工厂风和仪表风、氮气等系统形成条件。第三条是配套和厂外连接路径，覆盖罐区、装卸设施、管廊、厂外管线、码头连接、外部公用工程接入以及相关第三方协调。第四条是关键物资释放路径，覆盖关键设备、地管材料、钢结构、预制材料和关键电仪设备到场顺序。项目初期可由主装置路径主导，中后期则往往转化为主装置、公用工程、厂外连接和移交多路径并行收紧。</w:t>
      </w:r>
    </w:p>
    <w:p>
      <w:pPr>
        <w:pStyle w:val="BodyText"/>
      </w:pPr>
      <w:r>
        <w:t xml:space="preserve">The critical path for this project should not be understood as a single main-process line. It is recommended that at least four main paths be planned in parallel. The first is the main process units path, covering release of preconditions for the main units, installation of key equipment, process piping, electrical and instrumentation hookup, mechanical completion and unit takeover. The second is the utilities path, covering the readiness of power distribution, firefighting water, cooling water, water treatment, plant air and instrument air, nitrogen and similar systems. The third is the supporting systems and offsite connection path, covering tank farms, loading/unloading facilities, pipe racks, offsite pipelines, jetty connection, external utility tie-ins and related third-party coordination. The fourth is the key material release path, covering the arrival sequence of key equipment, underground piping materials, structural steel, prefabricated materials and critical electrical/instrument materials. In the early project stage, the main process path may dominate, while in the middle and later stages the project typically tightens into multiple parallel controlling paths involving the main units, utilities, offsite connections and handover.</w:t>
      </w:r>
    </w:p>
    <w:p>
      <w:pPr>
        <w:pStyle w:val="BodyText"/>
      </w:pPr>
      <w:r>
        <w:rPr>
          <w:rFonts w:hint="eastAsia"/>
        </w:rPr>
        <w:t xml:space="preserve">中文表：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关键路径</w:t>
            </w:r>
          </w:p>
        </w:tc>
        <w:tc>
          <w:tcPr/>
          <w:p>
            <w:pPr>
              <w:pStyle w:val="Compact"/>
            </w:pPr>
            <w:r>
              <w:rPr>
                <w:rFonts w:hint="eastAsia"/>
              </w:rPr>
              <w:t xml:space="preserve">主要内容</w:t>
            </w:r>
          </w:p>
        </w:tc>
        <w:tc>
          <w:tcPr/>
          <w:p>
            <w:pPr>
              <w:pStyle w:val="Compact"/>
            </w:pPr>
            <w:r>
              <w:rPr>
                <w:rFonts w:hint="eastAsia"/>
              </w:rPr>
              <w:t xml:space="preserve">建议控制周期</w:t>
            </w:r>
          </w:p>
        </w:tc>
        <w:tc>
          <w:tcPr/>
          <w:p>
            <w:pPr>
              <w:pStyle w:val="Compact"/>
            </w:pPr>
            <w:r>
              <w:rPr>
                <w:rFonts w:hint="eastAsia"/>
              </w:rPr>
              <w:t xml:space="preserve">说明</w:t>
            </w:r>
          </w:p>
        </w:tc>
      </w:tr>
      <w:tr>
        <w:tc>
          <w:tcPr/>
          <w:p>
            <w:pPr>
              <w:pStyle w:val="Compact"/>
            </w:pPr>
            <w:r>
              <w:rPr>
                <w:rFonts w:hint="eastAsia"/>
              </w:rPr>
              <w:t xml:space="preserve">主装置路径</w:t>
            </w:r>
          </w:p>
        </w:tc>
        <w:tc>
          <w:tcPr/>
          <w:p>
            <w:pPr>
              <w:pStyle w:val="Compact"/>
            </w:pPr>
            <w:r>
              <w:rPr>
                <w:rFonts w:hint="eastAsia"/>
              </w:rPr>
              <w:t xml:space="preserve">主装置前序条件释放、关键设备安装、工艺管道、电仪接线、机械竣工和装置接收</w:t>
            </w:r>
          </w:p>
        </w:tc>
        <w:tc>
          <w:tcPr/>
          <w:p>
            <w:pPr>
              <w:pStyle w:val="Compact"/>
            </w:pPr>
            <w:r>
              <w:rPr>
                <w:rFonts w:hint="eastAsia"/>
              </w:rPr>
              <w:t xml:space="preserve">约</w:t>
            </w:r>
            <w:r>
              <w:t xml:space="preserve"> 18 </w:t>
            </w:r>
            <w:r>
              <w:rPr>
                <w:rFonts w:hint="eastAsia"/>
              </w:rPr>
              <w:t xml:space="preserve">至</w:t>
            </w:r>
            <w:r>
              <w:t xml:space="preserve"> 20 </w:t>
            </w:r>
            <w:r>
              <w:rPr>
                <w:rFonts w:hint="eastAsia"/>
              </w:rPr>
              <w:t xml:space="preserve">个月</w:t>
            </w:r>
          </w:p>
        </w:tc>
        <w:tc>
          <w:tcPr/>
          <w:p>
            <w:pPr>
              <w:pStyle w:val="Compact"/>
            </w:pPr>
            <w:r>
              <w:rPr>
                <w:rFonts w:hint="eastAsia"/>
              </w:rPr>
              <w:t xml:space="preserve">是机械竣工前最核心的控制线之一</w:t>
            </w:r>
          </w:p>
        </w:tc>
      </w:tr>
      <w:tr>
        <w:tc>
          <w:tcPr/>
          <w:p>
            <w:pPr>
              <w:pStyle w:val="Compact"/>
            </w:pPr>
            <w:r>
              <w:rPr>
                <w:rFonts w:hint="eastAsia"/>
              </w:rPr>
              <w:t xml:space="preserve">公用工程路径</w:t>
            </w:r>
          </w:p>
        </w:tc>
        <w:tc>
          <w:tcPr/>
          <w:p>
            <w:pPr>
              <w:pStyle w:val="Compact"/>
            </w:pPr>
            <w:r>
              <w:rPr>
                <w:rFonts w:hint="eastAsia"/>
              </w:rPr>
              <w:t xml:space="preserve">变配电、消防水、冷却水、水处理、工厂风/仪表风、氮气等系统形成条件</w:t>
            </w:r>
          </w:p>
        </w:tc>
        <w:tc>
          <w:tcPr/>
          <w:p>
            <w:pPr>
              <w:pStyle w:val="Compact"/>
            </w:pPr>
            <w:r>
              <w:rPr>
                <w:rFonts w:hint="eastAsia"/>
              </w:rPr>
              <w:t xml:space="preserve">约</w:t>
            </w:r>
            <w:r>
              <w:t xml:space="preserve"> 20 </w:t>
            </w:r>
            <w:r>
              <w:rPr>
                <w:rFonts w:hint="eastAsia"/>
              </w:rPr>
              <w:t xml:space="preserve">至</w:t>
            </w:r>
            <w:r>
              <w:t xml:space="preserve"> 22 </w:t>
            </w:r>
            <w:r>
              <w:rPr>
                <w:rFonts w:hint="eastAsia"/>
              </w:rPr>
              <w:t xml:space="preserve">个月</w:t>
            </w:r>
          </w:p>
        </w:tc>
        <w:tc>
          <w:tcPr/>
          <w:p>
            <w:pPr>
              <w:pStyle w:val="Compact"/>
            </w:pPr>
            <w:r>
              <w:rPr>
                <w:rFonts w:hint="eastAsia"/>
              </w:rPr>
              <w:t xml:space="preserve">往往在中后期转为决定全厂条件形成的关键路径</w:t>
            </w:r>
          </w:p>
        </w:tc>
      </w:tr>
      <w:tr>
        <w:tc>
          <w:tcPr/>
          <w:p>
            <w:pPr>
              <w:pStyle w:val="Compact"/>
            </w:pPr>
            <w:r>
              <w:rPr>
                <w:rFonts w:hint="eastAsia"/>
              </w:rPr>
              <w:t xml:space="preserve">配套与厂外连接路径</w:t>
            </w:r>
          </w:p>
        </w:tc>
        <w:tc>
          <w:tcPr/>
          <w:p>
            <w:pPr>
              <w:pStyle w:val="Compact"/>
            </w:pPr>
            <w:r>
              <w:rPr>
                <w:rFonts w:hint="eastAsia"/>
              </w:rPr>
              <w:t xml:space="preserve">罐区、装卸设施、管廊、厂外管线、码头连接、外部公用工程接入、第三方协调</w:t>
            </w:r>
          </w:p>
        </w:tc>
        <w:tc>
          <w:tcPr/>
          <w:p>
            <w:pPr>
              <w:pStyle w:val="Compact"/>
            </w:pPr>
            <w:r>
              <w:rPr>
                <w:rFonts w:hint="eastAsia"/>
              </w:rPr>
              <w:t xml:space="preserve">约</w:t>
            </w:r>
            <w:r>
              <w:t xml:space="preserve"> 22 </w:t>
            </w:r>
            <w:r>
              <w:rPr>
                <w:rFonts w:hint="eastAsia"/>
              </w:rPr>
              <w:t xml:space="preserve">至</w:t>
            </w:r>
            <w:r>
              <w:t xml:space="preserve"> 26 </w:t>
            </w:r>
            <w:r>
              <w:rPr>
                <w:rFonts w:hint="eastAsia"/>
              </w:rPr>
              <w:t xml:space="preserve">个月</w:t>
            </w:r>
          </w:p>
        </w:tc>
        <w:tc>
          <w:tcPr/>
          <w:p>
            <w:pPr>
              <w:pStyle w:val="Compact"/>
            </w:pPr>
            <w:r>
              <w:rPr>
                <w:rFonts w:hint="eastAsia"/>
              </w:rPr>
              <w:t xml:space="preserve">容易在后期由次要路径转为最终控制路径</w:t>
            </w:r>
          </w:p>
        </w:tc>
      </w:tr>
      <w:tr>
        <w:tc>
          <w:tcPr/>
          <w:p>
            <w:pPr>
              <w:pStyle w:val="Compact"/>
            </w:pPr>
            <w:r>
              <w:rPr>
                <w:rFonts w:hint="eastAsia"/>
              </w:rPr>
              <w:t xml:space="preserve">关键物资释放路径</w:t>
            </w:r>
          </w:p>
        </w:tc>
        <w:tc>
          <w:tcPr/>
          <w:p>
            <w:pPr>
              <w:pStyle w:val="Compact"/>
            </w:pPr>
            <w:r>
              <w:rPr>
                <w:rFonts w:hint="eastAsia"/>
              </w:rPr>
              <w:t xml:space="preserve">关键设备、地管材料、钢结构、预制材料和关键电仪设备到场顺序</w:t>
            </w:r>
          </w:p>
        </w:tc>
        <w:tc>
          <w:tcPr/>
          <w:p>
            <w:pPr>
              <w:pStyle w:val="Compact"/>
            </w:pPr>
            <w:r>
              <w:rPr>
                <w:rFonts w:hint="eastAsia"/>
              </w:rPr>
              <w:t xml:space="preserve">约</w:t>
            </w:r>
            <w:r>
              <w:t xml:space="preserve"> 6 </w:t>
            </w:r>
            <w:r>
              <w:rPr>
                <w:rFonts w:hint="eastAsia"/>
              </w:rPr>
              <w:t xml:space="preserve">至</w:t>
            </w:r>
            <w:r>
              <w:t xml:space="preserve"> 18 </w:t>
            </w:r>
            <w:r>
              <w:rPr>
                <w:rFonts w:hint="eastAsia"/>
              </w:rPr>
              <w:t xml:space="preserve">个月滚动控制</w:t>
            </w:r>
          </w:p>
        </w:tc>
        <w:tc>
          <w:tcPr/>
          <w:p>
            <w:pPr>
              <w:pStyle w:val="Compact"/>
            </w:pPr>
            <w:r>
              <w:rPr>
                <w:rFonts w:hint="eastAsia"/>
              </w:rPr>
              <w:t xml:space="preserve">贯穿采购、物流和安装全过程，决定多条路径是否能连续推进</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Critical Path</w:t>
            </w:r>
          </w:p>
        </w:tc>
        <w:tc>
          <w:tcPr/>
          <w:p>
            <w:pPr>
              <w:pStyle w:val="Compact"/>
            </w:pPr>
            <w:r>
              <w:t xml:space="preserve">Main Content</w:t>
            </w:r>
          </w:p>
        </w:tc>
        <w:tc>
          <w:tcPr/>
          <w:p>
            <w:pPr>
              <w:pStyle w:val="Compact"/>
            </w:pPr>
            <w:r>
              <w:t xml:space="preserve">Recommended Control Duration</w:t>
            </w:r>
          </w:p>
        </w:tc>
        <w:tc>
          <w:tcPr/>
          <w:p>
            <w:pPr>
              <w:pStyle w:val="Compact"/>
            </w:pPr>
            <w:r>
              <w:t xml:space="preserve">Remarks</w:t>
            </w:r>
          </w:p>
        </w:tc>
      </w:tr>
      <w:tr>
        <w:tc>
          <w:tcPr/>
          <w:p>
            <w:pPr>
              <w:pStyle w:val="Compact"/>
            </w:pPr>
            <w:r>
              <w:t xml:space="preserve">Main process units path</w:t>
            </w:r>
          </w:p>
        </w:tc>
        <w:tc>
          <w:tcPr/>
          <w:p>
            <w:pPr>
              <w:pStyle w:val="Compact"/>
            </w:pPr>
            <w:r>
              <w:t xml:space="preserve">Release of preconditions, installation of key equipment, process piping, electrical and instrumentation hookup, mechanical completion and unit takeover</w:t>
            </w:r>
          </w:p>
        </w:tc>
        <w:tc>
          <w:tcPr/>
          <w:p>
            <w:pPr>
              <w:pStyle w:val="Compact"/>
            </w:pPr>
            <w:r>
              <w:t xml:space="preserve">Approximately 18 to 20 months</w:t>
            </w:r>
          </w:p>
        </w:tc>
        <w:tc>
          <w:tcPr/>
          <w:p>
            <w:pPr>
              <w:pStyle w:val="Compact"/>
            </w:pPr>
            <w:r>
              <w:t xml:space="preserve">One of the most critical control lines before mechanical completion</w:t>
            </w:r>
          </w:p>
        </w:tc>
      </w:tr>
      <w:tr>
        <w:tc>
          <w:tcPr/>
          <w:p>
            <w:pPr>
              <w:pStyle w:val="Compact"/>
            </w:pPr>
            <w:r>
              <w:t xml:space="preserve">Utilities path</w:t>
            </w:r>
          </w:p>
        </w:tc>
        <w:tc>
          <w:tcPr/>
          <w:p>
            <w:pPr>
              <w:pStyle w:val="Compact"/>
            </w:pPr>
            <w:r>
              <w:t xml:space="preserve">Readiness of power distribution, firefighting water, cooling water, water treatment, plant air/instrument air, nitrogen and similar systems</w:t>
            </w:r>
          </w:p>
        </w:tc>
        <w:tc>
          <w:tcPr/>
          <w:p>
            <w:pPr>
              <w:pStyle w:val="Compact"/>
            </w:pPr>
            <w:r>
              <w:t xml:space="preserve">Approximately 20 to 22 months</w:t>
            </w:r>
          </w:p>
        </w:tc>
        <w:tc>
          <w:tcPr/>
          <w:p>
            <w:pPr>
              <w:pStyle w:val="Compact"/>
            </w:pPr>
            <w:r>
              <w:t xml:space="preserve">Often becomes the key path controlling overall plant readiness in the middle and later stages</w:t>
            </w:r>
          </w:p>
        </w:tc>
      </w:tr>
      <w:tr>
        <w:tc>
          <w:tcPr/>
          <w:p>
            <w:pPr>
              <w:pStyle w:val="Compact"/>
            </w:pPr>
            <w:r>
              <w:t xml:space="preserve">Supporting systems and offsite connection path</w:t>
            </w:r>
          </w:p>
        </w:tc>
        <w:tc>
          <w:tcPr/>
          <w:p>
            <w:pPr>
              <w:pStyle w:val="Compact"/>
            </w:pPr>
            <w:r>
              <w:t xml:space="preserve">Tank farms, loading/unloading facilities, pipe racks, offsite pipelines, jetty connection, external utility tie-ins and third-party coordination</w:t>
            </w:r>
          </w:p>
        </w:tc>
        <w:tc>
          <w:tcPr/>
          <w:p>
            <w:pPr>
              <w:pStyle w:val="Compact"/>
            </w:pPr>
            <w:r>
              <w:t xml:space="preserve">Approximately 22 to 26 months</w:t>
            </w:r>
          </w:p>
        </w:tc>
        <w:tc>
          <w:tcPr/>
          <w:p>
            <w:pPr>
              <w:pStyle w:val="Compact"/>
            </w:pPr>
            <w:r>
              <w:t xml:space="preserve">May evolve from a secondary path into the final controlling path in the late stage</w:t>
            </w:r>
          </w:p>
        </w:tc>
      </w:tr>
      <w:tr>
        <w:tc>
          <w:tcPr/>
          <w:p>
            <w:pPr>
              <w:pStyle w:val="Compact"/>
            </w:pPr>
            <w:r>
              <w:t xml:space="preserve">Key material release path</w:t>
            </w:r>
          </w:p>
        </w:tc>
        <w:tc>
          <w:tcPr/>
          <w:p>
            <w:pPr>
              <w:pStyle w:val="Compact"/>
            </w:pPr>
            <w:r>
              <w:t xml:space="preserve">Arrival sequence of key equipment, underground piping materials, structural steel, prefabricated materials and critical electrical/instrument items</w:t>
            </w:r>
          </w:p>
        </w:tc>
        <w:tc>
          <w:tcPr/>
          <w:p>
            <w:pPr>
              <w:pStyle w:val="Compact"/>
            </w:pPr>
            <w:r>
              <w:t xml:space="preserve">Rolling control over approximately 6 to 18 months</w:t>
            </w:r>
          </w:p>
        </w:tc>
        <w:tc>
          <w:tcPr/>
          <w:p>
            <w:pPr>
              <w:pStyle w:val="Compact"/>
            </w:pPr>
            <w:r>
              <w:t xml:space="preserve">Runs through procurement, logistics and installation, and determines whether multiple paths can proceed continuously</w:t>
            </w:r>
          </w:p>
        </w:tc>
      </w:tr>
    </w:tbl>
    <w:bookmarkEnd w:id="37"/>
    <w:bookmarkStart w:id="38" w:name="Xb60da34657f0705682fc3929aa9d3ca7f581bc6"/>
    <w:p>
      <w:pPr>
        <w:pStyle w:val="Heading3"/>
      </w:pPr>
      <w:r>
        <w:t xml:space="preserve">3. </w:t>
      </w:r>
      <w:r>
        <w:rPr>
          <w:rFonts w:hint="eastAsia"/>
        </w:rPr>
        <w:t xml:space="preserve">可能影响进度的主要因素</w:t>
      </w:r>
      <w:r>
        <w:t xml:space="preserve"> / Major Factors Potentially Affecting Schedule</w:t>
      </w:r>
    </w:p>
    <w:p>
      <w:pPr>
        <w:pStyle w:val="FirstParagraph"/>
      </w:pPr>
      <w:r>
        <w:rPr>
          <w:rFonts w:hint="eastAsia"/>
        </w:rPr>
        <w:t xml:space="preserve">过往项目中，影响进度的因素主要集中在五类。第一，公用工程形成条件偏晚，例如变电站、消防水、冷却水、水处理等系统晚于原计划完成，直接拉长全厂机械竣工和系统移交时间。第二，地管和地下前序条件滞后，压缩后续设备周边完善和地上安装窗口。第三，关键物资到货与施工窗口错位，尤其是地管材料、钢结构、预制材料和少数关键设备，导致部分区域虽已具备部分条件但无法连续施工。第四，厂外管线、码头连接、外部公用工程接入和第三方协调偏慢，容易在项目后期由次要路径转化为主要路径。第五，当地专项验收和</w:t>
      </w:r>
      <w:r>
        <w:t xml:space="preserve"> CCC </w:t>
      </w:r>
      <w:r>
        <w:rPr>
          <w:rFonts w:hint="eastAsia"/>
        </w:rPr>
        <w:t xml:space="preserve">启动偏晚，会在机械竣工之后继续占用收尾时间，影响合法投产和正式移交。</w:t>
      </w:r>
    </w:p>
    <w:p>
      <w:pPr>
        <w:pStyle w:val="BodyText"/>
      </w:pPr>
      <w:r>
        <w:t xml:space="preserve">In previous projects, schedule impacts were mainly concentrated in five categories. First, late readiness of utility systems, such as substations, firefighting water, cooling water and water treatment, directly extended overall mechanical completion and system handover. Second, delays in underground piping and other underground preconditions compressed the later windows for surrounding equipment completion and aboveground installation. Third, misalignment between material arrival and construction windows, especially for underground piping materials, structural steel, prefabricated materials and certain key equipment, caused some areas to become partially ready but unable to proceed continuously. Fourth, slow progress in offsite pipelines, jetty connection, external utility tie-ins and third-party coordination often caused these paths to evolve from secondary paths into main schedule drivers in the late project stage. Fifth, late start of local statutory acceptance and CCC consumed additional close-out time after mechanical completion and affected lawful operation and formal handover.</w:t>
      </w:r>
    </w:p>
    <w:bookmarkEnd w:id="38"/>
    <w:bookmarkStart w:id="39" w:name="Xf9d9e6bd6630b350361591d259df03be8cb64e4"/>
    <w:p>
      <w:pPr>
        <w:pStyle w:val="Heading3"/>
      </w:pPr>
      <w:r>
        <w:t xml:space="preserve">4. </w:t>
      </w:r>
      <w:r>
        <w:rPr>
          <w:rFonts w:hint="eastAsia"/>
        </w:rPr>
        <w:t xml:space="preserve">过往项目典型例子</w:t>
      </w:r>
      <w:r>
        <w:t xml:space="preserve"> / Typical Examples from Previous Projects</w:t>
      </w:r>
    </w:p>
    <w:p>
      <w:pPr>
        <w:pStyle w:val="FirstParagraph"/>
      </w:pPr>
      <w:r>
        <w:rPr>
          <w:rFonts w:hint="eastAsia"/>
        </w:rPr>
        <w:t xml:space="preserve">过往项目中，公用工程和配套系统的延误较为典型。变电站系统级机械竣工里程碑由</w:t>
      </w:r>
      <w:r>
        <w:t xml:space="preserve"> </w:t>
      </w:r>
      <w:r>
        <w:rPr>
          <w:rStyle w:val="VerbatimChar"/>
          <w:rFonts w:hint="eastAsia"/>
        </w:rPr>
        <w:t xml:space="preserve">2024年10月15日</w:t>
      </w:r>
      <w:r>
        <w:t xml:space="preserve"> </w:t>
      </w:r>
      <w:r>
        <w:rPr>
          <w:rFonts w:hint="eastAsia"/>
        </w:rPr>
        <w:t xml:space="preserve">调整为</w:t>
      </w:r>
      <w:r>
        <w:t xml:space="preserve"> </w:t>
      </w:r>
      <w:r>
        <w:rPr>
          <w:rStyle w:val="VerbatimChar"/>
          <w:rFonts w:hint="eastAsia"/>
        </w:rPr>
        <w:t xml:space="preserve">2025年7月22日</w:t>
      </w:r>
      <w:r>
        <w:rPr>
          <w:rFonts w:hint="eastAsia"/>
        </w:rPr>
        <w:t xml:space="preserve">，延后约</w:t>
      </w:r>
      <w:r>
        <w:t xml:space="preserve"> </w:t>
      </w:r>
      <w:r>
        <w:rPr>
          <w:rStyle w:val="VerbatimChar"/>
        </w:rPr>
        <w:t xml:space="preserve">280 </w:t>
      </w:r>
      <w:r>
        <w:rPr>
          <w:rStyle w:val="VerbatimChar"/>
          <w:rFonts w:hint="eastAsia"/>
        </w:rPr>
        <w:t xml:space="preserve">天</w:t>
      </w:r>
      <w:r>
        <w:rPr>
          <w:rFonts w:hint="eastAsia"/>
        </w:rPr>
        <w:t xml:space="preserve">；消防水系统由</w:t>
      </w:r>
      <w:r>
        <w:t xml:space="preserve"> </w:t>
      </w:r>
      <w:r>
        <w:rPr>
          <w:rStyle w:val="VerbatimChar"/>
          <w:rFonts w:hint="eastAsia"/>
        </w:rPr>
        <w:t xml:space="preserve">2024年12月13日</w:t>
      </w:r>
      <w:r>
        <w:t xml:space="preserve"> </w:t>
      </w:r>
      <w:r>
        <w:rPr>
          <w:rFonts w:hint="eastAsia"/>
        </w:rPr>
        <w:t xml:space="preserve">调整为</w:t>
      </w:r>
      <w:r>
        <w:t xml:space="preserve"> </w:t>
      </w:r>
      <w:r>
        <w:rPr>
          <w:rStyle w:val="VerbatimChar"/>
          <w:rFonts w:hint="eastAsia"/>
        </w:rPr>
        <w:t xml:space="preserve">2025年8月7日</w:t>
      </w:r>
      <w:r>
        <w:rPr>
          <w:rFonts w:hint="eastAsia"/>
        </w:rPr>
        <w:t xml:space="preserve">，延后约</w:t>
      </w:r>
      <w:r>
        <w:t xml:space="preserve"> </w:t>
      </w:r>
      <w:r>
        <w:rPr>
          <w:rStyle w:val="VerbatimChar"/>
        </w:rPr>
        <w:t xml:space="preserve">237 </w:t>
      </w:r>
      <w:r>
        <w:rPr>
          <w:rStyle w:val="VerbatimChar"/>
          <w:rFonts w:hint="eastAsia"/>
        </w:rPr>
        <w:t xml:space="preserve">天</w:t>
      </w:r>
      <w:r>
        <w:rPr>
          <w:rFonts w:hint="eastAsia"/>
        </w:rPr>
        <w:t xml:space="preserve">；厂外管线系统由</w:t>
      </w:r>
      <w:r>
        <w:t xml:space="preserve"> </w:t>
      </w:r>
      <w:r>
        <w:rPr>
          <w:rStyle w:val="VerbatimChar"/>
          <w:rFonts w:hint="eastAsia"/>
        </w:rPr>
        <w:t xml:space="preserve">2025年3月31日</w:t>
      </w:r>
      <w:r>
        <w:t xml:space="preserve"> </w:t>
      </w:r>
      <w:r>
        <w:rPr>
          <w:rFonts w:hint="eastAsia"/>
        </w:rPr>
        <w:t xml:space="preserve">调整为</w:t>
      </w:r>
      <w:r>
        <w:t xml:space="preserve"> </w:t>
      </w:r>
      <w:r>
        <w:rPr>
          <w:rStyle w:val="VerbatimChar"/>
          <w:rFonts w:hint="eastAsia"/>
        </w:rPr>
        <w:t xml:space="preserve">2025年10月16日</w:t>
      </w:r>
      <w:r>
        <w:rPr>
          <w:rFonts w:hint="eastAsia"/>
        </w:rPr>
        <w:t xml:space="preserve">，延后约</w:t>
      </w:r>
      <w:r>
        <w:t xml:space="preserve"> </w:t>
      </w:r>
      <w:r>
        <w:rPr>
          <w:rStyle w:val="VerbatimChar"/>
        </w:rPr>
        <w:t xml:space="preserve">199 </w:t>
      </w:r>
      <w:r>
        <w:rPr>
          <w:rStyle w:val="VerbatimChar"/>
          <w:rFonts w:hint="eastAsia"/>
        </w:rPr>
        <w:t xml:space="preserve">天</w:t>
      </w:r>
      <w:r>
        <w:rPr>
          <w:rFonts w:hint="eastAsia"/>
        </w:rPr>
        <w:t xml:space="preserve">；冷却水系统由</w:t>
      </w:r>
      <w:r>
        <w:t xml:space="preserve"> </w:t>
      </w:r>
      <w:r>
        <w:rPr>
          <w:rStyle w:val="VerbatimChar"/>
          <w:rFonts w:hint="eastAsia"/>
        </w:rPr>
        <w:t xml:space="preserve">2024年10月25日</w:t>
      </w:r>
      <w:r>
        <w:t xml:space="preserve"> </w:t>
      </w:r>
      <w:r>
        <w:rPr>
          <w:rFonts w:hint="eastAsia"/>
        </w:rPr>
        <w:t xml:space="preserve">调整为</w:t>
      </w:r>
      <w:r>
        <w:t xml:space="preserve"> </w:t>
      </w:r>
      <w:r>
        <w:rPr>
          <w:rStyle w:val="VerbatimChar"/>
          <w:rFonts w:hint="eastAsia"/>
        </w:rPr>
        <w:t xml:space="preserve">2025年5月9日</w:t>
      </w:r>
      <w:r>
        <w:rPr>
          <w:rFonts w:hint="eastAsia"/>
        </w:rPr>
        <w:t xml:space="preserve">，延后约</w:t>
      </w:r>
      <w:r>
        <w:t xml:space="preserve"> </w:t>
      </w:r>
      <w:r>
        <w:rPr>
          <w:rStyle w:val="VerbatimChar"/>
        </w:rPr>
        <w:t xml:space="preserve">196 </w:t>
      </w:r>
      <w:r>
        <w:rPr>
          <w:rStyle w:val="VerbatimChar"/>
          <w:rFonts w:hint="eastAsia"/>
        </w:rPr>
        <w:t xml:space="preserve">天</w:t>
      </w:r>
      <w:r>
        <w:rPr>
          <w:rFonts w:hint="eastAsia"/>
        </w:rPr>
        <w:t xml:space="preserve">；城市水及</w:t>
      </w:r>
      <w:r>
        <w:t xml:space="preserve"> </w:t>
      </w:r>
      <w:r>
        <w:rPr>
          <w:rStyle w:val="VerbatimChar"/>
        </w:rPr>
        <w:t xml:space="preserve">DI</w:t>
      </w:r>
      <w:r>
        <w:t xml:space="preserve"> </w:t>
      </w:r>
      <w:r>
        <w:rPr>
          <w:rFonts w:hint="eastAsia"/>
        </w:rPr>
        <w:t xml:space="preserve">水系统由</w:t>
      </w:r>
      <w:r>
        <w:t xml:space="preserve"> </w:t>
      </w:r>
      <w:r>
        <w:rPr>
          <w:rStyle w:val="VerbatimChar"/>
          <w:rFonts w:hint="eastAsia"/>
        </w:rPr>
        <w:t xml:space="preserve">2024年11月29日</w:t>
      </w:r>
      <w:r>
        <w:t xml:space="preserve"> </w:t>
      </w:r>
      <w:r>
        <w:rPr>
          <w:rFonts w:hint="eastAsia"/>
        </w:rPr>
        <w:t xml:space="preserve">调整为</w:t>
      </w:r>
      <w:r>
        <w:t xml:space="preserve"> </w:t>
      </w:r>
      <w:r>
        <w:rPr>
          <w:rStyle w:val="VerbatimChar"/>
          <w:rFonts w:hint="eastAsia"/>
        </w:rPr>
        <w:t xml:space="preserve">2025年6月5日</w:t>
      </w:r>
      <w:r>
        <w:rPr>
          <w:rFonts w:hint="eastAsia"/>
        </w:rPr>
        <w:t xml:space="preserve">，延后约</w:t>
      </w:r>
      <w:r>
        <w:t xml:space="preserve"> </w:t>
      </w:r>
      <w:r>
        <w:rPr>
          <w:rStyle w:val="VerbatimChar"/>
        </w:rPr>
        <w:t xml:space="preserve">188 </w:t>
      </w:r>
      <w:r>
        <w:rPr>
          <w:rStyle w:val="VerbatimChar"/>
          <w:rFonts w:hint="eastAsia"/>
        </w:rPr>
        <w:t xml:space="preserve">天</w:t>
      </w:r>
      <w:r>
        <w:rPr>
          <w:rFonts w:hint="eastAsia"/>
        </w:rPr>
        <w:t xml:space="preserve">。地管样本中，辅助区地管安装及试压由</w:t>
      </w:r>
      <w:r>
        <w:t xml:space="preserve"> </w:t>
      </w:r>
      <w:r>
        <w:rPr>
          <w:rStyle w:val="VerbatimChar"/>
          <w:rFonts w:hint="eastAsia"/>
        </w:rPr>
        <w:t xml:space="preserve">2024年4月25日</w:t>
      </w:r>
      <w:r>
        <w:t xml:space="preserve"> </w:t>
      </w:r>
      <w:r>
        <w:rPr>
          <w:rFonts w:hint="eastAsia"/>
        </w:rPr>
        <w:t xml:space="preserve">延后至</w:t>
      </w:r>
      <w:r>
        <w:t xml:space="preserve"> </w:t>
      </w:r>
      <w:r>
        <w:rPr>
          <w:rStyle w:val="VerbatimChar"/>
          <w:rFonts w:hint="eastAsia"/>
        </w:rPr>
        <w:t xml:space="preserve">2024年9月14日</w:t>
      </w:r>
      <w:r>
        <w:rPr>
          <w:rFonts w:hint="eastAsia"/>
        </w:rPr>
        <w:t xml:space="preserve">，延后约</w:t>
      </w:r>
      <w:r>
        <w:t xml:space="preserve"> </w:t>
      </w:r>
      <w:r>
        <w:rPr>
          <w:rStyle w:val="VerbatimChar"/>
        </w:rPr>
        <w:t xml:space="preserve">142 </w:t>
      </w:r>
      <w:r>
        <w:rPr>
          <w:rStyle w:val="VerbatimChar"/>
          <w:rFonts w:hint="eastAsia"/>
        </w:rPr>
        <w:t xml:space="preserve">天</w:t>
      </w:r>
      <w:r>
        <w:rPr>
          <w:rFonts w:hint="eastAsia"/>
        </w:rPr>
        <w:t xml:space="preserve">；回填由</w:t>
      </w:r>
      <w:r>
        <w:t xml:space="preserve"> </w:t>
      </w:r>
      <w:r>
        <w:rPr>
          <w:rStyle w:val="VerbatimChar"/>
          <w:rFonts w:hint="eastAsia"/>
        </w:rPr>
        <w:t xml:space="preserve">2024年4月27日</w:t>
      </w:r>
      <w:r>
        <w:t xml:space="preserve"> </w:t>
      </w:r>
      <w:r>
        <w:rPr>
          <w:rFonts w:hint="eastAsia"/>
        </w:rPr>
        <w:t xml:space="preserve">延后至</w:t>
      </w:r>
      <w:r>
        <w:t xml:space="preserve"> </w:t>
      </w:r>
      <w:r>
        <w:rPr>
          <w:rStyle w:val="VerbatimChar"/>
          <w:rFonts w:hint="eastAsia"/>
        </w:rPr>
        <w:t xml:space="preserve">2024年9月16日</w:t>
      </w:r>
      <w:r>
        <w:rPr>
          <w:rFonts w:hint="eastAsia"/>
        </w:rPr>
        <w:t xml:space="preserve">，延后约</w:t>
      </w:r>
      <w:r>
        <w:t xml:space="preserve"> </w:t>
      </w:r>
      <w:r>
        <w:rPr>
          <w:rStyle w:val="VerbatimChar"/>
        </w:rPr>
        <w:t xml:space="preserve">142 </w:t>
      </w:r>
      <w:r>
        <w:rPr>
          <w:rStyle w:val="VerbatimChar"/>
          <w:rFonts w:hint="eastAsia"/>
        </w:rPr>
        <w:t xml:space="preserve">天</w:t>
      </w:r>
      <w:r>
        <w:rPr>
          <w:rFonts w:hint="eastAsia"/>
        </w:rPr>
        <w:t xml:space="preserve">；其他区域地管延后也普遍在</w:t>
      </w:r>
      <w:r>
        <w:t xml:space="preserve"> </w:t>
      </w:r>
      <w:r>
        <w:rPr>
          <w:rStyle w:val="VerbatimChar"/>
        </w:rPr>
        <w:t xml:space="preserve">50 </w:t>
      </w:r>
      <w:r>
        <w:rPr>
          <w:rStyle w:val="VerbatimChar"/>
          <w:rFonts w:hint="eastAsia"/>
        </w:rPr>
        <w:t xml:space="preserve">天</w:t>
      </w:r>
      <w:r>
        <w:t xml:space="preserve"> </w:t>
      </w:r>
      <w:r>
        <w:rPr>
          <w:rFonts w:hint="eastAsia"/>
        </w:rPr>
        <w:t xml:space="preserve">以上。土建包基准完成时间为</w:t>
      </w:r>
      <w:r>
        <w:t xml:space="preserve"> </w:t>
      </w:r>
      <w:r>
        <w:rPr>
          <w:rStyle w:val="VerbatimChar"/>
          <w:rFonts w:hint="eastAsia"/>
        </w:rPr>
        <w:t xml:space="preserve">2024年2月28日</w:t>
      </w:r>
      <w:r>
        <w:rPr>
          <w:rFonts w:hint="eastAsia"/>
        </w:rPr>
        <w:t xml:space="preserve">，预测完成时间调整为</w:t>
      </w:r>
      <w:r>
        <w:t xml:space="preserve"> </w:t>
      </w:r>
      <w:r>
        <w:rPr>
          <w:rStyle w:val="VerbatimChar"/>
          <w:rFonts w:hint="eastAsia"/>
        </w:rPr>
        <w:t xml:space="preserve">2024年6月5日</w:t>
      </w:r>
      <w:r>
        <w:rPr>
          <w:rFonts w:hint="eastAsia"/>
        </w:rPr>
        <w:t xml:space="preserve">，较基准延后约</w:t>
      </w:r>
      <w:r>
        <w:t xml:space="preserve"> </w:t>
      </w:r>
      <w:r>
        <w:rPr>
          <w:rStyle w:val="VerbatimChar"/>
        </w:rPr>
        <w:t xml:space="preserve">98 </w:t>
      </w:r>
      <w:r>
        <w:rPr>
          <w:rStyle w:val="VerbatimChar"/>
          <w:rFonts w:hint="eastAsia"/>
        </w:rPr>
        <w:t xml:space="preserve">天</w:t>
      </w:r>
      <w:r>
        <w:rPr>
          <w:rFonts w:hint="eastAsia"/>
        </w:rPr>
        <w:t xml:space="preserve">。当地验收方面，质量资料显示政府专项验收和</w:t>
      </w:r>
      <w:r>
        <w:t xml:space="preserve"> CCC </w:t>
      </w:r>
      <w:r>
        <w:rPr>
          <w:rFonts w:hint="eastAsia"/>
        </w:rPr>
        <w:t xml:space="preserve">通常至少需要</w:t>
      </w:r>
      <w:r>
        <w:t xml:space="preserve"> </w:t>
      </w:r>
      <w:r>
        <w:rPr>
          <w:rStyle w:val="VerbatimChar"/>
        </w:rPr>
        <w:t xml:space="preserve">3 </w:t>
      </w:r>
      <w:r>
        <w:rPr>
          <w:rStyle w:val="VerbatimChar"/>
          <w:rFonts w:hint="eastAsia"/>
        </w:rPr>
        <w:t xml:space="preserve">至</w:t>
      </w:r>
      <w:r>
        <w:rPr>
          <w:rStyle w:val="VerbatimChar"/>
        </w:rPr>
        <w:t xml:space="preserve"> 4 </w:t>
      </w:r>
      <w:r>
        <w:rPr>
          <w:rStyle w:val="VerbatimChar"/>
          <w:rFonts w:hint="eastAsia"/>
        </w:rPr>
        <w:t xml:space="preserve">个月</w:t>
      </w:r>
      <w:r>
        <w:rPr>
          <w:rFonts w:hint="eastAsia"/>
        </w:rPr>
        <w:t xml:space="preserve">，并且在</w:t>
      </w:r>
      <w:r>
        <w:t xml:space="preserve"> CCC </w:t>
      </w:r>
      <w:r>
        <w:rPr>
          <w:rFonts w:hint="eastAsia"/>
        </w:rPr>
        <w:t xml:space="preserve">之前还需完成消防、DOSH、环境及地方政府等多项专项验收，因此当地验收不能放在最后单独处理，而应在后期工程收尾阶段同步启动。</w:t>
      </w:r>
    </w:p>
    <w:p>
      <w:pPr>
        <w:pStyle w:val="BodyText"/>
      </w:pPr>
      <w:r>
        <w:t xml:space="preserve">In previous projects, delays in utilities and supporting systems were particularly representative. The system-level mechanical completion milestone for the substation changed from</w:t>
      </w:r>
      <w:r>
        <w:t xml:space="preserve"> </w:t>
      </w:r>
      <w:r>
        <w:rPr>
          <w:rStyle w:val="VerbatimChar"/>
        </w:rPr>
        <w:t xml:space="preserve">October 15, 2024</w:t>
      </w:r>
      <w:r>
        <w:t xml:space="preserve"> </w:t>
      </w:r>
      <w:r>
        <w:t xml:space="preserve">to</w:t>
      </w:r>
      <w:r>
        <w:t xml:space="preserve"> </w:t>
      </w:r>
      <w:r>
        <w:rPr>
          <w:rStyle w:val="VerbatimChar"/>
        </w:rPr>
        <w:t xml:space="preserve">July 22, 2025</w:t>
      </w:r>
      <w:r>
        <w:t xml:space="preserve">, a delay of about</w:t>
      </w:r>
      <w:r>
        <w:t xml:space="preserve"> </w:t>
      </w:r>
      <w:r>
        <w:rPr>
          <w:rStyle w:val="VerbatimChar"/>
        </w:rPr>
        <w:t xml:space="preserve">280 days</w:t>
      </w:r>
      <w:r>
        <w:t xml:space="preserve">. The firefighting water system changed from</w:t>
      </w:r>
      <w:r>
        <w:t xml:space="preserve"> </w:t>
      </w:r>
      <w:r>
        <w:rPr>
          <w:rStyle w:val="VerbatimChar"/>
        </w:rPr>
        <w:t xml:space="preserve">December 13, 2024</w:t>
      </w:r>
      <w:r>
        <w:t xml:space="preserve"> </w:t>
      </w:r>
      <w:r>
        <w:t xml:space="preserve">to</w:t>
      </w:r>
      <w:r>
        <w:t xml:space="preserve"> </w:t>
      </w:r>
      <w:r>
        <w:rPr>
          <w:rStyle w:val="VerbatimChar"/>
        </w:rPr>
        <w:t xml:space="preserve">August 7, 2025</w:t>
      </w:r>
      <w:r>
        <w:t xml:space="preserve">, a delay of about</w:t>
      </w:r>
      <w:r>
        <w:t xml:space="preserve"> </w:t>
      </w:r>
      <w:r>
        <w:rPr>
          <w:rStyle w:val="VerbatimChar"/>
        </w:rPr>
        <w:t xml:space="preserve">237 days</w:t>
      </w:r>
      <w:r>
        <w:t xml:space="preserve">. The offsite pipeline system changed from</w:t>
      </w:r>
      <w:r>
        <w:t xml:space="preserve"> </w:t>
      </w:r>
      <w:r>
        <w:rPr>
          <w:rStyle w:val="VerbatimChar"/>
        </w:rPr>
        <w:t xml:space="preserve">March 31, 2025</w:t>
      </w:r>
      <w:r>
        <w:t xml:space="preserve"> </w:t>
      </w:r>
      <w:r>
        <w:t xml:space="preserve">to</w:t>
      </w:r>
      <w:r>
        <w:t xml:space="preserve"> </w:t>
      </w:r>
      <w:r>
        <w:rPr>
          <w:rStyle w:val="VerbatimChar"/>
        </w:rPr>
        <w:t xml:space="preserve">October 16, 2025</w:t>
      </w:r>
      <w:r>
        <w:t xml:space="preserve">, a delay of about</w:t>
      </w:r>
      <w:r>
        <w:t xml:space="preserve"> </w:t>
      </w:r>
      <w:r>
        <w:rPr>
          <w:rStyle w:val="VerbatimChar"/>
        </w:rPr>
        <w:t xml:space="preserve">199 days</w:t>
      </w:r>
      <w:r>
        <w:t xml:space="preserve">. The cooling water system changed from</w:t>
      </w:r>
      <w:r>
        <w:t xml:space="preserve"> </w:t>
      </w:r>
      <w:r>
        <w:rPr>
          <w:rStyle w:val="VerbatimChar"/>
        </w:rPr>
        <w:t xml:space="preserve">October 25, 2024</w:t>
      </w:r>
      <w:r>
        <w:t xml:space="preserve"> </w:t>
      </w:r>
      <w:r>
        <w:t xml:space="preserve">to</w:t>
      </w:r>
      <w:r>
        <w:t xml:space="preserve"> </w:t>
      </w:r>
      <w:r>
        <w:rPr>
          <w:rStyle w:val="VerbatimChar"/>
        </w:rPr>
        <w:t xml:space="preserve">May 9, 2025</w:t>
      </w:r>
      <w:r>
        <w:t xml:space="preserve">, a delay of about</w:t>
      </w:r>
      <w:r>
        <w:t xml:space="preserve"> </w:t>
      </w:r>
      <w:r>
        <w:rPr>
          <w:rStyle w:val="VerbatimChar"/>
        </w:rPr>
        <w:t xml:space="preserve">196 days</w:t>
      </w:r>
      <w:r>
        <w:t xml:space="preserve">. The city water and</w:t>
      </w:r>
      <w:r>
        <w:t xml:space="preserve"> </w:t>
      </w:r>
      <w:r>
        <w:rPr>
          <w:rStyle w:val="VerbatimChar"/>
        </w:rPr>
        <w:t xml:space="preserve">DI</w:t>
      </w:r>
      <w:r>
        <w:t xml:space="preserve"> </w:t>
      </w:r>
      <w:r>
        <w:t xml:space="preserve">water system changed from</w:t>
      </w:r>
      <w:r>
        <w:t xml:space="preserve"> </w:t>
      </w:r>
      <w:r>
        <w:rPr>
          <w:rStyle w:val="VerbatimChar"/>
        </w:rPr>
        <w:t xml:space="preserve">November 29, 2024</w:t>
      </w:r>
      <w:r>
        <w:t xml:space="preserve"> </w:t>
      </w:r>
      <w:r>
        <w:t xml:space="preserve">to</w:t>
      </w:r>
      <w:r>
        <w:t xml:space="preserve"> </w:t>
      </w:r>
      <w:r>
        <w:rPr>
          <w:rStyle w:val="VerbatimChar"/>
        </w:rPr>
        <w:t xml:space="preserve">June 5, 2025</w:t>
      </w:r>
      <w:r>
        <w:t xml:space="preserve">, a delay of about</w:t>
      </w:r>
      <w:r>
        <w:t xml:space="preserve"> </w:t>
      </w:r>
      <w:r>
        <w:rPr>
          <w:rStyle w:val="VerbatimChar"/>
        </w:rPr>
        <w:t xml:space="preserve">188 days</w:t>
      </w:r>
      <w:r>
        <w:t xml:space="preserve">. For underground piping samples, installation and pressure testing in one auxiliary area slipped from</w:t>
      </w:r>
      <w:r>
        <w:t xml:space="preserve"> </w:t>
      </w:r>
      <w:r>
        <w:rPr>
          <w:rStyle w:val="VerbatimChar"/>
        </w:rPr>
        <w:t xml:space="preserve">April 25, 2024</w:t>
      </w:r>
      <w:r>
        <w:t xml:space="preserve"> </w:t>
      </w:r>
      <w:r>
        <w:t xml:space="preserve">to</w:t>
      </w:r>
      <w:r>
        <w:t xml:space="preserve"> </w:t>
      </w:r>
      <w:r>
        <w:rPr>
          <w:rStyle w:val="VerbatimChar"/>
        </w:rPr>
        <w:t xml:space="preserve">September 14, 2024</w:t>
      </w:r>
      <w:r>
        <w:t xml:space="preserve">, a delay of about</w:t>
      </w:r>
      <w:r>
        <w:t xml:space="preserve"> </w:t>
      </w:r>
      <w:r>
        <w:rPr>
          <w:rStyle w:val="VerbatimChar"/>
        </w:rPr>
        <w:t xml:space="preserve">142 days</w:t>
      </w:r>
      <w:r>
        <w:t xml:space="preserve">; backfilling slipped from</w:t>
      </w:r>
      <w:r>
        <w:t xml:space="preserve"> </w:t>
      </w:r>
      <w:r>
        <w:rPr>
          <w:rStyle w:val="VerbatimChar"/>
        </w:rPr>
        <w:t xml:space="preserve">April 27, 2024</w:t>
      </w:r>
      <w:r>
        <w:t xml:space="preserve"> </w:t>
      </w:r>
      <w:r>
        <w:t xml:space="preserve">to</w:t>
      </w:r>
      <w:r>
        <w:t xml:space="preserve"> </w:t>
      </w:r>
      <w:r>
        <w:rPr>
          <w:rStyle w:val="VerbatimChar"/>
        </w:rPr>
        <w:t xml:space="preserve">September 16, 2024</w:t>
      </w:r>
      <w:r>
        <w:t xml:space="preserve">, also a delay of about</w:t>
      </w:r>
      <w:r>
        <w:t xml:space="preserve"> </w:t>
      </w:r>
      <w:r>
        <w:rPr>
          <w:rStyle w:val="VerbatimChar"/>
        </w:rPr>
        <w:t xml:space="preserve">142 days</w:t>
      </w:r>
      <w:r>
        <w:t xml:space="preserve">. Other underground piping areas also commonly showed delays of more than</w:t>
      </w:r>
      <w:r>
        <w:t xml:space="preserve"> </w:t>
      </w:r>
      <w:r>
        <w:rPr>
          <w:rStyle w:val="VerbatimChar"/>
        </w:rPr>
        <w:t xml:space="preserve">50 days</w:t>
      </w:r>
      <w:r>
        <w:t xml:space="preserve">. The baseline completion date for the civil works package was</w:t>
      </w:r>
      <w:r>
        <w:t xml:space="preserve"> </w:t>
      </w:r>
      <w:r>
        <w:rPr>
          <w:rStyle w:val="VerbatimChar"/>
        </w:rPr>
        <w:t xml:space="preserve">February 28, 2024</w:t>
      </w:r>
      <w:r>
        <w:t xml:space="preserve">, while the forecast completion date moved to</w:t>
      </w:r>
      <w:r>
        <w:t xml:space="preserve"> </w:t>
      </w:r>
      <w:r>
        <w:rPr>
          <w:rStyle w:val="VerbatimChar"/>
        </w:rPr>
        <w:t xml:space="preserve">June 5, 2024</w:t>
      </w:r>
      <w:r>
        <w:t xml:space="preserve">, representing a delay of about</w:t>
      </w:r>
      <w:r>
        <w:t xml:space="preserve"> </w:t>
      </w:r>
      <w:r>
        <w:rPr>
          <w:rStyle w:val="VerbatimChar"/>
        </w:rPr>
        <w:t xml:space="preserve">98 days</w:t>
      </w:r>
      <w:r>
        <w:t xml:space="preserve">. In terms of local acceptance, quality records show that government special acceptance procedures and CCC usually require at least</w:t>
      </w:r>
      <w:r>
        <w:t xml:space="preserve"> </w:t>
      </w:r>
      <w:r>
        <w:rPr>
          <w:rStyle w:val="VerbatimChar"/>
        </w:rPr>
        <w:t xml:space="preserve">3 to 4 months</w:t>
      </w:r>
      <w:r>
        <w:t xml:space="preserve">, and that multiple statutory inspections such as fire, DOSH, environmental and local authority approvals must be completed before CCC. Local acceptance therefore should not be treated as a final standalone step, but should be started in parallel during the close-out stage of construction.</w:t>
      </w:r>
    </w:p>
    <w:p>
      <w:pPr>
        <w:pStyle w:val="BodyText"/>
      </w:pPr>
      <w:r>
        <w:rPr>
          <w:rFonts w:hint="eastAsia"/>
        </w:rPr>
        <w:t xml:space="preserve">中文表：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典型事项</w:t>
            </w:r>
          </w:p>
        </w:tc>
        <w:tc>
          <w:tcPr/>
          <w:p>
            <w:pPr>
              <w:pStyle w:val="Compact"/>
            </w:pPr>
            <w:r>
              <w:rPr>
                <w:rFonts w:hint="eastAsia"/>
              </w:rPr>
              <w:t xml:space="preserve">原计划/基准</w:t>
            </w:r>
          </w:p>
        </w:tc>
        <w:tc>
          <w:tcPr/>
          <w:p>
            <w:pPr>
              <w:pStyle w:val="Compact"/>
            </w:pPr>
            <w:r>
              <w:rPr>
                <w:rFonts w:hint="eastAsia"/>
              </w:rPr>
              <w:t xml:space="preserve">调整后</w:t>
            </w:r>
          </w:p>
        </w:tc>
        <w:tc>
          <w:tcPr/>
          <w:p>
            <w:pPr>
              <w:pStyle w:val="Compact"/>
            </w:pPr>
            <w:r>
              <w:rPr>
                <w:rFonts w:hint="eastAsia"/>
              </w:rPr>
              <w:t xml:space="preserve">延后情况</w:t>
            </w:r>
          </w:p>
        </w:tc>
      </w:tr>
      <w:tr>
        <w:tc>
          <w:tcPr/>
          <w:p>
            <w:pPr>
              <w:pStyle w:val="Compact"/>
            </w:pPr>
            <w:r>
              <w:rPr>
                <w:rFonts w:hint="eastAsia"/>
              </w:rPr>
              <w:t xml:space="preserve">变电站系统机械竣工</w:t>
            </w:r>
          </w:p>
        </w:tc>
        <w:tc>
          <w:tcPr/>
          <w:p>
            <w:pPr>
              <w:pStyle w:val="Compact"/>
            </w:pPr>
            <w:r>
              <w:t xml:space="preserve">2024-10-15</w:t>
            </w:r>
          </w:p>
        </w:tc>
        <w:tc>
          <w:tcPr/>
          <w:p>
            <w:pPr>
              <w:pStyle w:val="Compact"/>
            </w:pPr>
            <w:r>
              <w:t xml:space="preserve">2025-07-22</w:t>
            </w:r>
          </w:p>
        </w:tc>
        <w:tc>
          <w:tcPr/>
          <w:p>
            <w:pPr>
              <w:pStyle w:val="Compact"/>
            </w:pPr>
            <w:r>
              <w:rPr>
                <w:rFonts w:hint="eastAsia"/>
              </w:rPr>
              <w:t xml:space="preserve">约</w:t>
            </w:r>
            <w:r>
              <w:t xml:space="preserve"> 280 </w:t>
            </w:r>
            <w:r>
              <w:rPr>
                <w:rFonts w:hint="eastAsia"/>
              </w:rPr>
              <w:t xml:space="preserve">天</w:t>
            </w:r>
          </w:p>
        </w:tc>
      </w:tr>
      <w:tr>
        <w:tc>
          <w:tcPr/>
          <w:p>
            <w:pPr>
              <w:pStyle w:val="Compact"/>
            </w:pPr>
            <w:r>
              <w:rPr>
                <w:rFonts w:hint="eastAsia"/>
              </w:rPr>
              <w:t xml:space="preserve">消防水系统机械竣工</w:t>
            </w:r>
          </w:p>
        </w:tc>
        <w:tc>
          <w:tcPr/>
          <w:p>
            <w:pPr>
              <w:pStyle w:val="Compact"/>
            </w:pPr>
            <w:r>
              <w:t xml:space="preserve">2024-12-13</w:t>
            </w:r>
          </w:p>
        </w:tc>
        <w:tc>
          <w:tcPr/>
          <w:p>
            <w:pPr>
              <w:pStyle w:val="Compact"/>
            </w:pPr>
            <w:r>
              <w:t xml:space="preserve">2025-08-07</w:t>
            </w:r>
          </w:p>
        </w:tc>
        <w:tc>
          <w:tcPr/>
          <w:p>
            <w:pPr>
              <w:pStyle w:val="Compact"/>
            </w:pPr>
            <w:r>
              <w:rPr>
                <w:rFonts w:hint="eastAsia"/>
              </w:rPr>
              <w:t xml:space="preserve">约</w:t>
            </w:r>
            <w:r>
              <w:t xml:space="preserve"> 237 </w:t>
            </w:r>
            <w:r>
              <w:rPr>
                <w:rFonts w:hint="eastAsia"/>
              </w:rPr>
              <w:t xml:space="preserve">天</w:t>
            </w:r>
          </w:p>
        </w:tc>
      </w:tr>
      <w:tr>
        <w:tc>
          <w:tcPr/>
          <w:p>
            <w:pPr>
              <w:pStyle w:val="Compact"/>
            </w:pPr>
            <w:r>
              <w:rPr>
                <w:rFonts w:hint="eastAsia"/>
              </w:rPr>
              <w:t xml:space="preserve">厂外管线系统机械竣工</w:t>
            </w:r>
          </w:p>
        </w:tc>
        <w:tc>
          <w:tcPr/>
          <w:p>
            <w:pPr>
              <w:pStyle w:val="Compact"/>
            </w:pPr>
            <w:r>
              <w:t xml:space="preserve">2025-03-31</w:t>
            </w:r>
          </w:p>
        </w:tc>
        <w:tc>
          <w:tcPr/>
          <w:p>
            <w:pPr>
              <w:pStyle w:val="Compact"/>
            </w:pPr>
            <w:r>
              <w:t xml:space="preserve">2025-10-16</w:t>
            </w:r>
          </w:p>
        </w:tc>
        <w:tc>
          <w:tcPr/>
          <w:p>
            <w:pPr>
              <w:pStyle w:val="Compact"/>
            </w:pPr>
            <w:r>
              <w:rPr>
                <w:rFonts w:hint="eastAsia"/>
              </w:rPr>
              <w:t xml:space="preserve">约</w:t>
            </w:r>
            <w:r>
              <w:t xml:space="preserve"> 199 </w:t>
            </w:r>
            <w:r>
              <w:rPr>
                <w:rFonts w:hint="eastAsia"/>
              </w:rPr>
              <w:t xml:space="preserve">天</w:t>
            </w:r>
          </w:p>
        </w:tc>
      </w:tr>
      <w:tr>
        <w:tc>
          <w:tcPr/>
          <w:p>
            <w:pPr>
              <w:pStyle w:val="Compact"/>
            </w:pPr>
            <w:r>
              <w:rPr>
                <w:rFonts w:hint="eastAsia"/>
              </w:rPr>
              <w:t xml:space="preserve">冷却水系统机械竣工</w:t>
            </w:r>
          </w:p>
        </w:tc>
        <w:tc>
          <w:tcPr/>
          <w:p>
            <w:pPr>
              <w:pStyle w:val="Compact"/>
            </w:pPr>
            <w:r>
              <w:t xml:space="preserve">2024-10-25</w:t>
            </w:r>
          </w:p>
        </w:tc>
        <w:tc>
          <w:tcPr/>
          <w:p>
            <w:pPr>
              <w:pStyle w:val="Compact"/>
            </w:pPr>
            <w:r>
              <w:t xml:space="preserve">2025-05-09</w:t>
            </w:r>
          </w:p>
        </w:tc>
        <w:tc>
          <w:tcPr/>
          <w:p>
            <w:pPr>
              <w:pStyle w:val="Compact"/>
            </w:pPr>
            <w:r>
              <w:rPr>
                <w:rFonts w:hint="eastAsia"/>
              </w:rPr>
              <w:t xml:space="preserve">约</w:t>
            </w:r>
            <w:r>
              <w:t xml:space="preserve"> 196 </w:t>
            </w:r>
            <w:r>
              <w:rPr>
                <w:rFonts w:hint="eastAsia"/>
              </w:rPr>
              <w:t xml:space="preserve">天</w:t>
            </w:r>
          </w:p>
        </w:tc>
      </w:tr>
      <w:tr>
        <w:tc>
          <w:tcPr/>
          <w:p>
            <w:pPr>
              <w:pStyle w:val="Compact"/>
            </w:pPr>
            <w:r>
              <w:rPr>
                <w:rFonts w:hint="eastAsia"/>
              </w:rPr>
              <w:t xml:space="preserve">城市水及</w:t>
            </w:r>
            <w:r>
              <w:t xml:space="preserve"> DI </w:t>
            </w:r>
            <w:r>
              <w:rPr>
                <w:rFonts w:hint="eastAsia"/>
              </w:rPr>
              <w:t xml:space="preserve">水系统机械竣工</w:t>
            </w:r>
          </w:p>
        </w:tc>
        <w:tc>
          <w:tcPr/>
          <w:p>
            <w:pPr>
              <w:pStyle w:val="Compact"/>
            </w:pPr>
            <w:r>
              <w:t xml:space="preserve">2024-11-29</w:t>
            </w:r>
          </w:p>
        </w:tc>
        <w:tc>
          <w:tcPr/>
          <w:p>
            <w:pPr>
              <w:pStyle w:val="Compact"/>
            </w:pPr>
            <w:r>
              <w:t xml:space="preserve">2025-06-05</w:t>
            </w:r>
          </w:p>
        </w:tc>
        <w:tc>
          <w:tcPr/>
          <w:p>
            <w:pPr>
              <w:pStyle w:val="Compact"/>
            </w:pPr>
            <w:r>
              <w:rPr>
                <w:rFonts w:hint="eastAsia"/>
              </w:rPr>
              <w:t xml:space="preserve">约</w:t>
            </w:r>
            <w:r>
              <w:t xml:space="preserve"> 188 </w:t>
            </w:r>
            <w:r>
              <w:rPr>
                <w:rFonts w:hint="eastAsia"/>
              </w:rPr>
              <w:t xml:space="preserve">天</w:t>
            </w:r>
          </w:p>
        </w:tc>
      </w:tr>
      <w:tr>
        <w:tc>
          <w:tcPr/>
          <w:p>
            <w:pPr>
              <w:pStyle w:val="Compact"/>
            </w:pPr>
            <w:r>
              <w:rPr>
                <w:rFonts w:hint="eastAsia"/>
              </w:rPr>
              <w:t xml:space="preserve">辅助区地管安装及试压</w:t>
            </w:r>
          </w:p>
        </w:tc>
        <w:tc>
          <w:tcPr/>
          <w:p>
            <w:pPr>
              <w:pStyle w:val="Compact"/>
            </w:pPr>
            <w:r>
              <w:t xml:space="preserve">2024-04-25</w:t>
            </w:r>
          </w:p>
        </w:tc>
        <w:tc>
          <w:tcPr/>
          <w:p>
            <w:pPr>
              <w:pStyle w:val="Compact"/>
            </w:pPr>
            <w:r>
              <w:t xml:space="preserve">2024-09-14</w:t>
            </w:r>
          </w:p>
        </w:tc>
        <w:tc>
          <w:tcPr/>
          <w:p>
            <w:pPr>
              <w:pStyle w:val="Compact"/>
            </w:pPr>
            <w:r>
              <w:rPr>
                <w:rFonts w:hint="eastAsia"/>
              </w:rPr>
              <w:t xml:space="preserve">约</w:t>
            </w:r>
            <w:r>
              <w:t xml:space="preserve"> 142 </w:t>
            </w:r>
            <w:r>
              <w:rPr>
                <w:rFonts w:hint="eastAsia"/>
              </w:rPr>
              <w:t xml:space="preserve">天</w:t>
            </w:r>
          </w:p>
        </w:tc>
      </w:tr>
      <w:tr>
        <w:tc>
          <w:tcPr/>
          <w:p>
            <w:pPr>
              <w:pStyle w:val="Compact"/>
            </w:pPr>
            <w:r>
              <w:rPr>
                <w:rFonts w:hint="eastAsia"/>
              </w:rPr>
              <w:t xml:space="preserve">辅助区地管回填</w:t>
            </w:r>
          </w:p>
        </w:tc>
        <w:tc>
          <w:tcPr/>
          <w:p>
            <w:pPr>
              <w:pStyle w:val="Compact"/>
            </w:pPr>
            <w:r>
              <w:t xml:space="preserve">2024-04-27</w:t>
            </w:r>
          </w:p>
        </w:tc>
        <w:tc>
          <w:tcPr/>
          <w:p>
            <w:pPr>
              <w:pStyle w:val="Compact"/>
            </w:pPr>
            <w:r>
              <w:t xml:space="preserve">2024-09-16</w:t>
            </w:r>
          </w:p>
        </w:tc>
        <w:tc>
          <w:tcPr/>
          <w:p>
            <w:pPr>
              <w:pStyle w:val="Compact"/>
            </w:pPr>
            <w:r>
              <w:rPr>
                <w:rFonts w:hint="eastAsia"/>
              </w:rPr>
              <w:t xml:space="preserve">约</w:t>
            </w:r>
            <w:r>
              <w:t xml:space="preserve"> 142 </w:t>
            </w:r>
            <w:r>
              <w:rPr>
                <w:rFonts w:hint="eastAsia"/>
              </w:rPr>
              <w:t xml:space="preserve">天</w:t>
            </w:r>
          </w:p>
        </w:tc>
      </w:tr>
      <w:tr>
        <w:tc>
          <w:tcPr/>
          <w:p>
            <w:pPr>
              <w:pStyle w:val="Compact"/>
            </w:pPr>
            <w:r>
              <w:rPr>
                <w:rFonts w:hint="eastAsia"/>
              </w:rPr>
              <w:t xml:space="preserve">土建包整体完成</w:t>
            </w:r>
          </w:p>
        </w:tc>
        <w:tc>
          <w:tcPr/>
          <w:p>
            <w:pPr>
              <w:pStyle w:val="Compact"/>
            </w:pPr>
            <w:r>
              <w:t xml:space="preserve">2024-02-28</w:t>
            </w:r>
          </w:p>
        </w:tc>
        <w:tc>
          <w:tcPr/>
          <w:p>
            <w:pPr>
              <w:pStyle w:val="Compact"/>
            </w:pPr>
            <w:r>
              <w:t xml:space="preserve">2024-06-05</w:t>
            </w:r>
          </w:p>
        </w:tc>
        <w:tc>
          <w:tcPr/>
          <w:p>
            <w:pPr>
              <w:pStyle w:val="Compact"/>
            </w:pPr>
            <w:r>
              <w:rPr>
                <w:rFonts w:hint="eastAsia"/>
              </w:rPr>
              <w:t xml:space="preserve">约</w:t>
            </w:r>
            <w:r>
              <w:t xml:space="preserve"> 98 </w:t>
            </w:r>
            <w:r>
              <w:rPr>
                <w:rFonts w:hint="eastAsia"/>
              </w:rPr>
              <w:t xml:space="preserve">天</w:t>
            </w:r>
          </w:p>
        </w:tc>
      </w:tr>
    </w:tbl>
    <w:p>
      <w:pPr>
        <w:pStyle w:val="BodyText"/>
      </w:pPr>
      <w:r>
        <w:t xml:space="preserve">English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Typical Item</w:t>
            </w:r>
          </w:p>
        </w:tc>
        <w:tc>
          <w:tcPr/>
          <w:p>
            <w:pPr>
              <w:pStyle w:val="Compact"/>
            </w:pPr>
            <w:r>
              <w:t xml:space="preserve">Original Plan / Baseline</w:t>
            </w:r>
          </w:p>
        </w:tc>
        <w:tc>
          <w:tcPr/>
          <w:p>
            <w:pPr>
              <w:pStyle w:val="Compact"/>
            </w:pPr>
            <w:r>
              <w:t xml:space="preserve">Revised Date</w:t>
            </w:r>
          </w:p>
        </w:tc>
        <w:tc>
          <w:tcPr/>
          <w:p>
            <w:pPr>
              <w:pStyle w:val="Compact"/>
            </w:pPr>
            <w:r>
              <w:t xml:space="preserve">Delay</w:t>
            </w:r>
          </w:p>
        </w:tc>
      </w:tr>
      <w:tr>
        <w:tc>
          <w:tcPr/>
          <w:p>
            <w:pPr>
              <w:pStyle w:val="Compact"/>
            </w:pPr>
            <w:r>
              <w:t xml:space="preserve">Substation system mechanical completion</w:t>
            </w:r>
          </w:p>
        </w:tc>
        <w:tc>
          <w:tcPr/>
          <w:p>
            <w:pPr>
              <w:pStyle w:val="Compact"/>
            </w:pPr>
            <w:r>
              <w:t xml:space="preserve">2024-10-15</w:t>
            </w:r>
          </w:p>
        </w:tc>
        <w:tc>
          <w:tcPr/>
          <w:p>
            <w:pPr>
              <w:pStyle w:val="Compact"/>
            </w:pPr>
            <w:r>
              <w:t xml:space="preserve">2025-07-22</w:t>
            </w:r>
          </w:p>
        </w:tc>
        <w:tc>
          <w:tcPr/>
          <w:p>
            <w:pPr>
              <w:pStyle w:val="Compact"/>
            </w:pPr>
            <w:r>
              <w:t xml:space="preserve">Approximately 280 days</w:t>
            </w:r>
          </w:p>
        </w:tc>
      </w:tr>
      <w:tr>
        <w:tc>
          <w:tcPr/>
          <w:p>
            <w:pPr>
              <w:pStyle w:val="Compact"/>
            </w:pPr>
            <w:r>
              <w:t xml:space="preserve">Firefighting water system mechanical completion</w:t>
            </w:r>
          </w:p>
        </w:tc>
        <w:tc>
          <w:tcPr/>
          <w:p>
            <w:pPr>
              <w:pStyle w:val="Compact"/>
            </w:pPr>
            <w:r>
              <w:t xml:space="preserve">2024-12-13</w:t>
            </w:r>
          </w:p>
        </w:tc>
        <w:tc>
          <w:tcPr/>
          <w:p>
            <w:pPr>
              <w:pStyle w:val="Compact"/>
            </w:pPr>
            <w:r>
              <w:t xml:space="preserve">2025-08-07</w:t>
            </w:r>
          </w:p>
        </w:tc>
        <w:tc>
          <w:tcPr/>
          <w:p>
            <w:pPr>
              <w:pStyle w:val="Compact"/>
            </w:pPr>
            <w:r>
              <w:t xml:space="preserve">Approximately 237 days</w:t>
            </w:r>
          </w:p>
        </w:tc>
      </w:tr>
      <w:tr>
        <w:tc>
          <w:tcPr/>
          <w:p>
            <w:pPr>
              <w:pStyle w:val="Compact"/>
            </w:pPr>
            <w:r>
              <w:t xml:space="preserve">Offsite pipeline system mechanical completion</w:t>
            </w:r>
          </w:p>
        </w:tc>
        <w:tc>
          <w:tcPr/>
          <w:p>
            <w:pPr>
              <w:pStyle w:val="Compact"/>
            </w:pPr>
            <w:r>
              <w:t xml:space="preserve">2025-03-31</w:t>
            </w:r>
          </w:p>
        </w:tc>
        <w:tc>
          <w:tcPr/>
          <w:p>
            <w:pPr>
              <w:pStyle w:val="Compact"/>
            </w:pPr>
            <w:r>
              <w:t xml:space="preserve">2025-10-16</w:t>
            </w:r>
          </w:p>
        </w:tc>
        <w:tc>
          <w:tcPr/>
          <w:p>
            <w:pPr>
              <w:pStyle w:val="Compact"/>
            </w:pPr>
            <w:r>
              <w:t xml:space="preserve">Approximately 199 days</w:t>
            </w:r>
          </w:p>
        </w:tc>
      </w:tr>
      <w:tr>
        <w:tc>
          <w:tcPr/>
          <w:p>
            <w:pPr>
              <w:pStyle w:val="Compact"/>
            </w:pPr>
            <w:r>
              <w:t xml:space="preserve">Cooling water system mechanical completion</w:t>
            </w:r>
          </w:p>
        </w:tc>
        <w:tc>
          <w:tcPr/>
          <w:p>
            <w:pPr>
              <w:pStyle w:val="Compact"/>
            </w:pPr>
            <w:r>
              <w:t xml:space="preserve">2024-10-25</w:t>
            </w:r>
          </w:p>
        </w:tc>
        <w:tc>
          <w:tcPr/>
          <w:p>
            <w:pPr>
              <w:pStyle w:val="Compact"/>
            </w:pPr>
            <w:r>
              <w:t xml:space="preserve">2025-05-09</w:t>
            </w:r>
          </w:p>
        </w:tc>
        <w:tc>
          <w:tcPr/>
          <w:p>
            <w:pPr>
              <w:pStyle w:val="Compact"/>
            </w:pPr>
            <w:r>
              <w:t xml:space="preserve">Approximately 196 days</w:t>
            </w:r>
          </w:p>
        </w:tc>
      </w:tr>
      <w:tr>
        <w:tc>
          <w:tcPr/>
          <w:p>
            <w:pPr>
              <w:pStyle w:val="Compact"/>
            </w:pPr>
            <w:r>
              <w:t xml:space="preserve">City water and DI water system mechanical completion</w:t>
            </w:r>
          </w:p>
        </w:tc>
        <w:tc>
          <w:tcPr/>
          <w:p>
            <w:pPr>
              <w:pStyle w:val="Compact"/>
            </w:pPr>
            <w:r>
              <w:t xml:space="preserve">2024-11-29</w:t>
            </w:r>
          </w:p>
        </w:tc>
        <w:tc>
          <w:tcPr/>
          <w:p>
            <w:pPr>
              <w:pStyle w:val="Compact"/>
            </w:pPr>
            <w:r>
              <w:t xml:space="preserve">2025-06-05</w:t>
            </w:r>
          </w:p>
        </w:tc>
        <w:tc>
          <w:tcPr/>
          <w:p>
            <w:pPr>
              <w:pStyle w:val="Compact"/>
            </w:pPr>
            <w:r>
              <w:t xml:space="preserve">Approximately 188 days</w:t>
            </w:r>
          </w:p>
        </w:tc>
      </w:tr>
      <w:tr>
        <w:tc>
          <w:tcPr/>
          <w:p>
            <w:pPr>
              <w:pStyle w:val="Compact"/>
            </w:pPr>
            <w:r>
              <w:t xml:space="preserve">Auxiliary area underground piping installation and pressure test</w:t>
            </w:r>
          </w:p>
        </w:tc>
        <w:tc>
          <w:tcPr/>
          <w:p>
            <w:pPr>
              <w:pStyle w:val="Compact"/>
            </w:pPr>
            <w:r>
              <w:t xml:space="preserve">2024-04-25</w:t>
            </w:r>
          </w:p>
        </w:tc>
        <w:tc>
          <w:tcPr/>
          <w:p>
            <w:pPr>
              <w:pStyle w:val="Compact"/>
            </w:pPr>
            <w:r>
              <w:t xml:space="preserve">2024-09-14</w:t>
            </w:r>
          </w:p>
        </w:tc>
        <w:tc>
          <w:tcPr/>
          <w:p>
            <w:pPr>
              <w:pStyle w:val="Compact"/>
            </w:pPr>
            <w:r>
              <w:t xml:space="preserve">Approximately 142 days</w:t>
            </w:r>
          </w:p>
        </w:tc>
      </w:tr>
      <w:tr>
        <w:tc>
          <w:tcPr/>
          <w:p>
            <w:pPr>
              <w:pStyle w:val="Compact"/>
            </w:pPr>
            <w:r>
              <w:t xml:space="preserve">Auxiliary area underground piping backfilling</w:t>
            </w:r>
          </w:p>
        </w:tc>
        <w:tc>
          <w:tcPr/>
          <w:p>
            <w:pPr>
              <w:pStyle w:val="Compact"/>
            </w:pPr>
            <w:r>
              <w:t xml:space="preserve">2024-04-27</w:t>
            </w:r>
          </w:p>
        </w:tc>
        <w:tc>
          <w:tcPr/>
          <w:p>
            <w:pPr>
              <w:pStyle w:val="Compact"/>
            </w:pPr>
            <w:r>
              <w:t xml:space="preserve">2024-09-16</w:t>
            </w:r>
          </w:p>
        </w:tc>
        <w:tc>
          <w:tcPr/>
          <w:p>
            <w:pPr>
              <w:pStyle w:val="Compact"/>
            </w:pPr>
            <w:r>
              <w:t xml:space="preserve">Approximately 142 days</w:t>
            </w:r>
          </w:p>
        </w:tc>
      </w:tr>
      <w:tr>
        <w:tc>
          <w:tcPr/>
          <w:p>
            <w:pPr>
              <w:pStyle w:val="Compact"/>
            </w:pPr>
            <w:r>
              <w:t xml:space="preserve">Overall civil works package completion</w:t>
            </w:r>
          </w:p>
        </w:tc>
        <w:tc>
          <w:tcPr/>
          <w:p>
            <w:pPr>
              <w:pStyle w:val="Compact"/>
            </w:pPr>
            <w:r>
              <w:t xml:space="preserve">2024-02-28</w:t>
            </w:r>
          </w:p>
        </w:tc>
        <w:tc>
          <w:tcPr/>
          <w:p>
            <w:pPr>
              <w:pStyle w:val="Compact"/>
            </w:pPr>
            <w:r>
              <w:t xml:space="preserve">2024-06-05</w:t>
            </w:r>
          </w:p>
        </w:tc>
        <w:tc>
          <w:tcPr/>
          <w:p>
            <w:pPr>
              <w:pStyle w:val="Compact"/>
            </w:pPr>
            <w:r>
              <w:t xml:space="preserve">Approximately 98 days</w:t>
            </w:r>
          </w:p>
        </w:tc>
      </w:tr>
    </w:tbl>
    <w:bookmarkEnd w:id="39"/>
    <w:bookmarkStart w:id="40" w:name="X078f91e998644e1db801ba2d292465bfafb984e"/>
    <w:p>
      <w:pPr>
        <w:pStyle w:val="Heading3"/>
      </w:pPr>
      <w:r>
        <w:t xml:space="preserve">5. </w:t>
      </w:r>
      <w:r>
        <w:rPr>
          <w:rFonts w:hint="eastAsia"/>
        </w:rPr>
        <w:t xml:space="preserve">劳动力资源和技术组织</w:t>
      </w:r>
      <w:r>
        <w:t xml:space="preserve"> / Labor Resources and Technical Organization</w:t>
      </w:r>
    </w:p>
    <w:p>
      <w:pPr>
        <w:pStyle w:val="FirstParagraph"/>
      </w:pPr>
      <w:r>
        <w:rPr>
          <w:rFonts w:hint="eastAsia"/>
        </w:rPr>
        <w:t xml:space="preserve">过往项目中，在材料到货和前序条件存在滞后的情况下，项目最终仍基本守住主装置关键节点，重要原因之一是施工资源和技术组织前置到位。现场把设备、管道、储罐、电仪等技术要求高的专业主要配置为熟练中国工人，把土建、钢结构安装以及与政府验收联系紧密的消防、暖通、建筑电气等专业更多依托当地施工力量，中方和本地劳动力总体维持在约</w:t>
      </w:r>
      <w:r>
        <w:t xml:space="preserve"> </w:t>
      </w:r>
      <w:r>
        <w:rPr>
          <w:rStyle w:val="VerbatimChar"/>
        </w:rPr>
        <w:t xml:space="preserve">50%:50%</w:t>
      </w:r>
      <w:r>
        <w:rPr>
          <w:rFonts w:hint="eastAsia"/>
        </w:rPr>
        <w:t xml:space="preserve">。技术组织上，项目采用“国内预制、国外安装”的实施方式，并引入</w:t>
      </w:r>
      <w:r>
        <w:t xml:space="preserve"> </w:t>
      </w:r>
      <w:r>
        <w:rPr>
          <w:rStyle w:val="VerbatimChar"/>
        </w:rPr>
        <w:t xml:space="preserve">PMS + BIM</w:t>
      </w:r>
      <w:r>
        <w:t xml:space="preserve"> </w:t>
      </w:r>
      <w:r>
        <w:rPr>
          <w:rFonts w:hint="eastAsia"/>
        </w:rPr>
        <w:t xml:space="preserve">数字化管理，对预制分段、运输尺寸、装箱顺序和现场安装顺序统一排产。质量资料显示，管道专业通过</w:t>
      </w:r>
      <w:r>
        <w:t xml:space="preserve"> BIM </w:t>
      </w:r>
      <w:r>
        <w:rPr>
          <w:rFonts w:hint="eastAsia"/>
        </w:rPr>
        <w:t xml:space="preserve">预制排产技术，预制进度长期领先计划约</w:t>
      </w:r>
      <w:r>
        <w:t xml:space="preserve"> </w:t>
      </w:r>
      <w:r>
        <w:rPr>
          <w:rStyle w:val="VerbatimChar"/>
        </w:rPr>
        <w:t xml:space="preserve">15%</w:t>
      </w:r>
      <w:r>
        <w:rPr>
          <w:rFonts w:hint="eastAsia"/>
        </w:rPr>
        <w:t xml:space="preserve">，高峰期领先</w:t>
      </w:r>
      <w:r>
        <w:t xml:space="preserve"> </w:t>
      </w:r>
      <w:r>
        <w:rPr>
          <w:rStyle w:val="VerbatimChar"/>
        </w:rPr>
        <w:t xml:space="preserve">26%</w:t>
      </w:r>
      <w:r>
        <w:rPr>
          <w:rFonts w:hint="eastAsia"/>
        </w:rPr>
        <w:t xml:space="preserve">；安装进度长期领先计划约</w:t>
      </w:r>
      <w:r>
        <w:t xml:space="preserve"> </w:t>
      </w:r>
      <w:r>
        <w:rPr>
          <w:rStyle w:val="VerbatimChar"/>
        </w:rPr>
        <w:t xml:space="preserve">10%</w:t>
      </w:r>
      <w:r>
        <w:rPr>
          <w:rFonts w:hint="eastAsia"/>
        </w:rPr>
        <w:t xml:space="preserve">，高峰期领先</w:t>
      </w:r>
      <w:r>
        <w:t xml:space="preserve"> </w:t>
      </w:r>
      <w:r>
        <w:rPr>
          <w:rStyle w:val="VerbatimChar"/>
        </w:rPr>
        <w:t xml:space="preserve">17%</w:t>
      </w:r>
      <w:r>
        <w:rPr>
          <w:rFonts w:hint="eastAsia"/>
        </w:rPr>
        <w:t xml:space="preserve">；预制比例由预计的</w:t>
      </w:r>
      <w:r>
        <w:t xml:space="preserve"> </w:t>
      </w:r>
      <w:r>
        <w:rPr>
          <w:rStyle w:val="VerbatimChar"/>
        </w:rPr>
        <w:t xml:space="preserve">35%</w:t>
      </w:r>
      <w:r>
        <w:t xml:space="preserve"> </w:t>
      </w:r>
      <w:r>
        <w:rPr>
          <w:rFonts w:hint="eastAsia"/>
        </w:rPr>
        <w:t xml:space="preserve">提升至</w:t>
      </w:r>
      <w:r>
        <w:t xml:space="preserve"> </w:t>
      </w:r>
      <w:r>
        <w:rPr>
          <w:rStyle w:val="VerbatimChar"/>
        </w:rPr>
        <w:t xml:space="preserve">48.1%</w:t>
      </w:r>
      <w:r>
        <w:rPr>
          <w:rFonts w:hint="eastAsia"/>
        </w:rPr>
        <w:t xml:space="preserve">。这说明在前序条件偏晚的情况下，若能把国内预制、材料发运、现场安装和劳动力组织联动起来，仍有机会把关键路径上的时间追回来。</w:t>
      </w:r>
    </w:p>
    <w:p>
      <w:pPr>
        <w:pStyle w:val="BodyText"/>
      </w:pPr>
      <w:r>
        <w:t xml:space="preserve">In previous projects, even when material arrival and preconditions were delayed, the key milestones of the main process units were still largely protected. One important reason was the early mobilization of construction resources and technical organization. Disciplines with high technical requirements, such as equipment, piping, tanks, electrical and instrumentation, were mainly staffed with skilled Chinese workers, while civil works, structural steel erection and disciplines closely linked with local authority acceptance, such as firefighting, HVAC and building electrical, relied more on local labor. Overall, the Chinese and local labor mix was maintained at roughly</w:t>
      </w:r>
      <w:r>
        <w:t xml:space="preserve"> </w:t>
      </w:r>
      <w:r>
        <w:rPr>
          <w:rStyle w:val="VerbatimChar"/>
        </w:rPr>
        <w:t xml:space="preserve">50%:50%</w:t>
      </w:r>
      <w:r>
        <w:t xml:space="preserve">. In terms of technical organization, the project adopted the implementation approach of</w:t>
      </w:r>
      <w:r>
        <w:t xml:space="preserve"> </w:t>
      </w:r>
      <w:r>
        <w:t xml:space="preserve">“domestic prefabrication and overseas installation”</w:t>
      </w:r>
      <w:r>
        <w:t xml:space="preserve"> </w:t>
      </w:r>
      <w:r>
        <w:t xml:space="preserve">and introduced</w:t>
      </w:r>
      <w:r>
        <w:t xml:space="preserve"> </w:t>
      </w:r>
      <w:r>
        <w:rPr>
          <w:rStyle w:val="VerbatimChar"/>
        </w:rPr>
        <w:t xml:space="preserve">PMS + BIM</w:t>
      </w:r>
      <w:r>
        <w:t xml:space="preserve"> </w:t>
      </w:r>
      <w:r>
        <w:t xml:space="preserve">digital management to integrate prefabrication segmentation, transport size control, container loading sequence and site installation sequence. Quality records show that, through BIM-based prefabrication scheduling, piping prefabrication progress remained approximately</w:t>
      </w:r>
      <w:r>
        <w:t xml:space="preserve"> </w:t>
      </w:r>
      <w:r>
        <w:rPr>
          <w:rStyle w:val="VerbatimChar"/>
        </w:rPr>
        <w:t xml:space="preserve">15%</w:t>
      </w:r>
      <w:r>
        <w:t xml:space="preserve"> </w:t>
      </w:r>
      <w:r>
        <w:t xml:space="preserve">ahead of plan for a long period, with a peak advantage of</w:t>
      </w:r>
      <w:r>
        <w:t xml:space="preserve"> </w:t>
      </w:r>
      <w:r>
        <w:rPr>
          <w:rStyle w:val="VerbatimChar"/>
        </w:rPr>
        <w:t xml:space="preserve">26%</w:t>
      </w:r>
      <w:r>
        <w:t xml:space="preserve">; installation progress remained approximately</w:t>
      </w:r>
      <w:r>
        <w:t xml:space="preserve"> </w:t>
      </w:r>
      <w:r>
        <w:rPr>
          <w:rStyle w:val="VerbatimChar"/>
        </w:rPr>
        <w:t xml:space="preserve">10%</w:t>
      </w:r>
      <w:r>
        <w:t xml:space="preserve"> </w:t>
      </w:r>
      <w:r>
        <w:t xml:space="preserve">ahead of plan for a long period, with a peak advantage of</w:t>
      </w:r>
      <w:r>
        <w:t xml:space="preserve"> </w:t>
      </w:r>
      <w:r>
        <w:rPr>
          <w:rStyle w:val="VerbatimChar"/>
        </w:rPr>
        <w:t xml:space="preserve">17%</w:t>
      </w:r>
      <w:r>
        <w:t xml:space="preserve">; and the prefabrication ratio increased from the originally expected</w:t>
      </w:r>
      <w:r>
        <w:t xml:space="preserve"> </w:t>
      </w:r>
      <w:r>
        <w:rPr>
          <w:rStyle w:val="VerbatimChar"/>
        </w:rPr>
        <w:t xml:space="preserve">35%</w:t>
      </w:r>
      <w:r>
        <w:t xml:space="preserve"> </w:t>
      </w:r>
      <w:r>
        <w:t xml:space="preserve">to</w:t>
      </w:r>
      <w:r>
        <w:t xml:space="preserve"> </w:t>
      </w:r>
      <w:r>
        <w:rPr>
          <w:rStyle w:val="VerbatimChar"/>
        </w:rPr>
        <w:t xml:space="preserve">48.1%</w:t>
      </w:r>
      <w:r>
        <w:t xml:space="preserve">. This shows that even when preconditions are delayed, there is still an opportunity to recover time on the critical path if domestic prefabrication, material shipment, site installation and labor organization can be effectively linked together.</w:t>
      </w:r>
    </w:p>
    <w:bookmarkEnd w:id="40"/>
    <w:bookmarkStart w:id="41" w:name="X92f3b5a4648f4381b2869eb56e8404ba5bda95f"/>
    <w:p>
      <w:pPr>
        <w:pStyle w:val="Heading3"/>
      </w:pPr>
      <w:r>
        <w:t xml:space="preserve">6. </w:t>
      </w:r>
      <w:r>
        <w:rPr>
          <w:rFonts w:hint="eastAsia"/>
        </w:rPr>
        <w:t xml:space="preserve">进度策划建议</w:t>
      </w:r>
      <w:r>
        <w:t xml:space="preserve"> / Recommendations for Schedule Planning</w:t>
      </w:r>
    </w:p>
    <w:p>
      <w:pPr>
        <w:pStyle w:val="FirstParagraph"/>
      </w:pPr>
      <w:r>
        <w:rPr>
          <w:rFonts w:hint="eastAsia"/>
        </w:rPr>
        <w:t xml:space="preserve">进度策划建议按五层逻辑组织，即前序条件计划、关键物资释放计划、安装执行计划、系统移交计划和当地验收计划。前序条件计划重点控制地下、地管、土建、钢结构和作业面交付；关键物资释放计划重点控制关键设备、地管材料、钢结构、预制材料和关键电仪设备；安装执行计划重点控制主装置、公用工程和配套系统分区推进；系统移交计划重点控制机械竣工、联调、整改和接收；当地验收计划重点控制消防验收、DOSH、CIDB、CCC</w:t>
      </w:r>
      <w:r>
        <w:t xml:space="preserve"> </w:t>
      </w:r>
      <w:r>
        <w:rPr>
          <w:rFonts w:hint="eastAsia"/>
        </w:rPr>
        <w:t xml:space="preserve">及其他政府专项手续。钢结构在专业归口上通常可归入结构施工或安装范围，但在进度策划上更适合作为前序条件单独管理，因为其完成时间直接决定设备安装和管道安装能否连续展开。劳动力组织和技术组织也应单独纳入计划，重点包括中国熟练工投放节奏、本地施工力量配置、国内预制深度和</w:t>
      </w:r>
      <w:r>
        <w:t xml:space="preserve"> BIM </w:t>
      </w:r>
      <w:r>
        <w:rPr>
          <w:rFonts w:hint="eastAsia"/>
        </w:rPr>
        <w:t xml:space="preserve">排产支持。对管廊、炉区、水处理和设备较集中的区域，应同步评估模块化和成段预制的可行性，以减少海外现场高空作业和交叉作业压力。</w:t>
      </w:r>
    </w:p>
    <w:p>
      <w:pPr>
        <w:pStyle w:val="BodyText"/>
      </w:pPr>
      <w:r>
        <w:t xml:space="preserve">Schedule planning is recommended to be organized under five layers: precondition planning, key material release planning, installation execution planning, system handover planning and local acceptance planning. Precondition planning should focus on underground works, underground piping, civil works, structural steel and workfront release. Key material release planning should focus on key equipment, underground piping materials, structural steel, prefabricated materials and critical electrical/instrument materials. Installation execution planning should focus on area-based advancement of the main process units, utilities and supporting systems. System handover planning should focus on mechanical completion, commissioning support, punch close-out and acceptance. Local acceptance planning should focus on fire acceptance, DOSH, CIDB, CCC and other government procedures. Although structural steel may technically fall under either structural works or installation by discipline, from a schedule planning perspective it is more suitable to be managed separately as a precondition item, because its completion directly determines whether equipment installation and piping installation can proceed continuously. Labor organization and technical organization should also be incorporated into the schedule separately, including the deployment rhythm of skilled Chinese workers, allocation of local construction resources, depth of domestic prefabrication and BIM scheduling support. For pipe rack areas, heater areas, water treatment areas and areas with dense equipment, the feasibility of modularization and segmented prefabrication should also be evaluated in parallel, so as to reduce working-at-height pressure and cross-trade congestion at the overseas site.</w:t>
      </w:r>
    </w:p>
    <w:bookmarkEnd w:id="41"/>
    <w:bookmarkStart w:id="42" w:name="进度章节结论-conclusion-of-schedule-section"/>
    <w:p>
      <w:pPr>
        <w:pStyle w:val="Heading3"/>
      </w:pPr>
      <w:r>
        <w:t xml:space="preserve">7. </w:t>
      </w:r>
      <w:r>
        <w:rPr>
          <w:rFonts w:hint="eastAsia"/>
        </w:rPr>
        <w:t xml:space="preserve">进度章节结论</w:t>
      </w:r>
      <w:r>
        <w:t xml:space="preserve"> / Conclusion of Schedule Section</w:t>
      </w:r>
    </w:p>
    <w:p>
      <w:pPr>
        <w:pStyle w:val="FirstParagraph"/>
      </w:pPr>
      <w:r>
        <w:rPr>
          <w:rFonts w:hint="eastAsia"/>
        </w:rPr>
        <w:t xml:space="preserve">进度策划建议以打桩开工为主控起点，控制打桩开始至机械竣工约</w:t>
      </w:r>
      <w:r>
        <w:t xml:space="preserve"> </w:t>
      </w:r>
      <w:r>
        <w:rPr>
          <w:rStyle w:val="VerbatimChar"/>
        </w:rPr>
        <w:t xml:space="preserve">26 </w:t>
      </w:r>
      <w:r>
        <w:rPr>
          <w:rStyle w:val="VerbatimChar"/>
          <w:rFonts w:hint="eastAsia"/>
        </w:rPr>
        <w:t xml:space="preserve">个月</w:t>
      </w:r>
      <w:r>
        <w:rPr>
          <w:rFonts w:hint="eastAsia"/>
        </w:rPr>
        <w:t xml:space="preserve">，机械竣工至完工证书再预留</w:t>
      </w:r>
      <w:r>
        <w:t xml:space="preserve"> </w:t>
      </w:r>
      <w:r>
        <w:rPr>
          <w:rStyle w:val="VerbatimChar"/>
        </w:rPr>
        <w:t xml:space="preserve">4 </w:t>
      </w:r>
      <w:r>
        <w:rPr>
          <w:rStyle w:val="VerbatimChar"/>
          <w:rFonts w:hint="eastAsia"/>
        </w:rPr>
        <w:t xml:space="preserve">个月</w:t>
      </w:r>
      <w:r>
        <w:rPr>
          <w:rFonts w:hint="eastAsia"/>
        </w:rPr>
        <w:t xml:space="preserve">。项目计划应按设计、采购、物流、土建前序、安装系统完善和验收取证六个阶段分层控制，按主装置、公用工程、厂外连接、关键物资释放四条主路径同步管理。过往项目说明，真正容易拖长总工期的通常不是主装置本体，而是公用工程、地管、关键物资释放、厂外管线、成套包界面协调和当地验收准备。要保证交付周期，除总工期和关键路径外，还应同步落实劳动力资源、国内预制国外安装、模块化和</w:t>
      </w:r>
      <w:r>
        <w:t xml:space="preserve"> BIM </w:t>
      </w:r>
      <w:r>
        <w:rPr>
          <w:rFonts w:hint="eastAsia"/>
        </w:rPr>
        <w:t xml:space="preserve">排产等支撑措施。</w:t>
      </w:r>
    </w:p>
    <w:p>
      <w:pPr>
        <w:pStyle w:val="BodyText"/>
      </w:pPr>
      <w:r>
        <w:t xml:space="preserve">It is recommended that piling start be taken as the main project control starting point, with the period from piling start to mechanical completion controlled at approximately</w:t>
      </w:r>
      <w:r>
        <w:t xml:space="preserve"> </w:t>
      </w:r>
      <w:r>
        <w:rPr>
          <w:rStyle w:val="VerbatimChar"/>
        </w:rPr>
        <w:t xml:space="preserve">26 months</w:t>
      </w:r>
      <w:r>
        <w:t xml:space="preserve">, followed by an additional</w:t>
      </w:r>
      <w:r>
        <w:t xml:space="preserve"> </w:t>
      </w:r>
      <w:r>
        <w:rPr>
          <w:rStyle w:val="VerbatimChar"/>
        </w:rPr>
        <w:t xml:space="preserve">4 months</w:t>
      </w:r>
      <w:r>
        <w:t xml:space="preserve"> </w:t>
      </w:r>
      <w:r>
        <w:t xml:space="preserve">from mechanical completion to completion certificate. The project plan should be controlled in layers across six phases: design, procurement, logistics, civil/precondition works, installation and system completion, and acceptance/certification. It should also be managed simultaneously across four main paths: main process units, utilities, offsite connections and key material release. Previous projects show that what most often extends total duration is not the main process units themselves, but utilities, underground piping, key material release, offsite pipelines, package interface coordination and local acceptance preparation. To secure the delivery schedule, it is therefore necessary to put in place not only overall duration and critical-path controls, but also supporting measures such as labor planning, domestic prefabrication with overseas installation, modularization and BIM-based scheduling.</w:t>
      </w:r>
    </w:p>
    <w:bookmarkEnd w:id="42"/>
    <w:bookmarkEnd w:id="43"/>
    <w:bookmarkStart w:id="44" w:name="五总体策划结论-v.-overall-conclusion"/>
    <w:p>
      <w:pPr>
        <w:pStyle w:val="Heading2"/>
      </w:pPr>
      <w:r>
        <w:rPr>
          <w:rFonts w:hint="eastAsia"/>
        </w:rPr>
        <w:t xml:space="preserve">五、总体策划结论</w:t>
      </w:r>
      <w:r>
        <w:t xml:space="preserve"> / V. Overall Conclusion</w:t>
      </w:r>
    </w:p>
    <w:p>
      <w:pPr>
        <w:pStyle w:val="FirstParagraph"/>
      </w:pPr>
      <w:r>
        <w:rPr>
          <w:rFonts w:hint="eastAsia"/>
        </w:rPr>
        <w:t xml:space="preserve">本项目分工策划应围绕“设计责任、采购责任、物流责任和进度责任”四条主线建立稳定边界。设计上，主装置、公用工程、成套包界面和本地深化责任应分别锁定；采购上，关键设备由</w:t>
      </w:r>
      <w:r>
        <w:t xml:space="preserve"> Technip </w:t>
      </w:r>
      <w:r>
        <w:rPr>
          <w:rFonts w:hint="eastAsia"/>
        </w:rPr>
        <w:t xml:space="preserve">主导，公用工程成套包由</w:t>
      </w:r>
      <w:r>
        <w:t xml:space="preserve"> NCC </w:t>
      </w:r>
      <w:r>
        <w:rPr>
          <w:rFonts w:hint="eastAsia"/>
        </w:rPr>
        <w:t xml:space="preserve">进行</w:t>
      </w:r>
      <w:r>
        <w:t xml:space="preserve"> EPC </w:t>
      </w:r>
      <w:r>
        <w:rPr>
          <w:rFonts w:hint="eastAsia"/>
        </w:rPr>
        <w:t xml:space="preserve">管理，跨境主材和预制关联物资由</w:t>
      </w:r>
      <w:r>
        <w:t xml:space="preserve"> NCC </w:t>
      </w:r>
      <w:r>
        <w:rPr>
          <w:rFonts w:hint="eastAsia"/>
        </w:rPr>
        <w:t xml:space="preserve">组织，本地适配物资由</w:t>
      </w:r>
      <w:r>
        <w:t xml:space="preserve"> NCC </w:t>
      </w:r>
      <w:r>
        <w:rPr>
          <w:rFonts w:hint="eastAsia"/>
        </w:rPr>
        <w:t xml:space="preserve">属地采购；物流上，关键设备、成套包、预制物资和地管材料应按关键路径倒排组织；进度上，设计、采购、物流、土建前序、安装系统完善和当地验收必须在同一张总体计划中联动管理。只有在项目初期把这几条边界写清、排清、责任落清，项目执行的责任分工、采购组织和进度控制才有稳定基础。</w:t>
      </w:r>
    </w:p>
    <w:p>
      <w:pPr>
        <w:pStyle w:val="BodyText"/>
      </w:pPr>
      <w:r>
        <w:t xml:space="preserve">The workshare planning for this project should establish stable boundaries around four main lines: design responsibility, procurement responsibility, logistics responsibility and schedule responsibility. On the design side, responsibilities for the main process units, utilities, package interfaces and local detailed design should each be clearly locked in. On the procurement side, key equipment should be led by Technip, utility package systems should be managed by NCC under EPC mode, cross-border bulk materials and prefabrication-related materials should be organized by NCC, and locally adaptive materials should be procured by NCC locally. On the logistics side, key equipment, package systems, prefabricated materials and underground piping materials should all be organized by backward planning from the critical path. On the schedule side, design, procurement, logistics, civil preconditions, installation/system completion and local acceptance must all be managed in one integrated master schedule. Only when these boundaries are clearly defined, scheduled and assigned at the early stage can the project establish a stable basis for execution responsibility, procurement organization and schedule control.</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2026-04-21T09:16:43Z</dcterms:created>
  <dcterms:modified xsi:type="dcterms:W3CDTF">2026-04-21T09:16:43Z</dcterms:modified>
</cp:coreProperties>
</file>

<file path=docProps/custom.xml><?xml version="1.0" encoding="utf-8"?>
<Properties xmlns="http://schemas.openxmlformats.org/officeDocument/2006/custom-properties" xmlns:vt="http://schemas.openxmlformats.org/officeDocument/2006/docPropsVTypes"/>
</file>