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设计分工分析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一、设计分工总体情况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结合易高项目既有资料，原项目的设计分工可以概括为三层。第一层是主装置设计，由国际工艺和主装置设计方负责主装置范围内的工艺、设备、管道、结构、仪表、电气及相关接口设计；第二层是 OSBL 和配套系统设计，由中国设计院负责总图、储运、公用工程、消防、变配电、建筑结构及厂外接口等设计；第三层是本地深化设计，由马来设计院结合当地规范、审图要求和施工实施条件，对消防、暖通、电气、弱电等专业继续完成深化、报审和施工转换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从新项目策划角度看，这一模式对本项目仍有较强参考价值。建议延续“Technip 负责 ISBL 主装置系统设计，华东院负责 OSBL 和配套系统设计，马来设计院负责本地深化设计”的总体思路。这样既能保证主装置系统责任清晰，也能保证 OSBL 和本地审批敏感专业的设计工作落实到位。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二、ISBL 与 OSBL 单元划分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根据易高项目单元信息，`700`、`800`、`900` 为主装置单元，属于 `ISBL`；其余单元原则上均属于 `OSBL` 或配套系统范围。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分类 | 单元号 | 单元名称 | 策划理解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ISBL | 700 | 预处理单元 `Pre-Treatment Unit` | 主装置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ISBL | 800 | RFP 单元 `Renewable Fuels Production Unit` | 主装置核心生产单元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ISBL | 900 | HPU 单元 `Hydrogen Production Unit` | 主装置配套核心单元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OSBL | 110/120/130 | 总图、道路、围墙 | 厂区基础设施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OSBL | 140/160/170/180 | 门卫、仓库、维修车间、办公楼/控制室 | 建筑与辅助设施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OSBL | 210/220/230/240 | 罐区、装卸站 | 储运系统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OSBL | 250/260/370 | 内管廊、外管、地管 | 管廊与厂内外管网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OSBL | 310/320/330/340/350/360/380/390/400 | 水处理、锅炉、冷却水、工厂风/仪表风、氮气、天然气、余热回收、火炬、IETS | 公用工程与环保系统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OSBL | 510/520/610/620/630/640/650/660 | 消防水、应急柴油发电、主变电站、各分变电站、全厂供电照明、防雷接地 | 消防与电气系统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三、原项目设计分工的主要内容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ISBL 设计范围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原项目中，`700/800/900` 三个主装置单元构成设计核心。结合图纸台账和设备资料，这一范围内的主要设计内容包括：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工艺流程、设备布置、管道布置及主装置系统接口设计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反应器、工业炉、压缩机、泵、离心机、换热器、塔器及成套包设备的接口设计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主装置内结构、平台、设备基础条件及检修吊装条件设计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主装置内仪表、电气、消防及相关建筑机电接口设计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这意味着，主装置设计不是单一工艺包工作，而是围绕主装置系统完整性开展的多专业设计工作。对新项目而言，这部分更适合由 Technip 统一负责，并对主装置系统责任、关键设备接口和整体技术边界负责。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OSBL 设计范围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原项目中，除 `700/800/900` 以外，其余单元整体更接近中国设计院负责的 OSBL 和配套系统设计范围。主要内容包括：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总图、场平、道路、围墙及厂区建筑单体设计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罐区、装卸站、内外管廊、地管及储运系统设计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水处理、蒸汽锅炉、冷却水、工厂风/仪表风、氮气、天然气、余热回收、火炬、IETS 等公用工程设计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主变电站、分变电站、全厂供电照明、防雷接地及消防水系统设计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因此，OSBL 设计不能简单理解为“辅助设施设计”，而应理解为对储运、公用工程、消防、电气、建筑和厂外接口的一整套多专业设计负责。对新项目而言，这部分更适合由华东院负责。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四、图纸情况及其反映的设计工作量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从易高项目图纸台账看，主装置和 OSBL 两侧均存在较大设计工作量，但主装置图纸更集中，能够直接支撑“ISBL 由主装置设计方负责、OSBL 由中国设计院负责”的策划思路。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主装置图纸情况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单元 | 图纸数量（约） | 主要说明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800 | 893 份 | 图纸量最大，是主装置设计与接口管理核心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700 | 663 份 | 管道、结构、设备图纸集中，多专业协同明显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900 | 504 份 | 除管道、设备、结构外，工业炉相关图纸较突出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结合图纸名称和专业分布可以看出：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`700` 单元以设备、管道、结构及相关电仪配套为主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`800` 单元覆盖工艺、设备、管道、结构、消防、施工转换等多类图纸，是主装置设计核心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`900` 单元除常规设备和管道外，工业炉、制氢系统接口和相关配套设计较集中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OSBL 图纸情况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单元 | 图纸数量（约） | 主要系统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230 | 239 份 | 3号罐区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180 | 214 份 | 办公楼/控制室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220 | 197 份 | 2号罐区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250 | 197 份 | 内管廊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620 | 168 份 | 2号变电站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310 | 155 份 | 水处理系统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这些图纸说明，OSBL 一侧并不是少量配套出图，而是覆盖储运、建筑、公用工程、变配电等多个系统，同样具备完整的多专业设计深度。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五、本地深化设计情况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新增 `DRAWING LIST` 表进一步说明，原项目除主装置设计方和中国设计院的系统设计外，还存在一层较明确的本地深化设计工作。该表中：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`Engineering Drawing` 约 `750` 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`Shop Drawing` 约 `414` 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其中约 `300` 项存在较直接的对应关系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从策划角度理解，`Engineering Drawing` 更接近中国设计院的设计输入和系统图纸，`Shop Drawing` 更接近马来设计院在当地完成的深化、报审和施工转换图。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需要本地深化的主要专业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专业 | Shop Drawing 数量（约） | 主要内容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FIFI | 201 项 | 消防、火气、气体灭火、泡沫系统、探测与报警系统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HVAC | 146 项 | 暖通系统布置、风管、设备定位、房间空调通风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ELE | 42 项 | 建筑电气、照明、动力配电、配电箱及接线接口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ELV | 25 项 | CCTV、门禁、通信、网络、弱电系统布置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从图纸内容看，这部分本地深化主要围绕：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当地消防报审和消防验收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建筑机电和房间设备布置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电气接入、照明和弱电系统落地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施工安装和本地法规适配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本地深化主要集中区域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从单元分布看，本地深化图纸主要集中在：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`180` 办公楼/控制室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`620/630` 变电站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`170` 维修车间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`140/160` 门卫室、仓库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`400` IETS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`100` 总体消防及检测系统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主装置 `700/800/900` 虽然也存在本地深化图纸，但数量明显低于 OSBL，且内容主要集中在消防、暖通、电气和弱电接口。这说明主装置中需要本地深化的重点，不是工艺主系统本身，而是与本地法规、建筑机电和配套专业相关的部分。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六、对新项目设计分工的建议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基于原项目经验，新项目的设计分工建议可按三层理解。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Technip 负责 ISBL 主装置设计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Technip 负责 `700/800/900` 对应的主装置系统设计，重点包括：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工艺、设备、管道、结构、仪表、电气及相关消防接口设计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关键设备和成套包系统接口设计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主装置整体技术边界和系统责任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华东院负责 OSBL 和配套系统设计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华东院负责除 `700/800/900` 以外的 OSBL 及配套系统设计，重点包括：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总图、建筑、储运、公用工程、消防、变配电和厂外接口设计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罐区、管廊、地管、外管及各公用工程系统设计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OSBL 范围内各专业的完整性和可实施性设计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马来设计院负责本地深化设计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马来设计院重点负责：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消防、暖通、电气、弱电等本地审批敏感专业的深化设计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报审图、施工转换图和与当地验收相关的细化图纸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建筑机电、房间布置和本地合规接口设计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七、可直接用于汇报的结论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原项目设计分工表明，主装置设计、OSBL 设计和本地深化设计实际上是三层并行关系，而不是单纯两家单位之间的平面分工。主装置 `700/800/900` 对应的系统设计深度和接口复杂度较高，更适合由 Technip 统一负责；其余 OSBL 单元涵盖储运、公用工程、消防、电气、建筑和厂外接口，更适合由华东院负责；与当地规范、报审和施工转换密切相关的消防、暖通、电气、弱电等专业，则应单独列出马来设计院的本地深化责任。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从新项目策划角度看，设计分工建议不只写“ISBL 由 Technip 负责、OSBL 由华东院负责”，还应进一步写清楚三个层次：一是主装置系统设计责任，二是 OSBL 和配套系统设计责任，三是本地深化和报审转换责任。这样既能保证设计责任边界清晰，也能减少后续接口不清、报审滞后和施工落地衔接不顺的问题。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