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oject-workshare-planning"/>
    <w:p>
      <w:pPr>
        <w:pStyle w:val="Heading1"/>
      </w:pPr>
      <w:r>
        <w:t xml:space="preserve">1 Project Workshare Planning</w:t>
      </w:r>
    </w:p>
    <w:bookmarkStart w:id="15" w:name="i.-design-workshare-planning"/>
    <w:p>
      <w:pPr>
        <w:pStyle w:val="Heading2"/>
      </w:pPr>
      <w:r>
        <w:t xml:space="preserve">I. Design Workshare Planning</w:t>
      </w:r>
    </w:p>
    <w:bookmarkStart w:id="9" w:name="overall-design-workshare-arrangement"/>
    <w:p>
      <w:pPr>
        <w:pStyle w:val="Heading3"/>
      </w:pPr>
      <w:r>
        <w:t xml:space="preserve">1. Overall Design Workshare Arrangement</w:t>
      </w:r>
    </w:p>
    <w:p>
      <w:pPr>
        <w:pStyle w:val="FirstParagraph"/>
      </w:pPr>
      <w:r>
        <w:t xml:space="preserve">It is recommended that the design work for this project be organized under a three-party arrangement. The first part is the main process units design, covering process, equipment, piping, structure, instrumentation, electrical and related interface design within the main production units, and taking responsibility for overall system integrity, key equipment interfaces and performance boundaries of the main units. The second part is the utilities and offsite systems design, covering plot plan, storage and handling, utilities, firefighting, power distribution, building and structural works, offsite pipelines and tie-ins to external utilities, and taking responsibility for the integrity and constructability of the overall plant supporting systems. The third part is local detailed design, covering detailed design, authority submission and construction conversion drawings for disciplines sensitive to local approval requirements, such as firefighting, HVAC, electrical and low-current systems.</w:t>
      </w:r>
    </w:p>
    <w:bookmarkEnd w:id="9"/>
    <w:bookmarkStart w:id="10" w:name="scope-of-main-process-units-design"/>
    <w:p>
      <w:pPr>
        <w:pStyle w:val="Heading3"/>
      </w:pPr>
      <w:r>
        <w:t xml:space="preserve">2. Scope of Main Process Units Design</w:t>
      </w:r>
    </w:p>
    <w:p>
      <w:pPr>
        <w:pStyle w:val="FirstParagraph"/>
      </w:pPr>
      <w:r>
        <w:t xml:space="preserve">The scope of the main process units design covers the core process systems, including pretreatment, main production and hydrogen generation units. The design content includes process flow, equipment layout, piping layout, structural platforms, equipment foundation inputs, instrumentation and electrical interfaces, firefighting interfaces, and related building MEP support. The design responsibility for the main units also includes integrated coordination of key equipment, package units and multidisciplinary interfaces. Major equipment types include reactors, fired heaters, compressors, centrifuges, pumps, heat exchangers, columns, and related critical valves and control systems. This part is recommended to be under Technip’s responsibility.</w:t>
      </w:r>
    </w:p>
    <w:bookmarkEnd w:id="10"/>
    <w:bookmarkStart w:id="11" w:name="Xdb3eae27ef842f3e24f07e62a63df094a6291b4"/>
    <w:p>
      <w:pPr>
        <w:pStyle w:val="Heading3"/>
      </w:pPr>
      <w:r>
        <w:t xml:space="preserve">3. Scope of Utilities and Supporting Systems Design</w:t>
      </w:r>
    </w:p>
    <w:p>
      <w:pPr>
        <w:pStyle w:val="FirstParagraph"/>
      </w:pPr>
      <w:r>
        <w:t xml:space="preserve">The scope of the utilities and supporting systems design includes plot plan and grading, office and control buildings, warehouses and maintenance facilities, tank farms, loading and unloading facilities, pipe racks, aboveground piping, underground piping, water treatment, steam boilers, cooling water, plant air and instrument air, nitrogen, natural gas, waste heat recovery, flare, IETS, firefighting water and power distribution systems. This portion covers multiple disciplines including storage and handling, utilities, buildings, electrical and firefighting, and is directly related to the overall site construction sequence, system handover and final readiness for operation. This part is recommended to be under ECIDI’s responsibility. However, to facilitate CCC and other government acceptance procedures, drawings for government submission are recommended to be converted by Technip.</w:t>
      </w:r>
    </w:p>
    <w:bookmarkEnd w:id="11"/>
    <w:bookmarkStart w:id="12" w:name="X6bde64de4dca6069abe3a2e64ce920012d90727"/>
    <w:p>
      <w:pPr>
        <w:pStyle w:val="Heading3"/>
      </w:pPr>
      <w:r>
        <w:t xml:space="preserve">4. Design and Management Approach for Utility Package Systems</w:t>
      </w:r>
    </w:p>
    <w:p>
      <w:pPr>
        <w:pStyle w:val="FirstParagraph"/>
      </w:pPr>
      <w:r>
        <w:t xml:space="preserve">For package systems within the utilities scope, such as boilers, gas systems, air compressor stations, water treatment and IETS, it is recommended to organize the work under the approach of</w:t>
      </w:r>
      <w:r>
        <w:t xml:space="preserve"> </w:t>
      </w:r>
      <w:r>
        <w:t xml:space="preserve">“design parties providing interfaces and parameters, specialist package vendors carrying out package design, and NCC taking EPC management responsibility.”</w:t>
      </w:r>
      <w:r>
        <w:t xml:space="preserve"> </w:t>
      </w:r>
      <w:r>
        <w:t xml:space="preserve">The main process design party and the utilities/supporting systems design party should define boundary conditions, interface parameters and overall technical requirements. Specialist package vendors should be responsible for the package-internal process, equipment, controls and package drawings. NCC should be responsible for end-to-end management of procurement, design coordination, manufacturing, shipment, site installation and interface close-out. This arrangement is more conducive to reducing repeated interface coordination among different package vendors.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 Scope</w:t>
            </w:r>
          </w:p>
        </w:tc>
        <w:tc>
          <w:tcPr/>
          <w:p>
            <w:pPr>
              <w:pStyle w:val="Compact"/>
            </w:pPr>
            <w:r>
              <w:t xml:space="preserve">Main Units / Areas</w:t>
            </w:r>
          </w:p>
        </w:tc>
        <w:tc>
          <w:tcPr/>
          <w:p>
            <w:pPr>
              <w:pStyle w:val="Compact"/>
            </w:pPr>
            <w:r>
              <w:t xml:space="preserve">Main Equipment / Facilities</w:t>
            </w:r>
          </w:p>
        </w:tc>
        <w:tc>
          <w:tcPr/>
          <w:p>
            <w:pPr>
              <w:pStyle w:val="Compact"/>
            </w:pPr>
            <w:r>
              <w:t xml:space="preserve">Recommended Responsible Party</w:t>
            </w:r>
          </w:p>
        </w:tc>
      </w:tr>
      <w:tr>
        <w:tc>
          <w:tcPr/>
          <w:p>
            <w:pPr>
              <w:pStyle w:val="Compact"/>
            </w:pPr>
            <w:r>
              <w:t xml:space="preserve">Main process units design</w:t>
            </w:r>
          </w:p>
        </w:tc>
        <w:tc>
          <w:tcPr/>
          <w:p>
            <w:pPr>
              <w:pStyle w:val="Compact"/>
            </w:pPr>
            <w:r>
              <w:t xml:space="preserve">Pretreatment unit, renewable fuel production unit, hydrogen generation unit</w:t>
            </w:r>
          </w:p>
        </w:tc>
        <w:tc>
          <w:tcPr/>
          <w:p>
            <w:pPr>
              <w:pStyle w:val="Compact"/>
            </w:pPr>
            <w:r>
              <w:t xml:space="preserve">Reactors, fired heaters, reformers, compressors, centrifuges, pumps, heat exchangers, columns, critical valves, DCS/SIS interfaces</w:t>
            </w:r>
          </w:p>
        </w:tc>
        <w:tc>
          <w:tcPr/>
          <w:p>
            <w:pPr>
              <w:pStyle w:val="Compact"/>
            </w:pPr>
            <w:r>
              <w:t xml:space="preserve">Technip</w:t>
            </w:r>
          </w:p>
        </w:tc>
      </w:tr>
      <w:tr>
        <w:tc>
          <w:tcPr/>
          <w:p>
            <w:pPr>
              <w:pStyle w:val="Compact"/>
            </w:pPr>
            <w:r>
              <w:t xml:space="preserve">Storage and loading/unloading systems design</w:t>
            </w:r>
          </w:p>
        </w:tc>
        <w:tc>
          <w:tcPr/>
          <w:p>
            <w:pPr>
              <w:pStyle w:val="Compact"/>
            </w:pPr>
            <w:r>
              <w:t xml:space="preserve">Tank Farm No. 1, Tank Farm No. 2, Tank Farm No. 3, loading/unloading station, in-plant pipe racks, offsite piping</w:t>
            </w:r>
          </w:p>
        </w:tc>
        <w:tc>
          <w:tcPr/>
          <w:p>
            <w:pPr>
              <w:pStyle w:val="Compact"/>
            </w:pPr>
            <w:r>
              <w:t xml:space="preserve">Feedstock tank farm, SAF tank farm, HVO tank farm and other process tanks, loading arms, loading facilities, transfer pumps, in-plant pipe racks, offsite piping and external pipelines</w:t>
            </w:r>
          </w:p>
        </w:tc>
        <w:tc>
          <w:tcPr/>
          <w:p>
            <w:pPr>
              <w:pStyle w:val="Compact"/>
            </w:pPr>
            <w:r>
              <w:t xml:space="preserve">ECIDI</w:t>
            </w:r>
          </w:p>
        </w:tc>
      </w:tr>
      <w:tr>
        <w:tc>
          <w:tcPr/>
          <w:p>
            <w:pPr>
              <w:pStyle w:val="Compact"/>
            </w:pPr>
            <w:r>
              <w:t xml:space="preserve">Utilities systems design</w:t>
            </w:r>
          </w:p>
        </w:tc>
        <w:tc>
          <w:tcPr/>
          <w:p>
            <w:pPr>
              <w:pStyle w:val="Compact"/>
            </w:pPr>
            <w:r>
              <w:t xml:space="preserve">Water treatment system, steam boiler system, cooling water system, plant air/instrument air system, nitrogen system, natural gas facilities, waste heat steam recovery system, ground flare system, industrial effluent treatment system, firefighting water system, emergency diesel power</w:t>
            </w:r>
          </w:p>
        </w:tc>
        <w:tc>
          <w:tcPr/>
          <w:p>
            <w:pPr>
              <w:pStyle w:val="Compact"/>
            </w:pPr>
            <w:r>
              <w:t xml:space="preserve">Water treatment packages, boiler proper and auxiliaries, cooling towers, circulating pumps, instrument air compressors, plant air compressors, nitrogen package units, natural gas pressure regulating facilities, waste heat recovery units, flare, wastewater treatment equipment, firefighting pumps, jockey pumps, firefighting water tanks, emergency diesel generators</w:t>
            </w:r>
          </w:p>
        </w:tc>
        <w:tc>
          <w:tcPr/>
          <w:p>
            <w:pPr>
              <w:pStyle w:val="Compact"/>
            </w:pPr>
            <w:r>
              <w:t xml:space="preserve">ECIDI</w:t>
            </w:r>
          </w:p>
        </w:tc>
      </w:tr>
      <w:tr>
        <w:tc>
          <w:tcPr/>
          <w:p>
            <w:pPr>
              <w:pStyle w:val="Compact"/>
            </w:pPr>
            <w:r>
              <w:t xml:space="preserve">Power distribution and plant-wide industrial electrical design</w:t>
            </w:r>
          </w:p>
        </w:tc>
        <w:tc>
          <w:tcPr/>
          <w:p>
            <w:pPr>
              <w:pStyle w:val="Compact"/>
            </w:pPr>
            <w:r>
              <w:t xml:space="preserve">Main substation, Substation No. 2, Substation No. 3, Substation No. 4</w:t>
            </w:r>
          </w:p>
        </w:tc>
        <w:tc>
          <w:tcPr/>
          <w:p>
            <w:pPr>
              <w:pStyle w:val="Compact"/>
            </w:pPr>
            <w:r>
              <w:t xml:space="preserve">Main transformers, MV/LV switchgear, distribution boards, VFDs, UPS, busducts, cable trays</w:t>
            </w:r>
          </w:p>
        </w:tc>
        <w:tc>
          <w:tcPr/>
          <w:p>
            <w:pPr>
              <w:pStyle w:val="Compact"/>
            </w:pPr>
            <w:r>
              <w:t xml:space="preserve">ECIDI</w:t>
            </w:r>
          </w:p>
        </w:tc>
      </w:tr>
      <w:tr>
        <w:tc>
          <w:tcPr/>
          <w:p>
            <w:pPr>
              <w:pStyle w:val="Compact"/>
            </w:pPr>
            <w:r>
              <w:t xml:space="preserve">Building and general layout design</w:t>
            </w:r>
          </w:p>
        </w:tc>
        <w:tc>
          <w:tcPr/>
          <w:p>
            <w:pPr>
              <w:pStyle w:val="Compact"/>
            </w:pPr>
            <w:r>
              <w:t xml:space="preserve">Plot plan and grading, roads and pavement, water supply and drainage, plant-wide building electrical and lighting systems, plant-wide lightning protection and grounding, boundary fence and gates, guard house, warehouse, maintenance workshop, office/control building, waste room</w:t>
            </w:r>
          </w:p>
        </w:tc>
        <w:tc>
          <w:tcPr/>
          <w:p>
            <w:pPr>
              <w:pStyle w:val="Compact"/>
            </w:pPr>
            <w:r>
              <w:t xml:space="preserve">Plot plan and grading, roads, fences, gates, warehouse, maintenance workshop, office/control building, waste room, together with HVAC, building firefighting, water supply and drainage, lighting, lightning protection and grounding, CCTV, access control and other ELV supporting facilities within buildings</w:t>
            </w:r>
          </w:p>
        </w:tc>
        <w:tc>
          <w:tcPr/>
          <w:p>
            <w:pPr>
              <w:pStyle w:val="Compact"/>
            </w:pPr>
            <w:r>
              <w:t xml:space="preserve">Technip</w:t>
            </w:r>
          </w:p>
        </w:tc>
      </w:tr>
      <w:tr>
        <w:tc>
          <w:tcPr/>
          <w:p>
            <w:pPr>
              <w:pStyle w:val="Compact"/>
            </w:pPr>
            <w:r>
              <w:t xml:space="preserve">Local detailed design</w:t>
            </w:r>
          </w:p>
        </w:tc>
        <w:tc>
          <w:tcPr/>
          <w:p>
            <w:pPr>
              <w:pStyle w:val="Compact"/>
            </w:pPr>
            <w:r>
              <w:t xml:space="preserve">Office/control building, substations, utility buildings and selected supporting areas of the main process units</w:t>
            </w:r>
          </w:p>
        </w:tc>
        <w:tc>
          <w:tcPr/>
          <w:p>
            <w:pPr>
              <w:pStyle w:val="Compact"/>
            </w:pPr>
            <w:r>
              <w:t xml:space="preserve">Detailed construction drawings for firefighting, HVAC, building electrical and low-current systems</w:t>
            </w:r>
          </w:p>
        </w:tc>
        <w:tc>
          <w:tcPr/>
          <w:p>
            <w:pPr>
              <w:pStyle w:val="Compact"/>
            </w:pPr>
            <w:r>
              <w:t xml:space="preserve">Construction subcontractor</w:t>
            </w:r>
          </w:p>
        </w:tc>
      </w:tr>
      <w:tr>
        <w:tc>
          <w:tcPr/>
          <w:p>
            <w:pPr>
              <w:pStyle w:val="Compact"/>
            </w:pPr>
            <w:r>
              <w:t xml:space="preserve">Utilities package interface design</w:t>
            </w:r>
          </w:p>
        </w:tc>
        <w:tc>
          <w:tcPr/>
          <w:p>
            <w:pPr>
              <w:pStyle w:val="Compact"/>
            </w:pPr>
            <w:r>
              <w:t xml:space="preserve">Steam boiler system, plant air/instrument air system, nitrogen system, natural gas facilities, industrial effluent treatment system, etc.</w:t>
            </w:r>
          </w:p>
        </w:tc>
        <w:tc>
          <w:tcPr/>
          <w:p>
            <w:pPr>
              <w:pStyle w:val="Compact"/>
            </w:pPr>
            <w:r>
              <w:t xml:space="preserve">Interfaces and parameters for boiler, plant air/instrument air, nitrogen, natural gas, IETS and other package systems</w:t>
            </w:r>
          </w:p>
        </w:tc>
        <w:tc>
          <w:tcPr/>
          <w:p>
            <w:pPr>
              <w:pStyle w:val="Compact"/>
            </w:pPr>
            <w:r>
              <w:t xml:space="preserve">Design parties define requirements; package vendors perform package-internal design; NCC provides EPC management</w:t>
            </w:r>
          </w:p>
        </w:tc>
      </w:tr>
    </w:tbl>
    <w:bookmarkEnd w:id="12"/>
    <w:bookmarkStart w:id="13" w:name="scope-of-local-detailed-design"/>
    <w:p>
      <w:pPr>
        <w:pStyle w:val="Heading3"/>
      </w:pPr>
      <w:r>
        <w:t xml:space="preserve">5. Scope of Local Detailed Design</w:t>
      </w:r>
    </w:p>
    <w:p>
      <w:pPr>
        <w:pStyle w:val="FirstParagraph"/>
      </w:pPr>
      <w:r>
        <w:t xml:space="preserve">Local detailed design should focus on four disciplines: firefighting, HVAC, electrical and low-current systems. Major content includes firefighting layouts, gas suppression and foam system diagrams, HVAC equipment positioning and duct routing, cable routing, panel and distribution box drawings, CCTV layouts and access control layouts. These drawings are closely related to local fire submission, building acceptance, electrical acceptance and construction execution. The emphasis of local detailed design should be placed on utility buildings, auxiliary facilities and supporting areas. Within the main process units, only the portions directly related to local codes, building MEP and supporting interfaces should remain within the local detailed design scope. This part is recommended to be performed by the construction subcontractor.</w:t>
      </w:r>
    </w:p>
    <w:bookmarkEnd w:id="13"/>
    <w:bookmarkStart w:id="14" w:name="conclusion-of-design-section"/>
    <w:p>
      <w:pPr>
        <w:pStyle w:val="Heading3"/>
      </w:pPr>
      <w:r>
        <w:t xml:space="preserve">6. Conclusion of Design Section</w:t>
      </w:r>
    </w:p>
    <w:p>
      <w:pPr>
        <w:pStyle w:val="FirstParagraph"/>
      </w:pPr>
      <w:r>
        <w:t xml:space="preserve">Design responsibility should cover four levels simultaneously: main process units design, utilities and supporting systems design, utilities package design management, and local detailed design. Responsibility for the main process units design, supporting systems design, package interfaces and local detailed design should each be clearly defined at the early stage of the project and carried through into procurement, construction, authority submission and schedule planning interfaces, so as to reduce later interface overlap, unclear responsibilities and delays in approval submission.</w:t>
      </w:r>
    </w:p>
    <w:bookmarkEnd w:id="14"/>
    <w:bookmarkEnd w:id="15"/>
    <w:bookmarkStart w:id="27" w:name="ii.-procurement-workshare-planning"/>
    <w:p>
      <w:pPr>
        <w:pStyle w:val="Heading2"/>
      </w:pPr>
      <w:r>
        <w:t xml:space="preserve">II. Procurement Workshare Planning</w:t>
      </w:r>
    </w:p>
    <w:bookmarkStart w:id="16" w:name="X6b7d2c0a8166f3f95b41fcea7da65336ebe4ed2"/>
    <w:p>
      <w:pPr>
        <w:pStyle w:val="Heading3"/>
      </w:pPr>
      <w:r>
        <w:t xml:space="preserve">1. Overall Procurement Workshare Arrangement</w:t>
      </w:r>
    </w:p>
    <w:p>
      <w:pPr>
        <w:pStyle w:val="FirstParagraph"/>
      </w:pPr>
      <w:r>
        <w:t xml:space="preserve">Procurement workshare is recommended to be defined based on system responsibility, prefabrication arrangement and the strength of site interfaces. Key equipment, key package systems and materials sensitive to the performance responsibility of the main process units should remain under the control of the party responsible for the main process units. Bulk main materials, prefabrication-related materials and materials with strong construction interfaces should remain under the control of the execution party. Materials requiring fast local response and close linkage with site windows should be managed within the local procurement chain.</w:t>
      </w:r>
    </w:p>
    <w:bookmarkEnd w:id="16"/>
    <w:bookmarkStart w:id="17" w:name="recommended-procurement-standards"/>
    <w:p>
      <w:pPr>
        <w:pStyle w:val="Heading3"/>
      </w:pPr>
      <w:r>
        <w:t xml:space="preserve">2. Recommended Procurement Standards</w:t>
      </w:r>
    </w:p>
    <w:p>
      <w:pPr>
        <w:pStyle w:val="FirstParagraph"/>
      </w:pPr>
      <w:r>
        <w:t xml:space="preserve">It is recommended that procurement be organized primarily under a combined basis of</w:t>
      </w:r>
      <w:r>
        <w:t xml:space="preserve"> </w:t>
      </w:r>
      <w:r>
        <w:rPr>
          <w:rStyle w:val="VerbatimChar"/>
        </w:rPr>
        <w:t xml:space="preserve">ASME + Chinese standards</w:t>
      </w:r>
      <w:r>
        <w:t xml:space="preserve">. For pressure equipment, piping, materials and welding, key technical requirements should mainly follow the ASME framework while aligning as much as possible with mature Chinese equipment manufacturers, material systems and manufacturing standards. This is more favorable for leveraging the advantages of the Chinese supply chain in equipment manufacturing, material matching, prefabrication and delivery lead time, and is also more favorable for the subsequent linkage between domestic prefabrication, cross-border shipment and site installation.</w:t>
      </w:r>
    </w:p>
    <w:bookmarkEnd w:id="17"/>
    <w:bookmarkStart w:id="18" w:name="procurement-scope-led-by-technip"/>
    <w:p>
      <w:pPr>
        <w:pStyle w:val="Heading3"/>
      </w:pPr>
      <w:r>
        <w:t xml:space="preserve">3. Procurement Scope Led by Technip</w:t>
      </w:r>
    </w:p>
    <w:p>
      <w:pPr>
        <w:pStyle w:val="FirstParagraph"/>
      </w:pPr>
      <w:r>
        <w:t xml:space="preserve">Technip-led procurement is recommended to focus on key equipment, key package systems, key control systems and equipment that is sensitive to performance responsibility. This mainly includes reactors, fired heaters, compressors, centrifuges, critical control valves, critical safety valves, DCS/SIS and related key package systems. These items generally share three characteristics: strong system responsibility, long manufacturing cycles and complex interface boundaries. They are therefore better controlled by Technip in terms of technical clarification, vendor alignment, delivery status and supply responsibility.</w:t>
      </w:r>
    </w:p>
    <w:bookmarkEnd w:id="18"/>
    <w:bookmarkStart w:id="19" w:name="X041313299e0aef42987a7aeeb2c4935874be31c"/>
    <w:p>
      <w:pPr>
        <w:pStyle w:val="Heading3"/>
      </w:pPr>
      <w:r>
        <w:t xml:space="preserve">4. Recommended Major Equipment Suppliers and Brands</w:t>
      </w:r>
    </w:p>
    <w:p>
      <w:pPr>
        <w:pStyle w:val="FirstParagraph"/>
      </w:pPr>
      <w:r>
        <w:t xml:space="preserve">It is recommended to prioritize suppliers and brands that have project references in Malaysia, can provide local after-sales service, and offer relatively stable delivery performance. In previous projects, the main compressor suppliers included Shengu and Shenyang Yuanda; fired heater suppliers included Top Industry and Shanghai Zhuoran; centrifuges were mainly supplied by Alfa Laval; DCS/SIS was mainly supplied by Emerson; and frequently seen valve and control valve suppliers included Keystone, Vatech and Leser. For this project, the brand recommendations should not be treated as a final approved vendor list, but rather as a preferred list for early inquiry and technical clarification. For key equipment under Technip-led procurement, it is recommended to lock in both primary and backup brands for reactors, fired heaters, compressors, centrifuges, critical control valves and DCS/SIS at an early stage, so as to avoid later disruption caused by single-vendor delivery or interface issues.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Equipment / Material Category</w:t>
            </w:r>
          </w:p>
        </w:tc>
        <w:tc>
          <w:tcPr/>
          <w:p>
            <w:pPr>
              <w:pStyle w:val="Compact"/>
            </w:pPr>
            <w:r>
              <w:t xml:space="preserve">Main Suppliers / Brands in Previous Projects</w:t>
            </w:r>
          </w:p>
        </w:tc>
        <w:tc>
          <w:tcPr/>
          <w:p>
            <w:pPr>
              <w:pStyle w:val="Compact"/>
            </w:pPr>
            <w:r>
              <w:t xml:space="preserve">Recommended Allocation for This Project</w:t>
            </w:r>
          </w:p>
        </w:tc>
        <w:tc>
          <w:tcPr/>
          <w:p>
            <w:pPr>
              <w:pStyle w:val="Compact"/>
            </w:pPr>
            <w:r>
              <w:t xml:space="preserve">Remarks</w:t>
            </w:r>
          </w:p>
        </w:tc>
      </w:tr>
      <w:tr>
        <w:tc>
          <w:tcPr/>
          <w:p>
            <w:pPr>
              <w:pStyle w:val="Compact"/>
            </w:pPr>
            <w:r>
              <w:t xml:space="preserve">Reactors</w:t>
            </w:r>
          </w:p>
        </w:tc>
        <w:tc>
          <w:tcPr/>
          <w:p>
            <w:pPr>
              <w:pStyle w:val="Compact"/>
            </w:pPr>
            <w:r>
              <w:t xml:space="preserve">Fushun Machinery, Jiangsu Jiangguo</w:t>
            </w:r>
          </w:p>
        </w:tc>
        <w:tc>
          <w:tcPr/>
          <w:p>
            <w:pPr>
              <w:pStyle w:val="Compact"/>
            </w:pPr>
            <w:r>
              <w:t xml:space="preserve">Technip-led</w:t>
            </w:r>
          </w:p>
        </w:tc>
        <w:tc>
          <w:tcPr/>
          <w:p>
            <w:pPr>
              <w:pStyle w:val="Compact"/>
            </w:pPr>
            <w:r>
              <w:t xml:space="preserve">Critical process equipment; primary and backup vendors should be locked in early</w:t>
            </w:r>
          </w:p>
        </w:tc>
      </w:tr>
      <w:tr>
        <w:tc>
          <w:tcPr/>
          <w:p>
            <w:pPr>
              <w:pStyle w:val="Compact"/>
            </w:pPr>
            <w:r>
              <w:t xml:space="preserve">Hydrogen reformers / fired heaters / reforming furnaces</w:t>
            </w:r>
          </w:p>
        </w:tc>
        <w:tc>
          <w:tcPr/>
          <w:p>
            <w:pPr>
              <w:pStyle w:val="Compact"/>
            </w:pPr>
            <w:r>
              <w:t xml:space="preserve">Top Industry, Shanghai Zhuoran</w:t>
            </w:r>
          </w:p>
        </w:tc>
        <w:tc>
          <w:tcPr/>
          <w:p>
            <w:pPr>
              <w:pStyle w:val="Compact"/>
            </w:pPr>
            <w:r>
              <w:t xml:space="preserve">Technip-led</w:t>
            </w:r>
          </w:p>
        </w:tc>
        <w:tc>
          <w:tcPr/>
          <w:p>
            <w:pPr>
              <w:pStyle w:val="Compact"/>
            </w:pPr>
            <w:r>
              <w:t xml:space="preserve">Large equipment; transport and installation constraints should be considered in parallel</w:t>
            </w:r>
          </w:p>
        </w:tc>
      </w:tr>
      <w:tr>
        <w:tc>
          <w:tcPr/>
          <w:p>
            <w:pPr>
              <w:pStyle w:val="Compact"/>
            </w:pPr>
            <w:r>
              <w:t xml:space="preserve">Compressors</w:t>
            </w:r>
          </w:p>
        </w:tc>
        <w:tc>
          <w:tcPr/>
          <w:p>
            <w:pPr>
              <w:pStyle w:val="Compact"/>
            </w:pPr>
            <w:r>
              <w:t xml:space="preserve">Shengu, Shenyang Yuanda, FS-Elliott</w:t>
            </w:r>
          </w:p>
        </w:tc>
        <w:tc>
          <w:tcPr/>
          <w:p>
            <w:pPr>
              <w:pStyle w:val="Compact"/>
            </w:pPr>
            <w:r>
              <w:t xml:space="preserve">Technip-led</w:t>
            </w:r>
          </w:p>
        </w:tc>
        <w:tc>
          <w:tcPr/>
          <w:p>
            <w:pPr>
              <w:pStyle w:val="Compact"/>
            </w:pPr>
            <w:r>
              <w:t xml:space="preserve">Critical rotating equipment; technical clarification and delivery lock-in should be prioritized</w:t>
            </w:r>
          </w:p>
        </w:tc>
      </w:tr>
      <w:tr>
        <w:tc>
          <w:tcPr/>
          <w:p>
            <w:pPr>
              <w:pStyle w:val="Compact"/>
            </w:pPr>
            <w:r>
              <w:t xml:space="preserve">Centrifuges</w:t>
            </w:r>
          </w:p>
        </w:tc>
        <w:tc>
          <w:tcPr/>
          <w:p>
            <w:pPr>
              <w:pStyle w:val="Compact"/>
            </w:pPr>
            <w:r>
              <w:t xml:space="preserve">Alfa Laval Denmark, Alfa Laval Sweden, Alfa Laval India, Alfa Laval China</w:t>
            </w:r>
          </w:p>
        </w:tc>
        <w:tc>
          <w:tcPr/>
          <w:p>
            <w:pPr>
              <w:pStyle w:val="Compact"/>
            </w:pPr>
            <w:r>
              <w:t xml:space="preserve">Technip-led</w:t>
            </w:r>
          </w:p>
        </w:tc>
        <w:tc>
          <w:tcPr/>
          <w:p>
            <w:pPr>
              <w:pStyle w:val="Compact"/>
            </w:pPr>
            <w:r>
              <w:t xml:space="preserve">International logistics cycle is relatively long and should be brought forward separately</w:t>
            </w:r>
          </w:p>
        </w:tc>
      </w:tr>
      <w:tr>
        <w:tc>
          <w:tcPr/>
          <w:p>
            <w:pPr>
              <w:pStyle w:val="Compact"/>
            </w:pPr>
            <w:r>
              <w:t xml:space="preserve">Pumps</w:t>
            </w:r>
          </w:p>
        </w:tc>
        <w:tc>
          <w:tcPr/>
          <w:p>
            <w:pPr>
              <w:pStyle w:val="Compact"/>
            </w:pPr>
            <w:r>
              <w:t xml:space="preserve">LEWA, Dalian Deep Blue, KSB / Ebara-related suppliers</w:t>
            </w:r>
          </w:p>
        </w:tc>
        <w:tc>
          <w:tcPr/>
          <w:p>
            <w:pPr>
              <w:pStyle w:val="Compact"/>
            </w:pPr>
            <w:r>
              <w:t xml:space="preserve">To be allocated based on system criticality</w:t>
            </w:r>
          </w:p>
        </w:tc>
        <w:tc>
          <w:tcPr/>
          <w:p>
            <w:pPr>
              <w:pStyle w:val="Compact"/>
            </w:pPr>
            <w:r>
              <w:t xml:space="preserve">Critical pumps may remain under Technip; general pumps may be organized by NCC</w:t>
            </w:r>
          </w:p>
        </w:tc>
      </w:tr>
      <w:tr>
        <w:tc>
          <w:tcPr/>
          <w:p>
            <w:pPr>
              <w:pStyle w:val="Compact"/>
            </w:pPr>
            <w:r>
              <w:t xml:space="preserve">DCS/SIS</w:t>
            </w:r>
          </w:p>
        </w:tc>
        <w:tc>
          <w:tcPr/>
          <w:p>
            <w:pPr>
              <w:pStyle w:val="Compact"/>
            </w:pPr>
            <w:r>
              <w:t xml:space="preserve">Emerson</w:t>
            </w:r>
          </w:p>
        </w:tc>
        <w:tc>
          <w:tcPr/>
          <w:p>
            <w:pPr>
              <w:pStyle w:val="Compact"/>
            </w:pPr>
            <w:r>
              <w:t xml:space="preserve">Technip-led</w:t>
            </w:r>
          </w:p>
        </w:tc>
        <w:tc>
          <w:tcPr/>
          <w:p>
            <w:pPr>
              <w:pStyle w:val="Compact"/>
            </w:pPr>
            <w:r>
              <w:t xml:space="preserve">Control system interfaces are complex and should remain under unified control</w:t>
            </w:r>
          </w:p>
        </w:tc>
      </w:tr>
      <w:tr>
        <w:tc>
          <w:tcPr/>
          <w:p>
            <w:pPr>
              <w:pStyle w:val="Compact"/>
            </w:pPr>
            <w:r>
              <w:t xml:space="preserve">Critical control valves / regulating valves</w:t>
            </w:r>
          </w:p>
        </w:tc>
        <w:tc>
          <w:tcPr/>
          <w:p>
            <w:pPr>
              <w:pStyle w:val="Compact"/>
            </w:pPr>
            <w:r>
              <w:t xml:space="preserve">Vatech, Keystone</w:t>
            </w:r>
          </w:p>
        </w:tc>
        <w:tc>
          <w:tcPr/>
          <w:p>
            <w:pPr>
              <w:pStyle w:val="Compact"/>
            </w:pPr>
            <w:r>
              <w:t xml:space="preserve">Technip-led</w:t>
            </w:r>
          </w:p>
        </w:tc>
        <w:tc>
          <w:tcPr/>
          <w:p>
            <w:pPr>
              <w:pStyle w:val="Compact"/>
            </w:pPr>
            <w:r>
              <w:t xml:space="preserve">Strong impact on system control and interlock</w:t>
            </w:r>
          </w:p>
        </w:tc>
      </w:tr>
      <w:tr>
        <w:tc>
          <w:tcPr/>
          <w:p>
            <w:pPr>
              <w:pStyle w:val="Compact"/>
            </w:pPr>
            <w:r>
              <w:t xml:space="preserve">Safety valves</w:t>
            </w:r>
          </w:p>
        </w:tc>
        <w:tc>
          <w:tcPr/>
          <w:p>
            <w:pPr>
              <w:pStyle w:val="Compact"/>
            </w:pPr>
            <w:r>
              <w:t xml:space="preserve">Leser, Leser Safety Valve</w:t>
            </w:r>
          </w:p>
        </w:tc>
        <w:tc>
          <w:tcPr/>
          <w:p>
            <w:pPr>
              <w:pStyle w:val="Compact"/>
            </w:pPr>
            <w:r>
              <w:t xml:space="preserve">Technip-led or allocated by system</w:t>
            </w:r>
          </w:p>
        </w:tc>
        <w:tc>
          <w:tcPr/>
          <w:p>
            <w:pPr>
              <w:pStyle w:val="Compact"/>
            </w:pPr>
            <w:r>
              <w:t xml:space="preserve">Certification and local acceptance requirements should be considered early</w:t>
            </w:r>
          </w:p>
        </w:tc>
      </w:tr>
      <w:tr>
        <w:tc>
          <w:tcPr/>
          <w:p>
            <w:pPr>
              <w:pStyle w:val="Compact"/>
            </w:pPr>
            <w:r>
              <w:t xml:space="preserve">High-pressure / process valves</w:t>
            </w:r>
          </w:p>
        </w:tc>
        <w:tc>
          <w:tcPr/>
          <w:p>
            <w:pPr>
              <w:pStyle w:val="Compact"/>
            </w:pPr>
            <w:r>
              <w:t xml:space="preserve">Keystone, Jiangsu Dafa, Dago, Anhui Tongdu</w:t>
            </w:r>
          </w:p>
        </w:tc>
        <w:tc>
          <w:tcPr/>
          <w:p>
            <w:pPr>
              <w:pStyle w:val="Compact"/>
            </w:pPr>
            <w:r>
              <w:t xml:space="preserve">Mainly NCC cross-border procurement</w:t>
            </w:r>
          </w:p>
        </w:tc>
        <w:tc>
          <w:tcPr/>
          <w:p>
            <w:pPr>
              <w:pStyle w:val="Compact"/>
            </w:pPr>
            <w:r>
              <w:t xml:space="preserve">Closely linked to piping installation and prefabrication</w:t>
            </w:r>
          </w:p>
        </w:tc>
      </w:tr>
      <w:tr>
        <w:tc>
          <w:tcPr/>
          <w:p>
            <w:pPr>
              <w:pStyle w:val="Compact"/>
            </w:pPr>
            <w:r>
              <w:t xml:space="preserve">Firefighting valves</w:t>
            </w:r>
          </w:p>
        </w:tc>
        <w:tc>
          <w:tcPr/>
          <w:p>
            <w:pPr>
              <w:pStyle w:val="Compact"/>
            </w:pPr>
            <w:r>
              <w:t xml:space="preserve">Anhui Tongdu, etc.</w:t>
            </w:r>
          </w:p>
        </w:tc>
        <w:tc>
          <w:tcPr/>
          <w:p>
            <w:pPr>
              <w:pStyle w:val="Compact"/>
            </w:pPr>
            <w:r>
              <w:t xml:space="preserve">NCC cross-border procurement or local supplement</w:t>
            </w:r>
          </w:p>
        </w:tc>
        <w:tc>
          <w:tcPr/>
          <w:p>
            <w:pPr>
              <w:pStyle w:val="Compact"/>
            </w:pPr>
            <w:r>
              <w:t xml:space="preserve">Strong linkage to firefighting package systems and local acceptance</w:t>
            </w:r>
          </w:p>
        </w:tc>
      </w:tr>
      <w:tr>
        <w:tc>
          <w:tcPr/>
          <w:p>
            <w:pPr>
              <w:pStyle w:val="Compact"/>
            </w:pPr>
            <w:r>
              <w:t xml:space="preserve">Instrument tubing valves / instrument accessories</w:t>
            </w:r>
          </w:p>
        </w:tc>
        <w:tc>
          <w:tcPr/>
          <w:p>
            <w:pPr>
              <w:pStyle w:val="Compact"/>
            </w:pPr>
            <w:r>
              <w:t xml:space="preserve">Haiwei, Yokogawa, ABB</w:t>
            </w:r>
          </w:p>
        </w:tc>
        <w:tc>
          <w:tcPr/>
          <w:p>
            <w:pPr>
              <w:pStyle w:val="Compact"/>
            </w:pPr>
            <w:r>
              <w:t xml:space="preserve">Mainly NCC cross-border procurement</w:t>
            </w:r>
          </w:p>
        </w:tc>
        <w:tc>
          <w:tcPr/>
          <w:p>
            <w:pPr>
              <w:pStyle w:val="Compact"/>
            </w:pPr>
            <w:r>
              <w:t xml:space="preserve">Large consumption during later commissioning and system completion</w:t>
            </w:r>
          </w:p>
        </w:tc>
      </w:tr>
      <w:tr>
        <w:tc>
          <w:tcPr/>
          <w:p>
            <w:pPr>
              <w:pStyle w:val="Compact"/>
            </w:pPr>
            <w:r>
              <w:t xml:space="preserve">Mass flowmeters / analytical instruments</w:t>
            </w:r>
          </w:p>
        </w:tc>
        <w:tc>
          <w:tcPr/>
          <w:p>
            <w:pPr>
              <w:pStyle w:val="Compact"/>
            </w:pPr>
            <w:r>
              <w:t xml:space="preserve">Yokogawa, ABB</w:t>
            </w:r>
          </w:p>
        </w:tc>
        <w:tc>
          <w:tcPr/>
          <w:p>
            <w:pPr>
              <w:pStyle w:val="Compact"/>
            </w:pPr>
            <w:r>
              <w:t xml:space="preserve">To be allocated based on system criticality</w:t>
            </w:r>
          </w:p>
        </w:tc>
        <w:tc>
          <w:tcPr/>
          <w:p>
            <w:pPr>
              <w:pStyle w:val="Compact"/>
            </w:pPr>
            <w:r>
              <w:t xml:space="preserve">Critical analyzers should be locked in early</w:t>
            </w:r>
          </w:p>
        </w:tc>
      </w:tr>
      <w:tr>
        <w:tc>
          <w:tcPr/>
          <w:p>
            <w:pPr>
              <w:pStyle w:val="Compact"/>
            </w:pPr>
            <w:r>
              <w:t xml:space="preserve">Bleaching earth conveying system / circulating water package</w:t>
            </w:r>
          </w:p>
        </w:tc>
        <w:tc>
          <w:tcPr/>
          <w:p>
            <w:pPr>
              <w:pStyle w:val="Compact"/>
            </w:pPr>
            <w:r>
              <w:t xml:space="preserve">Package supply samples available in previous projects</w:t>
            </w:r>
          </w:p>
        </w:tc>
        <w:tc>
          <w:tcPr/>
          <w:p>
            <w:pPr>
              <w:pStyle w:val="Compact"/>
            </w:pPr>
            <w:r>
              <w:t xml:space="preserve">Technip or NCC EPC management</w:t>
            </w:r>
          </w:p>
        </w:tc>
        <w:tc>
          <w:tcPr/>
          <w:p>
            <w:pPr>
              <w:pStyle w:val="Compact"/>
            </w:pPr>
            <w:r>
              <w:t xml:space="preserve">Should be managed separately under a package-interface approach</w:t>
            </w:r>
          </w:p>
        </w:tc>
      </w:tr>
      <w:tr>
        <w:tc>
          <w:tcPr/>
          <w:p>
            <w:pPr>
              <w:pStyle w:val="Compact"/>
            </w:pPr>
            <w:r>
              <w:t xml:space="preserve">Water treatment / IETS / boiler / gas / air compressor package systems</w:t>
            </w:r>
          </w:p>
        </w:tc>
        <w:tc>
          <w:tcPr/>
          <w:p>
            <w:pPr>
              <w:pStyle w:val="Compact"/>
            </w:pPr>
            <w:r>
              <w:t xml:space="preserve">Previous projects used multiple specialist vendors</w:t>
            </w:r>
          </w:p>
        </w:tc>
        <w:tc>
          <w:tcPr/>
          <w:p>
            <w:pPr>
              <w:pStyle w:val="Compact"/>
            </w:pPr>
            <w:r>
              <w:t xml:space="preserve">NCC EPC management</w:t>
            </w:r>
          </w:p>
        </w:tc>
        <w:tc>
          <w:tcPr/>
          <w:p>
            <w:pPr>
              <w:pStyle w:val="Compact"/>
            </w:pPr>
            <w:r>
              <w:t xml:space="preserve">Design parties define interfaces, vendors perform package-internal design, NCC manages overall execution</w:t>
            </w:r>
          </w:p>
        </w:tc>
      </w:tr>
      <w:tr>
        <w:tc>
          <w:tcPr/>
          <w:p>
            <w:pPr>
              <w:pStyle w:val="Compact"/>
            </w:pPr>
            <w:r>
              <w:t xml:space="preserve">Structural steel</w:t>
            </w:r>
          </w:p>
        </w:tc>
        <w:tc>
          <w:tcPr/>
          <w:p>
            <w:pPr>
              <w:pStyle w:val="Compact"/>
            </w:pPr>
            <w:r>
              <w:t xml:space="preserve">NCC organized multiple batches of procurement and prefabrication in previous projects</w:t>
            </w:r>
          </w:p>
        </w:tc>
        <w:tc>
          <w:tcPr/>
          <w:p>
            <w:pPr>
              <w:pStyle w:val="Compact"/>
            </w:pPr>
            <w:r>
              <w:t xml:space="preserve">NCC cross-border procurement with domestic prefabrication</w:t>
            </w:r>
          </w:p>
        </w:tc>
        <w:tc>
          <w:tcPr/>
          <w:p>
            <w:pPr>
              <w:pStyle w:val="Compact"/>
            </w:pPr>
            <w:r>
              <w:t xml:space="preserve">Recommended to remain under NCC for domestic procurement and prefabrication</w:t>
            </w:r>
          </w:p>
        </w:tc>
      </w:tr>
      <w:tr>
        <w:tc>
          <w:tcPr/>
          <w:p>
            <w:pPr>
              <w:pStyle w:val="Compact"/>
            </w:pPr>
            <w:r>
              <w:t xml:space="preserve">Piping bulk materials / fittings / flanges</w:t>
            </w:r>
          </w:p>
        </w:tc>
        <w:tc>
          <w:tcPr/>
          <w:p>
            <w:pPr>
              <w:pStyle w:val="Compact"/>
            </w:pPr>
            <w:r>
              <w:t xml:space="preserve">Sample suppliers such as Shihua and Wujin</w:t>
            </w:r>
          </w:p>
        </w:tc>
        <w:tc>
          <w:tcPr/>
          <w:p>
            <w:pPr>
              <w:pStyle w:val="Compact"/>
            </w:pPr>
            <w:r>
              <w:t xml:space="preserve">NCC cross-border procurement with domestic prefabrication</w:t>
            </w:r>
          </w:p>
        </w:tc>
        <w:tc>
          <w:tcPr/>
          <w:p>
            <w:pPr>
              <w:pStyle w:val="Compact"/>
            </w:pPr>
            <w:r>
              <w:t xml:space="preserve">Directly related to prefabrication and installation windows</w:t>
            </w:r>
          </w:p>
        </w:tc>
      </w:tr>
      <w:tr>
        <w:tc>
          <w:tcPr/>
          <w:p>
            <w:pPr>
              <w:pStyle w:val="Compact"/>
            </w:pPr>
            <w:r>
              <w:t xml:space="preserve">Prefabricated tank plates / tank accessories</w:t>
            </w:r>
          </w:p>
        </w:tc>
        <w:tc>
          <w:tcPr/>
          <w:p>
            <w:pPr>
              <w:pStyle w:val="Compact"/>
            </w:pPr>
            <w:r>
              <w:t xml:space="preserve">NCC organized multiple batches of procurement and shipment in previous projects</w:t>
            </w:r>
          </w:p>
        </w:tc>
        <w:tc>
          <w:tcPr/>
          <w:p>
            <w:pPr>
              <w:pStyle w:val="Compact"/>
            </w:pPr>
            <w:r>
              <w:t xml:space="preserve">NCC cross-border procurement with domestic prefabrication</w:t>
            </w:r>
          </w:p>
        </w:tc>
        <w:tc>
          <w:tcPr/>
          <w:p>
            <w:pPr>
              <w:pStyle w:val="Compact"/>
            </w:pPr>
            <w:r>
              <w:t xml:space="preserve">Recommended to be managed in one line together with tank construction and logistics planning</w:t>
            </w:r>
          </w:p>
        </w:tc>
      </w:tr>
      <w:tr>
        <w:tc>
          <w:tcPr/>
          <w:p>
            <w:pPr>
              <w:pStyle w:val="Compact"/>
            </w:pPr>
            <w:r>
              <w:t xml:space="preserve">Cables / trays / panels / VFDs</w:t>
            </w:r>
          </w:p>
        </w:tc>
        <w:tc>
          <w:tcPr/>
          <w:p>
            <w:pPr>
              <w:pStyle w:val="Compact"/>
            </w:pPr>
            <w:r>
              <w:t xml:space="preserve">Sample brands such as Tiankang and Siemens</w:t>
            </w:r>
          </w:p>
        </w:tc>
        <w:tc>
          <w:tcPr/>
          <w:p>
            <w:pPr>
              <w:pStyle w:val="Compact"/>
            </w:pPr>
            <w:r>
              <w:t xml:space="preserve">Combination of NCC local procurement and cross-border procurement</w:t>
            </w:r>
          </w:p>
        </w:tc>
        <w:tc>
          <w:tcPr/>
          <w:p>
            <w:pPr>
              <w:pStyle w:val="Compact"/>
            </w:pPr>
            <w:r>
              <w:t xml:space="preserve">Should be released on a rolling basis according to local code requirements and site windows</w:t>
            </w:r>
          </w:p>
        </w:tc>
      </w:tr>
    </w:tbl>
    <w:bookmarkEnd w:id="19"/>
    <w:bookmarkStart w:id="20" w:name="X3f6a6a556889b1d8e53e21068b21a6c2a1b3552"/>
    <w:p>
      <w:pPr>
        <w:pStyle w:val="Heading3"/>
      </w:pPr>
      <w:r>
        <w:t xml:space="preserve">5. Recommended Suppliers for Major Package Systems, Structural Steel and Tank Materials</w:t>
      </w:r>
    </w:p>
    <w:p>
      <w:pPr>
        <w:pStyle w:val="FirstParagraph"/>
      </w:pPr>
      <w:r>
        <w:t xml:space="preserve">Existing project records already support supplier information for selected package systems, tank plate brands and structural steel suppliers. For these materials, it is recommended to distinguish among three levels:</w:t>
      </w:r>
      <w:r>
        <w:t xml:space="preserve"> </w:t>
      </w:r>
      <w:r>
        <w:t xml:space="preserve">“system supplier / brand”</w:t>
      </w:r>
      <w:r>
        <w:t xml:space="preserve">,</w:t>
      </w:r>
      <w:r>
        <w:t xml:space="preserve"> </w:t>
      </w:r>
      <w:r>
        <w:t xml:space="preserve">“material brand”</w:t>
      </w:r>
      <w:r>
        <w:t xml:space="preserve">, and</w:t>
      </w:r>
      <w:r>
        <w:t xml:space="preserve"> </w:t>
      </w:r>
      <w:r>
        <w:t xml:space="preserve">“supply or prefabrication contractor”</w:t>
      </w:r>
      <w:r>
        <w:t xml:space="preserve">, so as to avoid mixing package vendors, steel plate brands and site prefabrication/installation contractors together.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Main Suppliers / Brands or Supply Entities in Previous Projects</w:t>
            </w:r>
          </w:p>
        </w:tc>
        <w:tc>
          <w:tcPr/>
          <w:p>
            <w:pPr>
              <w:pStyle w:val="Compact"/>
            </w:pPr>
            <w:r>
              <w:t xml:space="preserve">Recommended Allocation for This Project</w:t>
            </w:r>
          </w:p>
        </w:tc>
        <w:tc>
          <w:tcPr/>
          <w:p>
            <w:pPr>
              <w:pStyle w:val="Compact"/>
            </w:pPr>
            <w:r>
              <w:t xml:space="preserve">Remarks</w:t>
            </w:r>
          </w:p>
        </w:tc>
      </w:tr>
      <w:tr>
        <w:tc>
          <w:tcPr/>
          <w:p>
            <w:pPr>
              <w:pStyle w:val="Compact"/>
            </w:pPr>
            <w:r>
              <w:t xml:space="preserve">Ground flare system</w:t>
            </w:r>
          </w:p>
        </w:tc>
        <w:tc>
          <w:tcPr/>
          <w:p>
            <w:pPr>
              <w:pStyle w:val="Compact"/>
            </w:pPr>
            <w:r>
              <w:t xml:space="preserve">ZEECON</w:t>
            </w:r>
          </w:p>
        </w:tc>
        <w:tc>
          <w:tcPr/>
          <w:p>
            <w:pPr>
              <w:pStyle w:val="Compact"/>
            </w:pPr>
            <w:r>
              <w:t xml:space="preserve">NCC EPC management</w:t>
            </w:r>
          </w:p>
        </w:tc>
        <w:tc>
          <w:tcPr/>
          <w:p>
            <w:pPr>
              <w:pStyle w:val="Compact"/>
            </w:pPr>
            <w:r>
              <w:t xml:space="preserve">Package system; delivery status and interfaces should be clearly defined</w:t>
            </w:r>
          </w:p>
        </w:tc>
      </w:tr>
      <w:tr>
        <w:tc>
          <w:tcPr/>
          <w:p>
            <w:pPr>
              <w:pStyle w:val="Compact"/>
            </w:pPr>
            <w:r>
              <w:t xml:space="preserve">Steam boiler system</w:t>
            </w:r>
          </w:p>
        </w:tc>
        <w:tc>
          <w:tcPr/>
          <w:p>
            <w:pPr>
              <w:pStyle w:val="Compact"/>
            </w:pPr>
            <w:r>
              <w:t xml:space="preserve">TAIHU Boiler</w:t>
            </w:r>
          </w:p>
        </w:tc>
        <w:tc>
          <w:tcPr/>
          <w:p>
            <w:pPr>
              <w:pStyle w:val="Compact"/>
            </w:pPr>
            <w:r>
              <w:t xml:space="preserve">NCC EPC management</w:t>
            </w:r>
          </w:p>
        </w:tc>
        <w:tc>
          <w:tcPr/>
          <w:p>
            <w:pPr>
              <w:pStyle w:val="Compact"/>
            </w:pPr>
            <w:r>
              <w:t xml:space="preserve">Typical utility package system</w:t>
            </w:r>
          </w:p>
        </w:tc>
      </w:tr>
      <w:tr>
        <w:tc>
          <w:tcPr/>
          <w:p>
            <w:pPr>
              <w:pStyle w:val="Compact"/>
            </w:pPr>
            <w:r>
              <w:t xml:space="preserve">Demineralized water system</w:t>
            </w:r>
          </w:p>
        </w:tc>
        <w:tc>
          <w:tcPr/>
          <w:p>
            <w:pPr>
              <w:pStyle w:val="Compact"/>
            </w:pPr>
            <w:r>
              <w:t xml:space="preserve">Gretech</w:t>
            </w:r>
          </w:p>
        </w:tc>
        <w:tc>
          <w:tcPr/>
          <w:p>
            <w:pPr>
              <w:pStyle w:val="Compact"/>
            </w:pPr>
            <w:r>
              <w:t xml:space="preserve">NCC EPC management</w:t>
            </w:r>
          </w:p>
        </w:tc>
        <w:tc>
          <w:tcPr/>
          <w:p>
            <w:pPr>
              <w:pStyle w:val="Compact"/>
            </w:pPr>
            <w:r>
              <w:t xml:space="preserve">One of the water treatment package systems</w:t>
            </w:r>
          </w:p>
        </w:tc>
      </w:tr>
      <w:tr>
        <w:tc>
          <w:tcPr/>
          <w:p>
            <w:pPr>
              <w:pStyle w:val="Compact"/>
            </w:pPr>
            <w:r>
              <w:t xml:space="preserve">Nitrogen generation system</w:t>
            </w:r>
          </w:p>
        </w:tc>
        <w:tc>
          <w:tcPr/>
          <w:p>
            <w:pPr>
              <w:pStyle w:val="Compact"/>
            </w:pPr>
            <w:r>
              <w:t xml:space="preserve">Hangzhou Chuankong</w:t>
            </w:r>
          </w:p>
        </w:tc>
        <w:tc>
          <w:tcPr/>
          <w:p>
            <w:pPr>
              <w:pStyle w:val="Compact"/>
            </w:pPr>
            <w:r>
              <w:t xml:space="preserve">NCC EPC management</w:t>
            </w:r>
          </w:p>
        </w:tc>
        <w:tc>
          <w:tcPr/>
          <w:p>
            <w:pPr>
              <w:pStyle w:val="Compact"/>
            </w:pPr>
            <w:r>
              <w:t xml:space="preserve">Multiple interfaces with utility systems</w:t>
            </w:r>
          </w:p>
        </w:tc>
      </w:tr>
      <w:tr>
        <w:tc>
          <w:tcPr/>
          <w:p>
            <w:pPr>
              <w:pStyle w:val="Compact"/>
            </w:pPr>
            <w:r>
              <w:t xml:space="preserve">Vacuum system</w:t>
            </w:r>
          </w:p>
        </w:tc>
        <w:tc>
          <w:tcPr/>
          <w:p>
            <w:pPr>
              <w:pStyle w:val="Compact"/>
            </w:pPr>
            <w:r>
              <w:t xml:space="preserve">Hangzhen</w:t>
            </w:r>
          </w:p>
        </w:tc>
        <w:tc>
          <w:tcPr/>
          <w:p>
            <w:pPr>
              <w:pStyle w:val="Compact"/>
            </w:pPr>
            <w:r>
              <w:t xml:space="preserve">NCC EPC management</w:t>
            </w:r>
          </w:p>
        </w:tc>
        <w:tc>
          <w:tcPr/>
          <w:p>
            <w:pPr>
              <w:pStyle w:val="Compact"/>
            </w:pPr>
            <w:r>
              <w:t xml:space="preserve">Recommended for unified package design and installation coordination by NCC</w:t>
            </w:r>
          </w:p>
        </w:tc>
      </w:tr>
      <w:tr>
        <w:tc>
          <w:tcPr/>
          <w:p>
            <w:pPr>
              <w:pStyle w:val="Compact"/>
            </w:pPr>
            <w:r>
              <w:t xml:space="preserve">Circulating water system</w:t>
            </w:r>
          </w:p>
        </w:tc>
        <w:tc>
          <w:tcPr/>
          <w:p>
            <w:pPr>
              <w:pStyle w:val="Compact"/>
            </w:pPr>
            <w:r>
              <w:t xml:space="preserve">SEAGULL</w:t>
            </w:r>
          </w:p>
        </w:tc>
        <w:tc>
          <w:tcPr/>
          <w:p>
            <w:pPr>
              <w:pStyle w:val="Compact"/>
            </w:pPr>
            <w:r>
              <w:t xml:space="preserve">NCC EPC management</w:t>
            </w:r>
          </w:p>
        </w:tc>
        <w:tc>
          <w:tcPr/>
          <w:p>
            <w:pPr>
              <w:pStyle w:val="Compact"/>
            </w:pPr>
            <w:r>
              <w:t xml:space="preserve">Multiple interfaces with the main units and utility systems</w:t>
            </w:r>
          </w:p>
        </w:tc>
      </w:tr>
      <w:tr>
        <w:tc>
          <w:tcPr/>
          <w:p>
            <w:pPr>
              <w:pStyle w:val="Compact"/>
            </w:pPr>
            <w:r>
              <w:t xml:space="preserve">IETS system</w:t>
            </w:r>
          </w:p>
        </w:tc>
        <w:tc>
          <w:tcPr/>
          <w:p>
            <w:pPr>
              <w:pStyle w:val="Compact"/>
            </w:pPr>
            <w:r>
              <w:t xml:space="preserve">Mcwong</w:t>
            </w:r>
          </w:p>
        </w:tc>
        <w:tc>
          <w:tcPr/>
          <w:p>
            <w:pPr>
              <w:pStyle w:val="Compact"/>
            </w:pPr>
            <w:r>
              <w:t xml:space="preserve">NCC EPC management</w:t>
            </w:r>
          </w:p>
        </w:tc>
        <w:tc>
          <w:tcPr/>
          <w:p>
            <w:pPr>
              <w:pStyle w:val="Compact"/>
            </w:pPr>
            <w:r>
              <w:t xml:space="preserve">Interface coordination workload was significant in previous projects</w:t>
            </w:r>
          </w:p>
        </w:tc>
      </w:tr>
      <w:tr>
        <w:tc>
          <w:tcPr/>
          <w:p>
            <w:pPr>
              <w:pStyle w:val="Compact"/>
            </w:pPr>
            <w:r>
              <w:t xml:space="preserve">Bleaching earth conveying / bag unloading system</w:t>
            </w:r>
          </w:p>
        </w:tc>
        <w:tc>
          <w:tcPr/>
          <w:p>
            <w:pPr>
              <w:pStyle w:val="Compact"/>
            </w:pPr>
            <w:r>
              <w:t xml:space="preserve">ZhangGu</w:t>
            </w:r>
          </w:p>
        </w:tc>
        <w:tc>
          <w:tcPr/>
          <w:p>
            <w:pPr>
              <w:pStyle w:val="Compact"/>
            </w:pPr>
            <w:r>
              <w:t xml:space="preserve">Technip or NCC EPC management</w:t>
            </w:r>
          </w:p>
        </w:tc>
        <w:tc>
          <w:tcPr/>
          <w:p>
            <w:pPr>
              <w:pStyle w:val="Compact"/>
            </w:pPr>
            <w:r>
              <w:t xml:space="preserve">To be allocated based on system boundary and performance responsibility</w:t>
            </w:r>
          </w:p>
        </w:tc>
      </w:tr>
      <w:tr>
        <w:tc>
          <w:tcPr/>
          <w:p>
            <w:pPr>
              <w:pStyle w:val="Compact"/>
            </w:pPr>
            <w:r>
              <w:t xml:space="preserve">Chemical dosing system</w:t>
            </w:r>
          </w:p>
        </w:tc>
        <w:tc>
          <w:tcPr/>
          <w:p>
            <w:pPr>
              <w:pStyle w:val="Compact"/>
            </w:pPr>
            <w:r>
              <w:t xml:space="preserve">LEWA</w:t>
            </w:r>
          </w:p>
        </w:tc>
        <w:tc>
          <w:tcPr/>
          <w:p>
            <w:pPr>
              <w:pStyle w:val="Compact"/>
            </w:pPr>
            <w:r>
              <w:t xml:space="preserve">Technip or NCC EPC management</w:t>
            </w:r>
          </w:p>
        </w:tc>
        <w:tc>
          <w:tcPr/>
          <w:p>
            <w:pPr>
              <w:pStyle w:val="Compact"/>
            </w:pPr>
            <w:r>
              <w:t xml:space="preserve">Allocation should be decided according to system responsibility</w:t>
            </w:r>
          </w:p>
        </w:tc>
      </w:tr>
      <w:tr>
        <w:tc>
          <w:tcPr/>
          <w:p>
            <w:pPr>
              <w:pStyle w:val="Compact"/>
            </w:pPr>
            <w:r>
              <w:t xml:space="preserve">Oil pretreatment / refining package equipment</w:t>
            </w:r>
          </w:p>
        </w:tc>
        <w:tc>
          <w:tcPr/>
          <w:p>
            <w:pPr>
              <w:pStyle w:val="Compact"/>
            </w:pPr>
            <w:r>
              <w:t xml:space="preserve">Myande</w:t>
            </w:r>
          </w:p>
        </w:tc>
        <w:tc>
          <w:tcPr/>
          <w:p>
            <w:pPr>
              <w:pStyle w:val="Compact"/>
            </w:pPr>
            <w:r>
              <w:t xml:space="preserve">Technip-led</w:t>
            </w:r>
          </w:p>
        </w:tc>
        <w:tc>
          <w:tcPr/>
          <w:p>
            <w:pPr>
              <w:pStyle w:val="Compact"/>
            </w:pPr>
            <w:r>
              <w:t xml:space="preserve">Closer to main process unit responsibility</w:t>
            </w:r>
          </w:p>
        </w:tc>
      </w:tr>
      <w:tr>
        <w:tc>
          <w:tcPr/>
          <w:p>
            <w:pPr>
              <w:pStyle w:val="Compact"/>
            </w:pPr>
            <w:r>
              <w:t xml:space="preserve">Membrane hydrogen recovery package</w:t>
            </w:r>
          </w:p>
        </w:tc>
        <w:tc>
          <w:tcPr/>
          <w:p>
            <w:pPr>
              <w:pStyle w:val="Compact"/>
            </w:pPr>
            <w:r>
              <w:t xml:space="preserve">Eurofilm</w:t>
            </w:r>
          </w:p>
        </w:tc>
        <w:tc>
          <w:tcPr/>
          <w:p>
            <w:pPr>
              <w:pStyle w:val="Compact"/>
            </w:pPr>
            <w:r>
              <w:t xml:space="preserve">Technip-led</w:t>
            </w:r>
          </w:p>
        </w:tc>
        <w:tc>
          <w:tcPr/>
          <w:p>
            <w:pPr>
              <w:pStyle w:val="Compact"/>
            </w:pPr>
            <w:r>
              <w:t xml:space="preserve">Closely related to hydrogen system performance boundary</w:t>
            </w:r>
          </w:p>
        </w:tc>
      </w:tr>
      <w:tr>
        <w:tc>
          <w:tcPr/>
          <w:p>
            <w:pPr>
              <w:pStyle w:val="Compact"/>
            </w:pPr>
            <w:r>
              <w:t xml:space="preserve">Instrument air / plant air system</w:t>
            </w:r>
          </w:p>
        </w:tc>
        <w:tc>
          <w:tcPr/>
          <w:p>
            <w:pPr>
              <w:pStyle w:val="Compact"/>
            </w:pPr>
            <w:r>
              <w:t xml:space="preserve">FS-Elliott</w:t>
            </w:r>
          </w:p>
        </w:tc>
        <w:tc>
          <w:tcPr/>
          <w:p>
            <w:pPr>
              <w:pStyle w:val="Compact"/>
            </w:pPr>
            <w:r>
              <w:t xml:space="preserve">NCC EPC management</w:t>
            </w:r>
          </w:p>
        </w:tc>
        <w:tc>
          <w:tcPr/>
          <w:p>
            <w:pPr>
              <w:pStyle w:val="Compact"/>
            </w:pPr>
            <w:r>
              <w:t xml:space="preserve">Package system and recommended to be procured and installed under unified management</w:t>
            </w:r>
          </w:p>
        </w:tc>
      </w:tr>
      <w:tr>
        <w:tc>
          <w:tcPr/>
          <w:p>
            <w:pPr>
              <w:pStyle w:val="Compact"/>
            </w:pPr>
            <w:r>
              <w:t xml:space="preserve">Tank plate brands</w:t>
            </w:r>
          </w:p>
        </w:tc>
        <w:tc>
          <w:tcPr/>
          <w:p>
            <w:pPr>
              <w:pStyle w:val="Compact"/>
            </w:pPr>
            <w:r>
              <w:t xml:space="preserve">TISCO, ZPSS, Shagang, Maanshan Steel, Xinyu Steel</w:t>
            </w:r>
          </w:p>
        </w:tc>
        <w:tc>
          <w:tcPr/>
          <w:p>
            <w:pPr>
              <w:pStyle w:val="Compact"/>
            </w:pPr>
            <w:r>
              <w:t xml:space="preserve">NCC cross-border procurement with domestic prefabrication</w:t>
            </w:r>
          </w:p>
        </w:tc>
        <w:tc>
          <w:tcPr/>
          <w:p>
            <w:pPr>
              <w:pStyle w:val="Compact"/>
            </w:pPr>
            <w:r>
              <w:t xml:space="preserve">This is closer to a material brand category than a single equipment supplier</w:t>
            </w:r>
          </w:p>
        </w:tc>
      </w:tr>
      <w:tr>
        <w:tc>
          <w:tcPr/>
          <w:p>
            <w:pPr>
              <w:pStyle w:val="Compact"/>
            </w:pPr>
            <w:r>
              <w:t xml:space="preserve">Tank plate supply entities</w:t>
            </w:r>
          </w:p>
        </w:tc>
        <w:tc>
          <w:tcPr/>
          <w:p>
            <w:pPr>
              <w:pStyle w:val="Compact"/>
            </w:pPr>
            <w:r>
              <w:t xml:space="preserve">Hangzhou Thermal Union Group, Nanjing Jiashang Environmental Technology</w:t>
            </w:r>
          </w:p>
        </w:tc>
        <w:tc>
          <w:tcPr/>
          <w:p>
            <w:pPr>
              <w:pStyle w:val="Compact"/>
            </w:pPr>
            <w:r>
              <w:t xml:space="preserve">NCC cross-border procurement with domestic prefabrication</w:t>
            </w:r>
          </w:p>
        </w:tc>
        <w:tc>
          <w:tcPr/>
          <w:p>
            <w:pPr>
              <w:pStyle w:val="Compact"/>
            </w:pPr>
            <w:r>
              <w:t xml:space="preserve">Procurement contract samples already exist in previous projects</w:t>
            </w:r>
          </w:p>
        </w:tc>
      </w:tr>
      <w:tr>
        <w:tc>
          <w:tcPr/>
          <w:p>
            <w:pPr>
              <w:pStyle w:val="Compact"/>
            </w:pPr>
            <w:r>
              <w:t xml:space="preserve">Tank accessory section steel brands</w:t>
            </w:r>
          </w:p>
        </w:tc>
        <w:tc>
          <w:tcPr/>
          <w:p>
            <w:pPr>
              <w:pStyle w:val="Compact"/>
            </w:pPr>
            <w:r>
              <w:t xml:space="preserve">Tangshan Zhengfeng, Changzhou Dongfang High Precision, Maanshan Steel</w:t>
            </w:r>
          </w:p>
        </w:tc>
        <w:tc>
          <w:tcPr/>
          <w:p>
            <w:pPr>
              <w:pStyle w:val="Compact"/>
            </w:pPr>
            <w:r>
              <w:t xml:space="preserve">NCC cross-border procurement with domestic prefabrication</w:t>
            </w:r>
          </w:p>
        </w:tc>
        <w:tc>
          <w:tcPr/>
          <w:p>
            <w:pPr>
              <w:pStyle w:val="Compact"/>
            </w:pPr>
            <w:r>
              <w:t xml:space="preserve">Closely related to tank construction and prefabrication support</w:t>
            </w:r>
          </w:p>
        </w:tc>
      </w:tr>
      <w:tr>
        <w:tc>
          <w:tcPr/>
          <w:p>
            <w:pPr>
              <w:pStyle w:val="Compact"/>
            </w:pPr>
            <w:r>
              <w:t xml:space="preserve">Civil / structural steel brands</w:t>
            </w:r>
          </w:p>
        </w:tc>
        <w:tc>
          <w:tcPr/>
          <w:p>
            <w:pPr>
              <w:pStyle w:val="Compact"/>
            </w:pPr>
            <w:r>
              <w:t xml:space="preserve">HANGXIAO</w:t>
            </w:r>
          </w:p>
        </w:tc>
        <w:tc>
          <w:tcPr/>
          <w:p>
            <w:pPr>
              <w:pStyle w:val="Compact"/>
            </w:pPr>
            <w:r>
              <w:t xml:space="preserve">NCC cross-border procurement with domestic prefabrication</w:t>
            </w:r>
          </w:p>
        </w:tc>
        <w:tc>
          <w:tcPr/>
          <w:p>
            <w:pPr>
              <w:pStyle w:val="Compact"/>
            </w:pPr>
            <w:r>
              <w:t xml:space="preserve">Can be used as a structural steel brand reference</w:t>
            </w:r>
          </w:p>
        </w:tc>
      </w:tr>
      <w:tr>
        <w:tc>
          <w:tcPr/>
          <w:p>
            <w:pPr>
              <w:pStyle w:val="Compact"/>
            </w:pPr>
            <w:r>
              <w:t xml:space="preserve">Tank steel structure and handrail prefabrication / installation contractor</w:t>
            </w:r>
          </w:p>
        </w:tc>
        <w:tc>
          <w:tcPr/>
          <w:p>
            <w:pPr>
              <w:pStyle w:val="Compact"/>
            </w:pPr>
            <w:r>
              <w:t xml:space="preserve">GUANGLEI STEEL STRUCTURE ENGINEERING MALAYSIA SDN. BHD.</w:t>
            </w:r>
          </w:p>
        </w:tc>
        <w:tc>
          <w:tcPr/>
          <w:p>
            <w:pPr>
              <w:pStyle w:val="Compact"/>
            </w:pPr>
            <w:r>
              <w:t xml:space="preserve">NCC organization</w:t>
            </w:r>
          </w:p>
        </w:tc>
        <w:tc>
          <w:tcPr/>
          <w:p>
            <w:pPr>
              <w:pStyle w:val="Compact"/>
            </w:pPr>
            <w:r>
              <w:t xml:space="preserve">Closer to a site prefabrication and installation contractor than a material brand</w:t>
            </w:r>
          </w:p>
        </w:tc>
      </w:tr>
    </w:tbl>
    <w:bookmarkEnd w:id="20"/>
    <w:bookmarkStart w:id="21" w:name="ncc-cross-border-procurement-scope"/>
    <w:p>
      <w:pPr>
        <w:pStyle w:val="Heading3"/>
      </w:pPr>
      <w:r>
        <w:t xml:space="preserve">6. NCC Cross-Border Procurement Scope</w:t>
      </w:r>
    </w:p>
    <w:p>
      <w:pPr>
        <w:pStyle w:val="FirstParagraph"/>
      </w:pPr>
      <w:r>
        <w:t xml:space="preserve">NCC’s cross-border procurement scope is recommended to focus on main materials and installation-related materials that are procured in China, prefabricated in China and then exported, including structural steel, tank bulk materials, piping bulk materials, flanges and fittings, conventional valves, piping prefabrication materials, prefabricated tank plates and accessories, painting and insulation materials, and selected installation-type equipment. Structural steel is recommended to be procured and prefabricated domestically by NCC, followed by unified shipment and coordination with site installation. Because these materials are closely linked to domestic prefabrication, segmentation, coating, packing and marine shipment, NCC’s unified organization is more conducive to connecting procurement, prefabrication, shipment and site installation into one execution line.</w:t>
      </w:r>
    </w:p>
    <w:bookmarkEnd w:id="21"/>
    <w:bookmarkStart w:id="22" w:name="Xa0d64939ea769c53a4a1231aba7607a3106d8c6"/>
    <w:p>
      <w:pPr>
        <w:pStyle w:val="Heading3"/>
      </w:pPr>
      <w:r>
        <w:t xml:space="preserve">7. Procurement and Management Scope for Utility Package Systems</w:t>
      </w:r>
    </w:p>
    <w:p>
      <w:pPr>
        <w:pStyle w:val="FirstParagraph"/>
      </w:pPr>
      <w:r>
        <w:t xml:space="preserve">Utility package systems such as boilers, gas systems, air compressor stations, water treatment and IETS are recommended to be included within NCC’s scope under EPC management. The main process design party and the supporting systems design party should provide interface conditions and design parameters. Specialist package vendors should perform package-internal design and equipment supply. NCC should be responsible for technical coordination of the package systems, procurement organization, manufacturing expediting, logistics shipment, site installation and interface close-out. In previous projects, these package systems were awarded to different vendors, resulting in a large amount of site interface and coordination work. For this project, unified management by NCC is therefore more suitable.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 System</w:t>
            </w:r>
          </w:p>
        </w:tc>
        <w:tc>
          <w:tcPr/>
          <w:p>
            <w:pPr>
              <w:pStyle w:val="Compact"/>
            </w:pPr>
            <w:r>
              <w:t xml:space="preserve">Responsibility of Design Party</w:t>
            </w:r>
          </w:p>
        </w:tc>
        <w:tc>
          <w:tcPr/>
          <w:p>
            <w:pPr>
              <w:pStyle w:val="Compact"/>
            </w:pPr>
            <w:r>
              <w:t xml:space="preserve">Responsibility of Package Vendor</w:t>
            </w:r>
          </w:p>
        </w:tc>
        <w:tc>
          <w:tcPr/>
          <w:p>
            <w:pPr>
              <w:pStyle w:val="Compact"/>
            </w:pPr>
            <w:r>
              <w:t xml:space="preserve">Responsibility of NCC</w:t>
            </w:r>
          </w:p>
        </w:tc>
      </w:tr>
      <w:tr>
        <w:tc>
          <w:tcPr/>
          <w:p>
            <w:pPr>
              <w:pStyle w:val="Compact"/>
            </w:pPr>
            <w:r>
              <w:t xml:space="preserve">Boiler system</w:t>
            </w:r>
          </w:p>
        </w:tc>
        <w:tc>
          <w:tcPr/>
          <w:p>
            <w:pPr>
              <w:pStyle w:val="Compact"/>
            </w:pPr>
            <w:r>
              <w:t xml:space="preserve">Provide interface conditions, steam parameters and tie-in requirements</w:t>
            </w:r>
          </w:p>
        </w:tc>
        <w:tc>
          <w:tcPr/>
          <w:p>
            <w:pPr>
              <w:pStyle w:val="Compact"/>
            </w:pPr>
            <w:r>
              <w:t xml:space="preserve">Perform package-internal design and package supply</w:t>
            </w:r>
          </w:p>
        </w:tc>
        <w:tc>
          <w:tcPr/>
          <w:p>
            <w:pPr>
              <w:pStyle w:val="Compact"/>
            </w:pPr>
            <w:r>
              <w:t xml:space="preserve">Provide EPC management, expediting, installation and interface close-out</w:t>
            </w:r>
          </w:p>
        </w:tc>
      </w:tr>
      <w:tr>
        <w:tc>
          <w:tcPr/>
          <w:p>
            <w:pPr>
              <w:pStyle w:val="Compact"/>
            </w:pPr>
            <w:r>
              <w:t xml:space="preserve">Gas system</w:t>
            </w:r>
          </w:p>
        </w:tc>
        <w:tc>
          <w:tcPr/>
          <w:p>
            <w:pPr>
              <w:pStyle w:val="Compact"/>
            </w:pPr>
            <w:r>
              <w:t xml:space="preserve">Provide boundary conditions and process parameters</w:t>
            </w:r>
          </w:p>
        </w:tc>
        <w:tc>
          <w:tcPr/>
          <w:p>
            <w:pPr>
              <w:pStyle w:val="Compact"/>
            </w:pPr>
            <w:r>
              <w:t xml:space="preserve">Perform package-internal design and equipment package supply</w:t>
            </w:r>
          </w:p>
        </w:tc>
        <w:tc>
          <w:tcPr/>
          <w:p>
            <w:pPr>
              <w:pStyle w:val="Compact"/>
            </w:pPr>
            <w:r>
              <w:t xml:space="preserve">Organize procurement, shipment, site installation and coordination</w:t>
            </w:r>
          </w:p>
        </w:tc>
      </w:tr>
      <w:tr>
        <w:tc>
          <w:tcPr/>
          <w:p>
            <w:pPr>
              <w:pStyle w:val="Compact"/>
            </w:pPr>
            <w:r>
              <w:t xml:space="preserve">Air compressor station</w:t>
            </w:r>
          </w:p>
        </w:tc>
        <w:tc>
          <w:tcPr/>
          <w:p>
            <w:pPr>
              <w:pStyle w:val="Compact"/>
            </w:pPr>
            <w:r>
              <w:t xml:space="preserve">Provide interfaces and utility parameters</w:t>
            </w:r>
          </w:p>
        </w:tc>
        <w:tc>
          <w:tcPr/>
          <w:p>
            <w:pPr>
              <w:pStyle w:val="Compact"/>
            </w:pPr>
            <w:r>
              <w:t xml:space="preserve">Perform package-internal design and equipment supply</w:t>
            </w:r>
          </w:p>
        </w:tc>
        <w:tc>
          <w:tcPr/>
          <w:p>
            <w:pPr>
              <w:pStyle w:val="Compact"/>
            </w:pPr>
            <w:r>
              <w:t xml:space="preserve">Coordinate manufacturing, installation and system delivery</w:t>
            </w:r>
          </w:p>
        </w:tc>
      </w:tr>
      <w:tr>
        <w:tc>
          <w:tcPr/>
          <w:p>
            <w:pPr>
              <w:pStyle w:val="Compact"/>
            </w:pPr>
            <w:r>
              <w:t xml:space="preserve">Water treatment system</w:t>
            </w:r>
          </w:p>
        </w:tc>
        <w:tc>
          <w:tcPr/>
          <w:p>
            <w:pPr>
              <w:pStyle w:val="Compact"/>
            </w:pPr>
            <w:r>
              <w:t xml:space="preserve">Provide inlet/outlet water quality targets and boundary conditions</w:t>
            </w:r>
          </w:p>
        </w:tc>
        <w:tc>
          <w:tcPr/>
          <w:p>
            <w:pPr>
              <w:pStyle w:val="Compact"/>
            </w:pPr>
            <w:r>
              <w:t xml:space="preserve">Perform package-internal process, equipment and control design</w:t>
            </w:r>
          </w:p>
        </w:tc>
        <w:tc>
          <w:tcPr/>
          <w:p>
            <w:pPr>
              <w:pStyle w:val="Compact"/>
            </w:pPr>
            <w:r>
              <w:t xml:space="preserve">Provide EPC management and site execution</w:t>
            </w:r>
          </w:p>
        </w:tc>
      </w:tr>
      <w:tr>
        <w:tc>
          <w:tcPr/>
          <w:p>
            <w:pPr>
              <w:pStyle w:val="Compact"/>
            </w:pPr>
            <w:r>
              <w:t xml:space="preserve">IETS</w:t>
            </w:r>
          </w:p>
        </w:tc>
        <w:tc>
          <w:tcPr/>
          <w:p>
            <w:pPr>
              <w:pStyle w:val="Compact"/>
            </w:pPr>
            <w:r>
              <w:t xml:space="preserve">Provide overall interfaces and parameter requirements</w:t>
            </w:r>
          </w:p>
        </w:tc>
        <w:tc>
          <w:tcPr/>
          <w:p>
            <w:pPr>
              <w:pStyle w:val="Compact"/>
            </w:pPr>
            <w:r>
              <w:t xml:space="preserve">Perform package-internal system design and package supply</w:t>
            </w:r>
          </w:p>
        </w:tc>
        <w:tc>
          <w:tcPr/>
          <w:p>
            <w:pPr>
              <w:pStyle w:val="Compact"/>
            </w:pPr>
            <w:r>
              <w:t xml:space="preserve">Provide end-to-end organization and interface management</w:t>
            </w:r>
          </w:p>
        </w:tc>
      </w:tr>
    </w:tbl>
    <w:bookmarkEnd w:id="22"/>
    <w:bookmarkStart w:id="23" w:name="ncc-local-procurement-scope"/>
    <w:p>
      <w:pPr>
        <w:pStyle w:val="Heading3"/>
      </w:pPr>
      <w:r>
        <w:t xml:space="preserve">8. NCC Local Procurement Scope</w:t>
      </w:r>
    </w:p>
    <w:p>
      <w:pPr>
        <w:pStyle w:val="FirstParagraph"/>
      </w:pPr>
      <w:r>
        <w:t xml:space="preserve">NCC local procurement should be listed separately rather than merged into cross-border procurement. It should mainly include MV/LV cables, instrument cables, control cables, fireproofing materials, low-current monitoring systems, scaffolding and construction tools, selected local supporting hardware materials, and other localization-sensitive materials requiring fast response to site conditions. Procurement contracts and execution records from previous projects show that domestic procurement, domestic prefabrication procurement and local procurement coexist in parallel. Local procurement is not merely a supplementary item, but an integral part of the site execution chain. These materials are better released on a rolling basis according to site installation windows and local response requirements, rather than being managed entirely through the logic of bulk cross-border purchasing.</w:t>
      </w:r>
    </w:p>
    <w:bookmarkEnd w:id="23"/>
    <w:bookmarkStart w:id="24" w:name="X9858f6d5a522fc9db511511a2095bcab35282cc"/>
    <w:p>
      <w:pPr>
        <w:pStyle w:val="Heading3"/>
      </w:pPr>
      <w:r>
        <w:t xml:space="preserve">9. Procurement Model for Prefabrication Materials</w:t>
      </w:r>
    </w:p>
    <w:p>
      <w:pPr>
        <w:pStyle w:val="FirstParagraph"/>
      </w:pPr>
      <w:r>
        <w:t xml:space="preserve">For any materials that need to be prefabricated, coated and fabricated into spools or segments in China before shipment, an NCC-led procurement model is recommended. This mainly includes piping prefabrication materials, tank prefabrication materials and their related bulk materials. Previous projects show that if such materials are procured by the owner and shipped directly overseas, they often still need to be brought back into a domestic prefabrication workflow for fabrication and coating. Therefore, for any materials directly tied to the depth of prefabrication, it is recommended to organize them from the outset under the principle of integrated procurement, prefabrication, shipment and installation.</w:t>
      </w:r>
    </w:p>
    <w:bookmarkEnd w:id="24"/>
    <w:bookmarkStart w:id="25" w:name="recommended-procurement-lead-times"/>
    <w:p>
      <w:pPr>
        <w:pStyle w:val="Heading3"/>
      </w:pPr>
      <w:r>
        <w:t xml:space="preserve">10. Recommended Procurement Lead Times</w:t>
      </w:r>
    </w:p>
    <w:p>
      <w:pPr>
        <w:pStyle w:val="FirstParagraph"/>
      </w:pPr>
      <w:r>
        <w:t xml:space="preserve">Procurement planning is recommended to be managed under four lead-time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Procurement Category</w:t>
            </w:r>
          </w:p>
        </w:tc>
        <w:tc>
          <w:tcPr/>
          <w:p>
            <w:pPr>
              <w:pStyle w:val="Compact"/>
            </w:pPr>
            <w:r>
              <w:t xml:space="preserve">Recommended Lead Time</w:t>
            </w:r>
          </w:p>
        </w:tc>
        <w:tc>
          <w:tcPr/>
          <w:p>
            <w:pPr>
              <w:pStyle w:val="Compact"/>
            </w:pPr>
            <w:r>
              <w:t xml:space="preserve">Remarks</w:t>
            </w:r>
          </w:p>
        </w:tc>
      </w:tr>
      <w:tr>
        <w:tc>
          <w:tcPr/>
          <w:p>
            <w:pPr>
              <w:pStyle w:val="Compact"/>
            </w:pPr>
            <w:r>
              <w:t xml:space="preserve">Technip key equipment procurement</w:t>
            </w:r>
          </w:p>
        </w:tc>
        <w:tc>
          <w:tcPr/>
          <w:p>
            <w:pPr>
              <w:pStyle w:val="Compact"/>
            </w:pPr>
            <w:r>
              <w:t xml:space="preserve">Starting from approximately 65 days</w:t>
            </w:r>
          </w:p>
        </w:tc>
        <w:tc>
          <w:tcPr/>
          <w:p>
            <w:pPr>
              <w:pStyle w:val="Compact"/>
            </w:pPr>
            <w:r>
              <w:t xml:space="preserve">Can be back-calculated as approximately 50 days for supply readiness after PO plus approximately 15 days for typical logistics landing; additional float should be added for intercontinental imports and critical valves</w:t>
            </w:r>
          </w:p>
        </w:tc>
      </w:tr>
      <w:tr>
        <w:tc>
          <w:tcPr/>
          <w:p>
            <w:pPr>
              <w:pStyle w:val="Compact"/>
            </w:pPr>
            <w:r>
              <w:t xml:space="preserve">NCC package procurement with EPC management</w:t>
            </w:r>
          </w:p>
        </w:tc>
        <w:tc>
          <w:tcPr/>
          <w:p>
            <w:pPr>
              <w:pStyle w:val="Compact"/>
            </w:pPr>
            <w:r>
              <w:t xml:space="preserve">Starting from approximately 3 to 4 months</w:t>
            </w:r>
          </w:p>
        </w:tc>
        <w:tc>
          <w:tcPr/>
          <w:p>
            <w:pPr>
              <w:pStyle w:val="Compact"/>
            </w:pPr>
            <w:r>
              <w:t xml:space="preserve">Should cover technical clarification, package-internal design, manufacturing, shipment and site interface coordination; should start earlier than ordinary cross-border procurement</w:t>
            </w:r>
          </w:p>
        </w:tc>
      </w:tr>
      <w:tr>
        <w:tc>
          <w:tcPr/>
          <w:p>
            <w:pPr>
              <w:pStyle w:val="Compact"/>
            </w:pPr>
            <w:r>
              <w:t xml:space="preserve">NCC cross-border procurement</w:t>
            </w:r>
          </w:p>
        </w:tc>
        <w:tc>
          <w:tcPr/>
          <w:p>
            <w:pPr>
              <w:pStyle w:val="Compact"/>
            </w:pPr>
            <w:r>
              <w:t xml:space="preserve">Approximately 45 to 60 days</w:t>
            </w:r>
          </w:p>
        </w:tc>
        <w:tc>
          <w:tcPr/>
          <w:p>
            <w:pPr>
              <w:pStyle w:val="Compact"/>
            </w:pPr>
            <w:r>
              <w:t xml:space="preserve">Should cover ordering, manufacturing readiness, packing, shipment and site delivery window; prefabrication-related materials should start even earlier</w:t>
            </w:r>
          </w:p>
        </w:tc>
      </w:tr>
      <w:tr>
        <w:tc>
          <w:tcPr/>
          <w:p>
            <w:pPr>
              <w:pStyle w:val="Compact"/>
            </w:pPr>
            <w:r>
              <w:t xml:space="preserve">NCC local procurement</w:t>
            </w:r>
          </w:p>
        </w:tc>
        <w:tc>
          <w:tcPr/>
          <w:p>
            <w:pPr>
              <w:pStyle w:val="Compact"/>
            </w:pPr>
            <w:r>
              <w:t xml:space="preserve">Approximately 20 to 30 days</w:t>
            </w:r>
          </w:p>
        </w:tc>
        <w:tc>
          <w:tcPr/>
          <w:p>
            <w:pPr>
              <w:pStyle w:val="Compact"/>
            </w:pPr>
            <w:r>
              <w:t xml:space="preserve">Managed from contract placement to delivery without adding cross-border logistics duration; rolling items such as scaffolding tools and cables may be organized in shorter batches</w:t>
            </w:r>
          </w:p>
        </w:tc>
      </w:tr>
    </w:tbl>
    <w:bookmarkEnd w:id="25"/>
    <w:bookmarkStart w:id="26" w:name="conclusion-of-procurement-section"/>
    <w:p>
      <w:pPr>
        <w:pStyle w:val="Heading3"/>
      </w:pPr>
      <w:r>
        <w:t xml:space="preserve">11. Conclusion of Procurement Section</w:t>
      </w:r>
    </w:p>
    <w:p>
      <w:pPr>
        <w:pStyle w:val="FirstParagraph"/>
      </w:pPr>
      <w:r>
        <w:t xml:space="preserve">The procurement arrangement is recommended to form four chains: a Technip key equipment procurement chain, an NCC package EPC management chain, an NCC cross-border procurement chain and an NCC local procurement chain. Key equipment and key systems should remain under Technip’s control. Utility package systems such as boilers, gas systems, air compressor stations, water treatment and IETS are recommended to be managed by NCC under EPC mode. Prefabrication-related materials and bulk main materials should be organized by NCC on a cross-border basis, while local adaptation materials should be procured by NCC locally on a rolling basis. Procurement standards are recommended to follow the combined basis of</w:t>
      </w:r>
      <w:r>
        <w:t xml:space="preserve"> </w:t>
      </w:r>
      <w:r>
        <w:rPr>
          <w:rStyle w:val="VerbatimChar"/>
        </w:rPr>
        <w:t xml:space="preserve">ASME + Chinese standards</w:t>
      </w:r>
      <w:r>
        <w:t xml:space="preserve"> </w:t>
      </w:r>
      <w:r>
        <w:t xml:space="preserve">so as to better leverage the advantages of the Chinese supply chain, manufacturing and prefabrication.</w:t>
      </w:r>
    </w:p>
    <w:bookmarkEnd w:id="26"/>
    <w:bookmarkEnd w:id="27"/>
    <w:bookmarkStart w:id="35" w:name="iii.-logistics-planning"/>
    <w:p>
      <w:pPr>
        <w:pStyle w:val="Heading2"/>
      </w:pPr>
      <w:r>
        <w:t xml:space="preserve">III. Logistics Planning</w:t>
      </w:r>
    </w:p>
    <w:bookmarkStart w:id="28" w:name="overall-logistics-arrangement"/>
    <w:p>
      <w:pPr>
        <w:pStyle w:val="Heading3"/>
      </w:pPr>
      <w:r>
        <w:t xml:space="preserve">1. Overall Logistics Arrangement</w:t>
      </w:r>
    </w:p>
    <w:p>
      <w:pPr>
        <w:pStyle w:val="FirstParagraph"/>
      </w:pPr>
      <w:r>
        <w:t xml:space="preserve">Logistics planning should not be understood merely as marine transportation arrangement. It should cover factory dispatch planning, packing data, packing standards, transport mode, port handling, certification and customs clearance, and site delivery sequence. Previous project experience shows that what actually affects construction rhythm is often not the sea voyage itself, but whether upstream preparation is timely, whether the selected transport mode is suitable, whether packing meets marine transport requirements, and whether the arrival sequence matches the construction sequence. It is recommended that logistics management be coordinated in a unified manner by the contractor side, including unified shipment planning, unified customs documentation preparation, unified customs clearance coordination and unified control of site arrival sequence, so that procurement, shipment, port arrival and site delivery can all be managed within one schedule logic.</w:t>
      </w:r>
    </w:p>
    <w:bookmarkEnd w:id="28"/>
    <w:bookmarkStart w:id="29" w:name="transport-modes-and-material-categories"/>
    <w:p>
      <w:pPr>
        <w:pStyle w:val="Heading3"/>
      </w:pPr>
      <w:r>
        <w:t xml:space="preserve">2. Transport Modes and Material Categories</w:t>
      </w:r>
    </w:p>
    <w:p>
      <w:pPr>
        <w:pStyle w:val="FirstParagraph"/>
      </w:pPr>
      <w:r>
        <w:t xml:space="preserve">Key equipment and package systems should be planned first under breakbulk, heavy-lift breakbulk, deck barge and Ro-Ro conditions, rather than being treated as normal containerized cargo. Prefabricated tank plates and accessories, prefabricated piping and supports, finished tank accessories and piping accessories should also be treated as priority breakbulk cargo. Electrical, instrumentation, paint and small supplementary materials can generally be shipped in containers and are better managed under rolling replenishment and later-stage supporting supply. For fired heaters, reactors and large compressors, transport limits, loading arrangement and site lifting conditions should also be confirmed in parallel.</w:t>
      </w:r>
    </w:p>
    <w:bookmarkEnd w:id="29"/>
    <w:bookmarkStart w:id="30" w:name="major-logistics-risks"/>
    <w:p>
      <w:pPr>
        <w:pStyle w:val="Heading3"/>
      </w:pPr>
      <w:r>
        <w:t xml:space="preserve">3. Major Logistics Risks</w:t>
      </w:r>
    </w:p>
    <w:p>
      <w:pPr>
        <w:pStyle w:val="FirstParagraph"/>
      </w:pPr>
      <w:r>
        <w:t xml:space="preserve">The major logistics risks are concentrated in four aspects. First, inaccurate factory dispatch planning may lead to repeated logistics replanning and disorder in site sequence. Second, delayed or inaccurate packing data may delay vessel booking, result in unsuitable cargo space, and extend overall arrival time. Third, if packing is not executed in accordance with marine shipment requirements, cargo may deform, absorb moisture or be damaged during inland transfer, storage and sea transport. Fourth, if package contracts do not clearly define the delivery status, a large number of loose parts and non-prefabricated items may still require field assembly after arrival, resulting in cargo that is nominally delivered but not actually ready for installation.</w:t>
      </w:r>
    </w:p>
    <w:bookmarkEnd w:id="30"/>
    <w:bookmarkStart w:id="31" w:name="X911da6d0eb8cd2c494a25cf370e7b56c5778877"/>
    <w:p>
      <w:pPr>
        <w:pStyle w:val="Heading3"/>
      </w:pPr>
      <w:r>
        <w:t xml:space="preserve">4. External Logistics Risks and Certification Requirements</w:t>
      </w:r>
    </w:p>
    <w:p>
      <w:pPr>
        <w:pStyle w:val="FirstParagraph"/>
      </w:pPr>
      <w:r>
        <w:t xml:space="preserve">For breakbulk cargo, bulk materials and key equipment, in addition to normal transport duration, extra allowance should be made for port congestion, weather, terminal changes and berth waiting risk. In previous projects, congestion at ports in the Yangtze River Delta delayed vessel departure by about one month, followed by an additional 11-day berth waiting period due to typhoons, directly affecting the arrival of prefabricated tank plates and piping materials. For building materials and steel products subject to mandatory certification in Malaysia, preparation time for CIDB COA and similar approvals should be included separately in the schedule, with a recommended allowance of at least 2 to 3 months. For package equipment, delivery status, package scope and interface split should be clearly defined at the same time, so as to avoid large quantities of missing parts and loose components after site arrival. When selecting brands and suppliers, priority should also be given to whether they comply with Malaysian local acceptance standards, whether they can provide local after-sales support, and whether they have local project reference experience.</w:t>
      </w:r>
    </w:p>
    <w:bookmarkEnd w:id="31"/>
    <w:bookmarkStart w:id="32" w:name="impact-of-material-arrival-on-schedule"/>
    <w:p>
      <w:pPr>
        <w:pStyle w:val="Heading3"/>
      </w:pPr>
      <w:r>
        <w:t xml:space="preserve">5. Impact of Material Arrival on Schedule</w:t>
      </w:r>
    </w:p>
    <w:p>
      <w:pPr>
        <w:pStyle w:val="FirstParagraph"/>
      </w:pPr>
      <w:r>
        <w:t xml:space="preserve">Different categories of materials affect schedule in different ways. Electrical materials, instrumentation materials, tank accessories and certain piping materials tend to affect later continuous construction, system completion and handover rhythm, while underground piping materials have the most direct impact. Logistics records show that underground piping materials for</w:t>
      </w:r>
      <w:r>
        <w:t xml:space="preserve"> </w:t>
      </w:r>
      <w:r>
        <w:rPr>
          <w:rStyle w:val="VerbatimChar"/>
        </w:rPr>
        <w:t xml:space="preserve">UG batch 1~8</w:t>
      </w:r>
      <w:r>
        <w:t xml:space="preserve"> </w:t>
      </w:r>
      <w:r>
        <w:t xml:space="preserve">arrived between</w:t>
      </w:r>
      <w:r>
        <w:t xml:space="preserve"> </w:t>
      </w:r>
      <w:r>
        <w:rPr>
          <w:rStyle w:val="VerbatimChar"/>
        </w:rPr>
        <w:t xml:space="preserve">July 30, 2024</w:t>
      </w:r>
      <w:r>
        <w:t xml:space="preserve"> </w:t>
      </w:r>
      <w:r>
        <w:t xml:space="preserve">and</w:t>
      </w:r>
      <w:r>
        <w:t xml:space="preserve"> </w:t>
      </w:r>
      <w:r>
        <w:rPr>
          <w:rStyle w:val="VerbatimChar"/>
        </w:rPr>
        <w:t xml:space="preserve">September 14, 2024</w:t>
      </w:r>
      <w:r>
        <w:t xml:space="preserve">, while the originally planned underground piping construction windows in multiple areas were clearly earlier than this period. Taking one auxiliary area sample as an example, the originally planned completion date for underground piping installation and pressure testing was</w:t>
      </w:r>
      <w:r>
        <w:t xml:space="preserve"> </w:t>
      </w:r>
      <w:r>
        <w:rPr>
          <w:rStyle w:val="VerbatimChar"/>
        </w:rPr>
        <w:t xml:space="preserve">April 25, 2024</w:t>
      </w:r>
      <w:r>
        <w:t xml:space="preserve">, and the backfilling completion date was</w:t>
      </w:r>
      <w:r>
        <w:t xml:space="preserve"> </w:t>
      </w:r>
      <w:r>
        <w:rPr>
          <w:rStyle w:val="VerbatimChar"/>
        </w:rPr>
        <w:t xml:space="preserve">April 27, 2024</w:t>
      </w:r>
      <w:r>
        <w:t xml:space="preserve">; both were postponed in the updated schedule to mid-September 2024. This indicates a clear mismatch between underground piping arrival and construction windows, which became one of the important reasons for delayed preconditions in certain areas and the compression of follow-on installation windows.</w:t>
      </w:r>
    </w:p>
    <w:bookmarkEnd w:id="32"/>
    <w:bookmarkStart w:id="33" w:name="recommended-logistics-durations"/>
    <w:p>
      <w:pPr>
        <w:pStyle w:val="Heading3"/>
      </w:pPr>
      <w:r>
        <w:t xml:space="preserve">6. Recommended Logistics Durations</w:t>
      </w:r>
    </w:p>
    <w:p>
      <w:pPr>
        <w:pStyle w:val="FirstParagraph"/>
      </w:pPr>
      <w:r>
        <w:t xml:space="preserve">Logistics planning is recommended to be managed under three duration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Logistics Category</w:t>
            </w:r>
          </w:p>
        </w:tc>
        <w:tc>
          <w:tcPr/>
          <w:p>
            <w:pPr>
              <w:pStyle w:val="Compact"/>
            </w:pPr>
            <w:r>
              <w:t xml:space="preserve">Recommended Duration</w:t>
            </w:r>
          </w:p>
        </w:tc>
        <w:tc>
          <w:tcPr/>
          <w:p>
            <w:pPr>
              <w:pStyle w:val="Compact"/>
            </w:pPr>
            <w:r>
              <w:t xml:space="preserve">Remarks</w:t>
            </w:r>
          </w:p>
        </w:tc>
      </w:tr>
      <w:tr>
        <w:tc>
          <w:tcPr/>
          <w:p>
            <w:pPr>
              <w:pStyle w:val="Compact"/>
            </w:pPr>
            <w:r>
              <w:t xml:space="preserve">Conventional cross-border logistics from China to Malaysia</w:t>
            </w:r>
          </w:p>
        </w:tc>
        <w:tc>
          <w:tcPr/>
          <w:p>
            <w:pPr>
              <w:pStyle w:val="Compact"/>
            </w:pPr>
            <w:r>
              <w:t xml:space="preserve">Approximately 15 days</w:t>
            </w:r>
          </w:p>
        </w:tc>
        <w:tc>
          <w:tcPr/>
          <w:p>
            <w:pPr>
              <w:pStyle w:val="Compact"/>
            </w:pPr>
            <w:r>
              <w:t xml:space="preserve">Can be understood as around 10 days from port departure to port arrival plus around 5 days from port arrival to site delivery</w:t>
            </w:r>
          </w:p>
        </w:tc>
      </w:tr>
      <w:tr>
        <w:tc>
          <w:tcPr/>
          <w:p>
            <w:pPr>
              <w:pStyle w:val="Compact"/>
            </w:pPr>
            <w:r>
              <w:t xml:space="preserve">Breakbulk and heavy-lift logistics</w:t>
            </w:r>
          </w:p>
        </w:tc>
        <w:tc>
          <w:tcPr/>
          <w:p>
            <w:pPr>
              <w:pStyle w:val="Compact"/>
            </w:pPr>
            <w:r>
              <w:t xml:space="preserve">Approximately 20 to 30 days</w:t>
            </w:r>
          </w:p>
        </w:tc>
        <w:tc>
          <w:tcPr/>
          <w:p>
            <w:pPr>
              <w:pStyle w:val="Compact"/>
            </w:pPr>
            <w:r>
              <w:t xml:space="preserve">Additional allowance should be made for marshaling at port, loading, berth waiting, discharge and site lifting conditions</w:t>
            </w:r>
          </w:p>
        </w:tc>
      </w:tr>
      <w:tr>
        <w:tc>
          <w:tcPr/>
          <w:p>
            <w:pPr>
              <w:pStyle w:val="Compact"/>
            </w:pPr>
            <w:r>
              <w:t xml:space="preserve">Certified steel and construction material logistics</w:t>
            </w:r>
          </w:p>
        </w:tc>
        <w:tc>
          <w:tcPr/>
          <w:p>
            <w:pPr>
              <w:pStyle w:val="Compact"/>
            </w:pPr>
            <w:r>
              <w:t xml:space="preserve">Add 2 to 3 months on top of normal logistics</w:t>
            </w:r>
          </w:p>
        </w:tc>
        <w:tc>
          <w:tcPr/>
          <w:p>
            <w:pPr>
              <w:pStyle w:val="Compact"/>
            </w:pPr>
            <w:r>
              <w:t xml:space="preserve">Time for CIDB COA and similar certification should be planned separately and should not be absorbed into marine transport duration</w:t>
            </w:r>
          </w:p>
        </w:tc>
      </w:tr>
    </w:tbl>
    <w:bookmarkEnd w:id="33"/>
    <w:bookmarkStart w:id="34" w:name="conclusion-of-logistics-section"/>
    <w:p>
      <w:pPr>
        <w:pStyle w:val="Heading3"/>
      </w:pPr>
      <w:r>
        <w:t xml:space="preserve">7. Conclusion of Logistics Section</w:t>
      </w:r>
    </w:p>
    <w:p>
      <w:pPr>
        <w:pStyle w:val="FirstParagraph"/>
      </w:pPr>
      <w:r>
        <w:t xml:space="preserve">Logistics planning should answer four questions clearly: how the cargo will be shipped, when it will be shipped, in what delivery status it will arrive, and whether the arrival sequence matches site needs. Key equipment, prefabricated materials, structural steel, tank materials and underground piping materials should all be scheduled backward from the critical path. Electrical, instrumentation and small supplementary materials should be organized on a rolling basis according to system completion and handover windows. Previous projects show that underground piping materials and bulk prefabricated materials are the items most likely to directly affect preconditions and therefore must be treated as logistics control priorities. It is recommended that logistics execution be organized in a unified manner by the contractor side, including unified customs declaration and customs clearance coordination, so as to reduce the schedule impact of fragmented management.</w:t>
      </w:r>
    </w:p>
    <w:bookmarkEnd w:id="34"/>
    <w:bookmarkEnd w:id="35"/>
    <w:bookmarkStart w:id="43" w:name="iv.-schedule-planning"/>
    <w:p>
      <w:pPr>
        <w:pStyle w:val="Heading2"/>
      </w:pPr>
      <w:r>
        <w:t xml:space="preserve">IV. Schedule Planning</w:t>
      </w:r>
    </w:p>
    <w:bookmarkStart w:id="36" w:name="recommended-project-duration"/>
    <w:p>
      <w:pPr>
        <w:pStyle w:val="Heading3"/>
      </w:pPr>
      <w:r>
        <w:t xml:space="preserve">1. Recommended Project Duration</w:t>
      </w:r>
    </w:p>
    <w:p>
      <w:pPr>
        <w:pStyle w:val="FirstParagraph"/>
      </w:pPr>
      <w:r>
        <w:t xml:space="preserve">It is recommended that the project schedule be organized under the logic of front-loaded design, layered procurement, civil works first, logistics matched to execution, installation advanced by area, and local acceptance started early. Based on previous project execution results, the coordination workload of package interfaces and the current workshare model, it is recommended to take piling start as the main project control starting point, mechanical completion as the phase control milestone, and completion certificate as the final delivery milestone. Overall project duration may be organized on the basis of controlling the period from piling start to mechanical completion within</w:t>
      </w:r>
      <w:r>
        <w:t xml:space="preserve"> </w:t>
      </w:r>
      <w:r>
        <w:rPr>
          <w:rStyle w:val="VerbatimChar"/>
        </w:rPr>
        <w:t xml:space="preserve">26 months</w:t>
      </w:r>
      <w:r>
        <w:t xml:space="preserve">, followed by an additional</w:t>
      </w:r>
      <w:r>
        <w:t xml:space="preserve"> </w:t>
      </w:r>
      <w:r>
        <w:rPr>
          <w:rStyle w:val="VerbatimChar"/>
        </w:rPr>
        <w:t xml:space="preserve">4 months</w:t>
      </w:r>
      <w:r>
        <w:t xml:space="preserve"> </w:t>
      </w:r>
      <w:r>
        <w:t xml:space="preserve">from mechanical completion to completion certificate. Local statutory acceptance activities and CCC-related close-out should be incorporated within these</w:t>
      </w:r>
      <w:r>
        <w:t xml:space="preserve"> </w:t>
      </w:r>
      <w:r>
        <w:rPr>
          <w:rStyle w:val="VerbatimChar"/>
        </w:rPr>
        <w:t xml:space="preserve">4 months</w:t>
      </w:r>
      <w:r>
        <w:t xml:space="preserve"> </w:t>
      </w:r>
      <w:r>
        <w:t xml:space="preserve">and started in parallel during the later construction phase rather than being left until after mechanical completion.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Recommended Duration</w:t>
            </w:r>
          </w:p>
        </w:tc>
        <w:tc>
          <w:tcPr/>
          <w:p>
            <w:pPr>
              <w:pStyle w:val="Compact"/>
            </w:pPr>
            <w:r>
              <w:t xml:space="preserve">Remarks</w:t>
            </w:r>
          </w:p>
        </w:tc>
      </w:tr>
      <w:tr>
        <w:tc>
          <w:tcPr/>
          <w:p>
            <w:pPr>
              <w:pStyle w:val="Compact"/>
            </w:pPr>
            <w:r>
              <w:t xml:space="preserve">Design phase</w:t>
            </w:r>
          </w:p>
        </w:tc>
        <w:tc>
          <w:tcPr/>
          <w:p>
            <w:pPr>
              <w:pStyle w:val="Compact"/>
            </w:pPr>
            <w:r>
              <w:t xml:space="preserve">6 to 8 months</w:t>
            </w:r>
          </w:p>
        </w:tc>
        <w:tc>
          <w:tcPr/>
          <w:p>
            <w:pPr>
              <w:pStyle w:val="Compact"/>
            </w:pPr>
            <w:r>
              <w:t xml:space="preserve">Main process units design, supporting systems design and local detailed design should proceed in parallel; key procurement packages should be released in the early to middle design stage</w:t>
            </w:r>
          </w:p>
        </w:tc>
      </w:tr>
      <w:tr>
        <w:tc>
          <w:tcPr/>
          <w:p>
            <w:pPr>
              <w:pStyle w:val="Compact"/>
            </w:pPr>
            <w:r>
              <w:t xml:space="preserve">Procurement phase</w:t>
            </w:r>
          </w:p>
        </w:tc>
        <w:tc>
          <w:tcPr/>
          <w:p>
            <w:pPr>
              <w:pStyle w:val="Compact"/>
            </w:pPr>
            <w:r>
              <w:t xml:space="preserve">Starting from 2 to 3 months</w:t>
            </w:r>
          </w:p>
        </w:tc>
        <w:tc>
          <w:tcPr/>
          <w:p>
            <w:pPr>
              <w:pStyle w:val="Compact"/>
            </w:pPr>
            <w:r>
              <w:t xml:space="preserve">Technip key equipment, NCC cross-border procurement and NCC local procurement should start in parallel; long-lead items should be locked earlier</w:t>
            </w:r>
          </w:p>
        </w:tc>
      </w:tr>
      <w:tr>
        <w:tc>
          <w:tcPr/>
          <w:p>
            <w:pPr>
              <w:pStyle w:val="Compact"/>
            </w:pPr>
            <w:r>
              <w:t xml:space="preserve">Logistics phase</w:t>
            </w:r>
          </w:p>
        </w:tc>
        <w:tc>
          <w:tcPr/>
          <w:p>
            <w:pPr>
              <w:pStyle w:val="Compact"/>
            </w:pPr>
            <w:r>
              <w:t xml:space="preserve">0.5 to 2 months</w:t>
            </w:r>
          </w:p>
        </w:tc>
        <w:tc>
          <w:tcPr/>
          <w:p>
            <w:pPr>
              <w:pStyle w:val="Compact"/>
            </w:pPr>
            <w:r>
              <w:t xml:space="preserve">Conventional cross-border logistics can be assumed at about 15 days; additional float should be added for heavy-lift, breakbulk and certification-sensitive items</w:t>
            </w:r>
          </w:p>
        </w:tc>
      </w:tr>
      <w:tr>
        <w:tc>
          <w:tcPr/>
          <w:p>
            <w:pPr>
              <w:pStyle w:val="Compact"/>
            </w:pPr>
            <w:r>
              <w:t xml:space="preserve">Civil works and precondition phase</w:t>
            </w:r>
          </w:p>
        </w:tc>
        <w:tc>
          <w:tcPr/>
          <w:p>
            <w:pPr>
              <w:pStyle w:val="Compact"/>
            </w:pPr>
            <w:r>
              <w:t xml:space="preserve">6 to 7 months</w:t>
            </w:r>
          </w:p>
        </w:tc>
        <w:tc>
          <w:tcPr/>
          <w:p>
            <w:pPr>
              <w:pStyle w:val="Compact"/>
            </w:pPr>
            <w:r>
              <w:t xml:space="preserve">Underground works, foundations, underground piping, civil works and structural steel should be managed together as preconditions</w:t>
            </w:r>
          </w:p>
        </w:tc>
      </w:tr>
      <w:tr>
        <w:tc>
          <w:tcPr/>
          <w:p>
            <w:pPr>
              <w:pStyle w:val="Compact"/>
            </w:pPr>
            <w:r>
              <w:t xml:space="preserve">Installation and system completion phase</w:t>
            </w:r>
          </w:p>
        </w:tc>
        <w:tc>
          <w:tcPr/>
          <w:p>
            <w:pPr>
              <w:pStyle w:val="Compact"/>
            </w:pPr>
            <w:r>
              <w:t xml:space="preserve">16 to 18 months</w:t>
            </w:r>
          </w:p>
        </w:tc>
        <w:tc>
          <w:tcPr/>
          <w:p>
            <w:pPr>
              <w:pStyle w:val="Compact"/>
            </w:pPr>
            <w:r>
              <w:t xml:space="preserve">Should be advanced by area and by sequence across main units, utilities, supporting systems and handover, taking into account package interface coordination, site installation and the actual workload of system completion</w:t>
            </w:r>
          </w:p>
        </w:tc>
      </w:tr>
      <w:tr>
        <w:tc>
          <w:tcPr/>
          <w:p>
            <w:pPr>
              <w:pStyle w:val="Compact"/>
            </w:pPr>
            <w:r>
              <w:t xml:space="preserve">Mechanical completion to completion certificate</w:t>
            </w:r>
          </w:p>
        </w:tc>
        <w:tc>
          <w:tcPr/>
          <w:p>
            <w:pPr>
              <w:pStyle w:val="Compact"/>
            </w:pPr>
            <w:r>
              <w:t xml:space="preserve">4 months</w:t>
            </w:r>
          </w:p>
        </w:tc>
        <w:tc>
          <w:tcPr/>
          <w:p>
            <w:pPr>
              <w:pStyle w:val="Compact"/>
            </w:pPr>
            <w:r>
              <w:t xml:space="preserve">Should cover statutory inspections, CCC, punch close-out and completion certificate processing, rather than being started passively after mechanical completion</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Main Control Milestone</w:t>
            </w:r>
          </w:p>
        </w:tc>
        <w:tc>
          <w:tcPr/>
          <w:p>
            <w:pPr>
              <w:pStyle w:val="Compact"/>
            </w:pPr>
            <w:r>
              <w:t xml:space="preserve">Recommended Target</w:t>
            </w:r>
          </w:p>
        </w:tc>
        <w:tc>
          <w:tcPr/>
          <w:p>
            <w:pPr>
              <w:pStyle w:val="Compact"/>
            </w:pPr>
            <w:r>
              <w:t xml:space="preserve">Remarks</w:t>
            </w:r>
          </w:p>
        </w:tc>
      </w:tr>
      <w:tr>
        <w:tc>
          <w:tcPr/>
          <w:p>
            <w:pPr>
              <w:pStyle w:val="Compact"/>
            </w:pPr>
            <w:r>
              <w:t xml:space="preserve">Piling start</w:t>
            </w:r>
          </w:p>
        </w:tc>
        <w:tc>
          <w:tcPr/>
          <w:p>
            <w:pPr>
              <w:pStyle w:val="Compact"/>
            </w:pPr>
            <w:r>
              <w:t xml:space="preserve">Main project control starting point</w:t>
            </w:r>
          </w:p>
        </w:tc>
        <w:tc>
          <w:tcPr/>
          <w:p>
            <w:pPr>
              <w:pStyle w:val="Compact"/>
            </w:pPr>
            <w:r>
              <w:t xml:space="preserve">Baseline point for overall schedule calculation</w:t>
            </w:r>
          </w:p>
        </w:tc>
      </w:tr>
      <w:tr>
        <w:tc>
          <w:tcPr/>
          <w:p>
            <w:pPr>
              <w:pStyle w:val="Compact"/>
            </w:pPr>
            <w:r>
              <w:t xml:space="preserve">Mechanical completion</w:t>
            </w:r>
          </w:p>
        </w:tc>
        <w:tc>
          <w:tcPr/>
          <w:p>
            <w:pPr>
              <w:pStyle w:val="Compact"/>
            </w:pPr>
            <w:r>
              <w:t xml:space="preserve">Within 26 months after piling start</w:t>
            </w:r>
          </w:p>
        </w:tc>
        <w:tc>
          <w:tcPr/>
          <w:p>
            <w:pPr>
              <w:pStyle w:val="Compact"/>
            </w:pPr>
            <w:r>
              <w:t xml:space="preserve">Phase control milestone for the project</w:t>
            </w:r>
          </w:p>
        </w:tc>
      </w:tr>
      <w:tr>
        <w:tc>
          <w:tcPr/>
          <w:p>
            <w:pPr>
              <w:pStyle w:val="Compact"/>
            </w:pPr>
            <w:r>
              <w:t xml:space="preserve">Completion certificate</w:t>
            </w:r>
          </w:p>
        </w:tc>
        <w:tc>
          <w:tcPr/>
          <w:p>
            <w:pPr>
              <w:pStyle w:val="Compact"/>
            </w:pPr>
            <w:r>
              <w:t xml:space="preserve">Within 4 months after mechanical completion</w:t>
            </w:r>
          </w:p>
        </w:tc>
        <w:tc>
          <w:tcPr/>
          <w:p>
            <w:pPr>
              <w:pStyle w:val="Compact"/>
            </w:pPr>
            <w:r>
              <w:t xml:space="preserve">Covers statutory acceptance, CCC and completion certificate processing</w:t>
            </w:r>
          </w:p>
        </w:tc>
      </w:tr>
    </w:tbl>
    <w:bookmarkEnd w:id="36"/>
    <w:bookmarkStart w:id="37" w:name="recommended-critical-paths"/>
    <w:p>
      <w:pPr>
        <w:pStyle w:val="Heading3"/>
      </w:pPr>
      <w:r>
        <w:t xml:space="preserve">2. Recommended Critical Paths</w:t>
      </w:r>
    </w:p>
    <w:p>
      <w:pPr>
        <w:pStyle w:val="FirstParagraph"/>
      </w:pPr>
      <w:r>
        <w:t xml:space="preserve">The critical path for this project should not be understood as a single main-process line. It is recommended that at least four main paths be planned in parallel. The first is the main process units path, covering release of preconditions for the main units, installation of key equipment, process piping, electrical and instrumentation hookup, mechanical completion and unit takeover. The second is the utilities path, covering the readiness of power distribution, firefighting water, cooling water, water treatment, plant air and instrument air, nitrogen and similar systems. The third is the supporting systems and offsite connection path, covering tank farms, loading/unloading facilities, pipe racks, offsite pipelines, jetty connection, external utility tie-ins and related third-party coordination. The fourth is the key material release path, covering the arrival sequence of key equipment, underground piping materials, structural steel, prefabricated materials and critical electrical/instrument materials. In the early project stage, the main process path may dominate, while in the middle and later stages the project typically tightens into multiple parallel controlling paths involving the main units, utilities, offsite connections and handover.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Critical Path</w:t>
            </w:r>
          </w:p>
        </w:tc>
        <w:tc>
          <w:tcPr/>
          <w:p>
            <w:pPr>
              <w:pStyle w:val="Compact"/>
            </w:pPr>
            <w:r>
              <w:t xml:space="preserve">Main Content</w:t>
            </w:r>
          </w:p>
        </w:tc>
        <w:tc>
          <w:tcPr/>
          <w:p>
            <w:pPr>
              <w:pStyle w:val="Compact"/>
            </w:pPr>
            <w:r>
              <w:t xml:space="preserve">Recommended Control Duration</w:t>
            </w:r>
          </w:p>
        </w:tc>
        <w:tc>
          <w:tcPr/>
          <w:p>
            <w:pPr>
              <w:pStyle w:val="Compact"/>
            </w:pPr>
            <w:r>
              <w:t xml:space="preserve">Remarks</w:t>
            </w:r>
          </w:p>
        </w:tc>
      </w:tr>
      <w:tr>
        <w:tc>
          <w:tcPr/>
          <w:p>
            <w:pPr>
              <w:pStyle w:val="Compact"/>
            </w:pPr>
            <w:r>
              <w:t xml:space="preserve">Main process units path</w:t>
            </w:r>
          </w:p>
        </w:tc>
        <w:tc>
          <w:tcPr/>
          <w:p>
            <w:pPr>
              <w:pStyle w:val="Compact"/>
            </w:pPr>
            <w:r>
              <w:t xml:space="preserve">Release of preconditions, installation of key equipment, process piping, electrical and instrumentation hookup, mechanical completion and unit takeover</w:t>
            </w:r>
          </w:p>
        </w:tc>
        <w:tc>
          <w:tcPr/>
          <w:p>
            <w:pPr>
              <w:pStyle w:val="Compact"/>
            </w:pPr>
            <w:r>
              <w:t xml:space="preserve">Approximately 18 to 20 months</w:t>
            </w:r>
          </w:p>
        </w:tc>
        <w:tc>
          <w:tcPr/>
          <w:p>
            <w:pPr>
              <w:pStyle w:val="Compact"/>
            </w:pPr>
            <w:r>
              <w:t xml:space="preserve">One of the most critical control lines before mechanical completion</w:t>
            </w:r>
          </w:p>
        </w:tc>
      </w:tr>
      <w:tr>
        <w:tc>
          <w:tcPr/>
          <w:p>
            <w:pPr>
              <w:pStyle w:val="Compact"/>
            </w:pPr>
            <w:r>
              <w:t xml:space="preserve">Utilities path</w:t>
            </w:r>
          </w:p>
        </w:tc>
        <w:tc>
          <w:tcPr/>
          <w:p>
            <w:pPr>
              <w:pStyle w:val="Compact"/>
            </w:pPr>
            <w:r>
              <w:t xml:space="preserve">Readiness of power distribution, firefighting water, cooling water, water treatment, plant air/instrument air, nitrogen and similar systems</w:t>
            </w:r>
          </w:p>
        </w:tc>
        <w:tc>
          <w:tcPr/>
          <w:p>
            <w:pPr>
              <w:pStyle w:val="Compact"/>
            </w:pPr>
            <w:r>
              <w:t xml:space="preserve">Approximately 20 to 22 months</w:t>
            </w:r>
          </w:p>
        </w:tc>
        <w:tc>
          <w:tcPr/>
          <w:p>
            <w:pPr>
              <w:pStyle w:val="Compact"/>
            </w:pPr>
            <w:r>
              <w:t xml:space="preserve">Often becomes the key path controlling overall plant readiness in the middle and later stages</w:t>
            </w:r>
          </w:p>
        </w:tc>
      </w:tr>
      <w:tr>
        <w:tc>
          <w:tcPr/>
          <w:p>
            <w:pPr>
              <w:pStyle w:val="Compact"/>
            </w:pPr>
            <w:r>
              <w:t xml:space="preserve">Supporting systems and offsite connection path</w:t>
            </w:r>
          </w:p>
        </w:tc>
        <w:tc>
          <w:tcPr/>
          <w:p>
            <w:pPr>
              <w:pStyle w:val="Compact"/>
            </w:pPr>
            <w:r>
              <w:t xml:space="preserve">Tank farms, loading/unloading facilities, pipe racks, offsite pipelines, jetty connection, external utility tie-ins and third-party coordination</w:t>
            </w:r>
          </w:p>
        </w:tc>
        <w:tc>
          <w:tcPr/>
          <w:p>
            <w:pPr>
              <w:pStyle w:val="Compact"/>
            </w:pPr>
            <w:r>
              <w:t xml:space="preserve">Approximately 22 to 26 months</w:t>
            </w:r>
          </w:p>
        </w:tc>
        <w:tc>
          <w:tcPr/>
          <w:p>
            <w:pPr>
              <w:pStyle w:val="Compact"/>
            </w:pPr>
            <w:r>
              <w:t xml:space="preserve">May evolve from a secondary path into the final controlling path in the late stage</w:t>
            </w:r>
          </w:p>
        </w:tc>
      </w:tr>
      <w:tr>
        <w:tc>
          <w:tcPr/>
          <w:p>
            <w:pPr>
              <w:pStyle w:val="Compact"/>
            </w:pPr>
            <w:r>
              <w:t xml:space="preserve">Key material release path</w:t>
            </w:r>
          </w:p>
        </w:tc>
        <w:tc>
          <w:tcPr/>
          <w:p>
            <w:pPr>
              <w:pStyle w:val="Compact"/>
            </w:pPr>
            <w:r>
              <w:t xml:space="preserve">Arrival sequence of key equipment, underground piping materials, structural steel, prefabricated materials and critical electrical/instrument items</w:t>
            </w:r>
          </w:p>
        </w:tc>
        <w:tc>
          <w:tcPr/>
          <w:p>
            <w:pPr>
              <w:pStyle w:val="Compact"/>
            </w:pPr>
            <w:r>
              <w:t xml:space="preserve">Rolling control over approximately 6 to 18 months</w:t>
            </w:r>
          </w:p>
        </w:tc>
        <w:tc>
          <w:tcPr/>
          <w:p>
            <w:pPr>
              <w:pStyle w:val="Compact"/>
            </w:pPr>
            <w:r>
              <w:t xml:space="preserve">Runs through procurement, logistics and installation, and determines whether multiple paths can proceed continuously</w:t>
            </w:r>
          </w:p>
        </w:tc>
      </w:tr>
    </w:tbl>
    <w:bookmarkEnd w:id="37"/>
    <w:bookmarkStart w:id="38" w:name="X2a29f2f89147440f54ee218c8ccdc2200faff3a"/>
    <w:p>
      <w:pPr>
        <w:pStyle w:val="Heading3"/>
      </w:pPr>
      <w:r>
        <w:t xml:space="preserve">3. Major Factors Potentially Affecting Schedule</w:t>
      </w:r>
    </w:p>
    <w:p>
      <w:pPr>
        <w:pStyle w:val="FirstParagraph"/>
      </w:pPr>
      <w:r>
        <w:t xml:space="preserve">In previous projects, schedule impacts were mainly concentrated in five categories. First, late readiness of utility systems, such as substations, firefighting water, cooling water and water treatment, directly extended overall mechanical completion and system handover. Second, delays in underground piping and other underground preconditions compressed the later windows for surrounding equipment completion and aboveground installation. Third, misalignment between material arrival and construction windows, especially for underground piping materials, structural steel, prefabricated materials and certain key equipment, caused some areas to become partially ready but unable to proceed continuously. Fourth, slow progress in offsite pipelines, jetty connection, external utility tie-ins and third-party coordination often caused these paths to evolve from secondary paths into main schedule drivers in the late project stage. Fifth, late start of local statutory acceptance and CCC consumed additional close-out time after mechanical completion and affected lawful operation and formal handover.</w:t>
      </w:r>
    </w:p>
    <w:bookmarkEnd w:id="38"/>
    <w:bookmarkStart w:id="39" w:name="typical-examples-from-previous-projects"/>
    <w:p>
      <w:pPr>
        <w:pStyle w:val="Heading3"/>
      </w:pPr>
      <w:r>
        <w:t xml:space="preserve">4. Typical Examples from Previous Projects</w:t>
      </w:r>
    </w:p>
    <w:p>
      <w:pPr>
        <w:pStyle w:val="FirstParagraph"/>
      </w:pPr>
      <w:r>
        <w:t xml:space="preserve">In previous projects, delays in utilities and supporting systems were particularly representative. The system-level mechanical completion milestone for the substation changed from</w:t>
      </w:r>
      <w:r>
        <w:t xml:space="preserve"> </w:t>
      </w:r>
      <w:r>
        <w:rPr>
          <w:rStyle w:val="VerbatimChar"/>
        </w:rPr>
        <w:t xml:space="preserve">October 15, 2024</w:t>
      </w:r>
      <w:r>
        <w:t xml:space="preserve"> </w:t>
      </w:r>
      <w:r>
        <w:t xml:space="preserve">to</w:t>
      </w:r>
      <w:r>
        <w:t xml:space="preserve"> </w:t>
      </w:r>
      <w:r>
        <w:rPr>
          <w:rStyle w:val="VerbatimChar"/>
        </w:rPr>
        <w:t xml:space="preserve">July 22, 2025</w:t>
      </w:r>
      <w:r>
        <w:t xml:space="preserve">, a delay of about</w:t>
      </w:r>
      <w:r>
        <w:t xml:space="preserve"> </w:t>
      </w:r>
      <w:r>
        <w:rPr>
          <w:rStyle w:val="VerbatimChar"/>
        </w:rPr>
        <w:t xml:space="preserve">280 days</w:t>
      </w:r>
      <w:r>
        <w:t xml:space="preserve">. The firefighting water system changed from</w:t>
      </w:r>
      <w:r>
        <w:t xml:space="preserve"> </w:t>
      </w:r>
      <w:r>
        <w:rPr>
          <w:rStyle w:val="VerbatimChar"/>
        </w:rPr>
        <w:t xml:space="preserve">December 13, 2024</w:t>
      </w:r>
      <w:r>
        <w:t xml:space="preserve"> </w:t>
      </w:r>
      <w:r>
        <w:t xml:space="preserve">to</w:t>
      </w:r>
      <w:r>
        <w:t xml:space="preserve"> </w:t>
      </w:r>
      <w:r>
        <w:rPr>
          <w:rStyle w:val="VerbatimChar"/>
        </w:rPr>
        <w:t xml:space="preserve">August 7, 2025</w:t>
      </w:r>
      <w:r>
        <w:t xml:space="preserve">, a delay of about</w:t>
      </w:r>
      <w:r>
        <w:t xml:space="preserve"> </w:t>
      </w:r>
      <w:r>
        <w:rPr>
          <w:rStyle w:val="VerbatimChar"/>
        </w:rPr>
        <w:t xml:space="preserve">237 days</w:t>
      </w:r>
      <w:r>
        <w:t xml:space="preserve">. The offsite pipeline system changed from</w:t>
      </w:r>
      <w:r>
        <w:t xml:space="preserve"> </w:t>
      </w:r>
      <w:r>
        <w:rPr>
          <w:rStyle w:val="VerbatimChar"/>
        </w:rPr>
        <w:t xml:space="preserve">March 31, 2025</w:t>
      </w:r>
      <w:r>
        <w:t xml:space="preserve"> </w:t>
      </w:r>
      <w:r>
        <w:t xml:space="preserve">to</w:t>
      </w:r>
      <w:r>
        <w:t xml:space="preserve"> </w:t>
      </w:r>
      <w:r>
        <w:rPr>
          <w:rStyle w:val="VerbatimChar"/>
        </w:rPr>
        <w:t xml:space="preserve">October 16, 2025</w:t>
      </w:r>
      <w:r>
        <w:t xml:space="preserve">, a delay of about</w:t>
      </w:r>
      <w:r>
        <w:t xml:space="preserve"> </w:t>
      </w:r>
      <w:r>
        <w:rPr>
          <w:rStyle w:val="VerbatimChar"/>
        </w:rPr>
        <w:t xml:space="preserve">199 days</w:t>
      </w:r>
      <w:r>
        <w:t xml:space="preserve">. The cooling water system changed from</w:t>
      </w:r>
      <w:r>
        <w:t xml:space="preserve"> </w:t>
      </w:r>
      <w:r>
        <w:rPr>
          <w:rStyle w:val="VerbatimChar"/>
        </w:rPr>
        <w:t xml:space="preserve">October 25, 2024</w:t>
      </w:r>
      <w:r>
        <w:t xml:space="preserve"> </w:t>
      </w:r>
      <w:r>
        <w:t xml:space="preserve">to</w:t>
      </w:r>
      <w:r>
        <w:t xml:space="preserve"> </w:t>
      </w:r>
      <w:r>
        <w:rPr>
          <w:rStyle w:val="VerbatimChar"/>
        </w:rPr>
        <w:t xml:space="preserve">May 9, 2025</w:t>
      </w:r>
      <w:r>
        <w:t xml:space="preserve">, a delay of about</w:t>
      </w:r>
      <w:r>
        <w:t xml:space="preserve"> </w:t>
      </w:r>
      <w:r>
        <w:rPr>
          <w:rStyle w:val="VerbatimChar"/>
        </w:rPr>
        <w:t xml:space="preserve">196 days</w:t>
      </w:r>
      <w:r>
        <w:t xml:space="preserve">. The city water and</w:t>
      </w:r>
      <w:r>
        <w:t xml:space="preserve"> </w:t>
      </w:r>
      <w:r>
        <w:rPr>
          <w:rStyle w:val="VerbatimChar"/>
        </w:rPr>
        <w:t xml:space="preserve">DI</w:t>
      </w:r>
      <w:r>
        <w:t xml:space="preserve"> </w:t>
      </w:r>
      <w:r>
        <w:t xml:space="preserve">water system changed from</w:t>
      </w:r>
      <w:r>
        <w:t xml:space="preserve"> </w:t>
      </w:r>
      <w:r>
        <w:rPr>
          <w:rStyle w:val="VerbatimChar"/>
        </w:rPr>
        <w:t xml:space="preserve">November 29, 2024</w:t>
      </w:r>
      <w:r>
        <w:t xml:space="preserve"> </w:t>
      </w:r>
      <w:r>
        <w:t xml:space="preserve">to</w:t>
      </w:r>
      <w:r>
        <w:t xml:space="preserve"> </w:t>
      </w:r>
      <w:r>
        <w:rPr>
          <w:rStyle w:val="VerbatimChar"/>
        </w:rPr>
        <w:t xml:space="preserve">June 5, 2025</w:t>
      </w:r>
      <w:r>
        <w:t xml:space="preserve">, a delay of about</w:t>
      </w:r>
      <w:r>
        <w:t xml:space="preserve"> </w:t>
      </w:r>
      <w:r>
        <w:rPr>
          <w:rStyle w:val="VerbatimChar"/>
        </w:rPr>
        <w:t xml:space="preserve">188 days</w:t>
      </w:r>
      <w:r>
        <w:t xml:space="preserve">. For underground piping samples, installation and pressure testing in one auxiliary area slipped from</w:t>
      </w:r>
      <w:r>
        <w:t xml:space="preserve"> </w:t>
      </w:r>
      <w:r>
        <w:rPr>
          <w:rStyle w:val="VerbatimChar"/>
        </w:rPr>
        <w:t xml:space="preserve">April 25, 2024</w:t>
      </w:r>
      <w:r>
        <w:t xml:space="preserve"> </w:t>
      </w:r>
      <w:r>
        <w:t xml:space="preserve">to</w:t>
      </w:r>
      <w:r>
        <w:t xml:space="preserve"> </w:t>
      </w:r>
      <w:r>
        <w:rPr>
          <w:rStyle w:val="VerbatimChar"/>
        </w:rPr>
        <w:t xml:space="preserve">September 14, 2024</w:t>
      </w:r>
      <w:r>
        <w:t xml:space="preserve">, a delay of about</w:t>
      </w:r>
      <w:r>
        <w:t xml:space="preserve"> </w:t>
      </w:r>
      <w:r>
        <w:rPr>
          <w:rStyle w:val="VerbatimChar"/>
        </w:rPr>
        <w:t xml:space="preserve">142 days</w:t>
      </w:r>
      <w:r>
        <w:t xml:space="preserve">; backfilling slipped from</w:t>
      </w:r>
      <w:r>
        <w:t xml:space="preserve"> </w:t>
      </w:r>
      <w:r>
        <w:rPr>
          <w:rStyle w:val="VerbatimChar"/>
        </w:rPr>
        <w:t xml:space="preserve">April 27, 2024</w:t>
      </w:r>
      <w:r>
        <w:t xml:space="preserve"> </w:t>
      </w:r>
      <w:r>
        <w:t xml:space="preserve">to</w:t>
      </w:r>
      <w:r>
        <w:t xml:space="preserve"> </w:t>
      </w:r>
      <w:r>
        <w:rPr>
          <w:rStyle w:val="VerbatimChar"/>
        </w:rPr>
        <w:t xml:space="preserve">September 16, 2024</w:t>
      </w:r>
      <w:r>
        <w:t xml:space="preserve">, also a delay of about</w:t>
      </w:r>
      <w:r>
        <w:t xml:space="preserve"> </w:t>
      </w:r>
      <w:r>
        <w:rPr>
          <w:rStyle w:val="VerbatimChar"/>
        </w:rPr>
        <w:t xml:space="preserve">142 days</w:t>
      </w:r>
      <w:r>
        <w:t xml:space="preserve">. Other underground piping areas also commonly showed delays of more than</w:t>
      </w:r>
      <w:r>
        <w:t xml:space="preserve"> </w:t>
      </w:r>
      <w:r>
        <w:rPr>
          <w:rStyle w:val="VerbatimChar"/>
        </w:rPr>
        <w:t xml:space="preserve">50 days</w:t>
      </w:r>
      <w:r>
        <w:t xml:space="preserve">. The baseline completion date for the civil works package was</w:t>
      </w:r>
      <w:r>
        <w:t xml:space="preserve"> </w:t>
      </w:r>
      <w:r>
        <w:rPr>
          <w:rStyle w:val="VerbatimChar"/>
        </w:rPr>
        <w:t xml:space="preserve">February 28, 2024</w:t>
      </w:r>
      <w:r>
        <w:t xml:space="preserve">, while the forecast completion date moved to</w:t>
      </w:r>
      <w:r>
        <w:t xml:space="preserve"> </w:t>
      </w:r>
      <w:r>
        <w:rPr>
          <w:rStyle w:val="VerbatimChar"/>
        </w:rPr>
        <w:t xml:space="preserve">June 5, 2024</w:t>
      </w:r>
      <w:r>
        <w:t xml:space="preserve">, representing a delay of about</w:t>
      </w:r>
      <w:r>
        <w:t xml:space="preserve"> </w:t>
      </w:r>
      <w:r>
        <w:rPr>
          <w:rStyle w:val="VerbatimChar"/>
        </w:rPr>
        <w:t xml:space="preserve">98 days</w:t>
      </w:r>
      <w:r>
        <w:t xml:space="preserve">. In terms of local acceptance, quality records show that government special acceptance procedures and CCC usually require at least</w:t>
      </w:r>
      <w:r>
        <w:t xml:space="preserve"> </w:t>
      </w:r>
      <w:r>
        <w:rPr>
          <w:rStyle w:val="VerbatimChar"/>
        </w:rPr>
        <w:t xml:space="preserve">3 to 4 months</w:t>
      </w:r>
      <w:r>
        <w:t xml:space="preserve">, and that multiple statutory inspections such as fire, DOSH, environmental and local authority approvals must be completed before CCC. Local acceptance therefore should not be treated as a final standalone step, but should be started in parallel during the close-out stage of construction.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Typical Item</w:t>
            </w:r>
          </w:p>
        </w:tc>
        <w:tc>
          <w:tcPr/>
          <w:p>
            <w:pPr>
              <w:pStyle w:val="Compact"/>
            </w:pPr>
            <w:r>
              <w:t xml:space="preserve">Original Plan / Baseline</w:t>
            </w:r>
          </w:p>
        </w:tc>
        <w:tc>
          <w:tcPr/>
          <w:p>
            <w:pPr>
              <w:pStyle w:val="Compact"/>
            </w:pPr>
            <w:r>
              <w:t xml:space="preserve">Revised Date</w:t>
            </w:r>
          </w:p>
        </w:tc>
        <w:tc>
          <w:tcPr/>
          <w:p>
            <w:pPr>
              <w:pStyle w:val="Compact"/>
            </w:pPr>
            <w:r>
              <w:t xml:space="preserve">Delay</w:t>
            </w:r>
          </w:p>
        </w:tc>
      </w:tr>
      <w:tr>
        <w:tc>
          <w:tcPr/>
          <w:p>
            <w:pPr>
              <w:pStyle w:val="Compact"/>
            </w:pPr>
            <w:r>
              <w:t xml:space="preserve">Substation system mechanical completion</w:t>
            </w:r>
          </w:p>
        </w:tc>
        <w:tc>
          <w:tcPr/>
          <w:p>
            <w:pPr>
              <w:pStyle w:val="Compact"/>
            </w:pPr>
            <w:r>
              <w:t xml:space="preserve">2024-10-15</w:t>
            </w:r>
          </w:p>
        </w:tc>
        <w:tc>
          <w:tcPr/>
          <w:p>
            <w:pPr>
              <w:pStyle w:val="Compact"/>
            </w:pPr>
            <w:r>
              <w:t xml:space="preserve">2025-07-22</w:t>
            </w:r>
          </w:p>
        </w:tc>
        <w:tc>
          <w:tcPr/>
          <w:p>
            <w:pPr>
              <w:pStyle w:val="Compact"/>
            </w:pPr>
            <w:r>
              <w:t xml:space="preserve">Approximately 280 days</w:t>
            </w:r>
          </w:p>
        </w:tc>
      </w:tr>
      <w:tr>
        <w:tc>
          <w:tcPr/>
          <w:p>
            <w:pPr>
              <w:pStyle w:val="Compact"/>
            </w:pPr>
            <w:r>
              <w:t xml:space="preserve">Firefighting water system mechanical completion</w:t>
            </w:r>
          </w:p>
        </w:tc>
        <w:tc>
          <w:tcPr/>
          <w:p>
            <w:pPr>
              <w:pStyle w:val="Compact"/>
            </w:pPr>
            <w:r>
              <w:t xml:space="preserve">2024-12-13</w:t>
            </w:r>
          </w:p>
        </w:tc>
        <w:tc>
          <w:tcPr/>
          <w:p>
            <w:pPr>
              <w:pStyle w:val="Compact"/>
            </w:pPr>
            <w:r>
              <w:t xml:space="preserve">2025-08-07</w:t>
            </w:r>
          </w:p>
        </w:tc>
        <w:tc>
          <w:tcPr/>
          <w:p>
            <w:pPr>
              <w:pStyle w:val="Compact"/>
            </w:pPr>
            <w:r>
              <w:t xml:space="preserve">Approximately 237 days</w:t>
            </w:r>
          </w:p>
        </w:tc>
      </w:tr>
      <w:tr>
        <w:tc>
          <w:tcPr/>
          <w:p>
            <w:pPr>
              <w:pStyle w:val="Compact"/>
            </w:pPr>
            <w:r>
              <w:t xml:space="preserve">Offsite pipeline system mechanical completion</w:t>
            </w:r>
          </w:p>
        </w:tc>
        <w:tc>
          <w:tcPr/>
          <w:p>
            <w:pPr>
              <w:pStyle w:val="Compact"/>
            </w:pPr>
            <w:r>
              <w:t xml:space="preserve">2025-03-31</w:t>
            </w:r>
          </w:p>
        </w:tc>
        <w:tc>
          <w:tcPr/>
          <w:p>
            <w:pPr>
              <w:pStyle w:val="Compact"/>
            </w:pPr>
            <w:r>
              <w:t xml:space="preserve">2025-10-16</w:t>
            </w:r>
          </w:p>
        </w:tc>
        <w:tc>
          <w:tcPr/>
          <w:p>
            <w:pPr>
              <w:pStyle w:val="Compact"/>
            </w:pPr>
            <w:r>
              <w:t xml:space="preserve">Approximately 199 days</w:t>
            </w:r>
          </w:p>
        </w:tc>
      </w:tr>
      <w:tr>
        <w:tc>
          <w:tcPr/>
          <w:p>
            <w:pPr>
              <w:pStyle w:val="Compact"/>
            </w:pPr>
            <w:r>
              <w:t xml:space="preserve">Cooling water system mechanical completion</w:t>
            </w:r>
          </w:p>
        </w:tc>
        <w:tc>
          <w:tcPr/>
          <w:p>
            <w:pPr>
              <w:pStyle w:val="Compact"/>
            </w:pPr>
            <w:r>
              <w:t xml:space="preserve">2024-10-25</w:t>
            </w:r>
          </w:p>
        </w:tc>
        <w:tc>
          <w:tcPr/>
          <w:p>
            <w:pPr>
              <w:pStyle w:val="Compact"/>
            </w:pPr>
            <w:r>
              <w:t xml:space="preserve">2025-05-09</w:t>
            </w:r>
          </w:p>
        </w:tc>
        <w:tc>
          <w:tcPr/>
          <w:p>
            <w:pPr>
              <w:pStyle w:val="Compact"/>
            </w:pPr>
            <w:r>
              <w:t xml:space="preserve">Approximately 196 days</w:t>
            </w:r>
          </w:p>
        </w:tc>
      </w:tr>
      <w:tr>
        <w:tc>
          <w:tcPr/>
          <w:p>
            <w:pPr>
              <w:pStyle w:val="Compact"/>
            </w:pPr>
            <w:r>
              <w:t xml:space="preserve">City water and DI water system mechanical completion</w:t>
            </w:r>
          </w:p>
        </w:tc>
        <w:tc>
          <w:tcPr/>
          <w:p>
            <w:pPr>
              <w:pStyle w:val="Compact"/>
            </w:pPr>
            <w:r>
              <w:t xml:space="preserve">2024-11-29</w:t>
            </w:r>
          </w:p>
        </w:tc>
        <w:tc>
          <w:tcPr/>
          <w:p>
            <w:pPr>
              <w:pStyle w:val="Compact"/>
            </w:pPr>
            <w:r>
              <w:t xml:space="preserve">2025-06-05</w:t>
            </w:r>
          </w:p>
        </w:tc>
        <w:tc>
          <w:tcPr/>
          <w:p>
            <w:pPr>
              <w:pStyle w:val="Compact"/>
            </w:pPr>
            <w:r>
              <w:t xml:space="preserve">Approximately 188 days</w:t>
            </w:r>
          </w:p>
        </w:tc>
      </w:tr>
      <w:tr>
        <w:tc>
          <w:tcPr/>
          <w:p>
            <w:pPr>
              <w:pStyle w:val="Compact"/>
            </w:pPr>
            <w:r>
              <w:t xml:space="preserve">Auxiliary area underground piping installation and pressure test</w:t>
            </w:r>
          </w:p>
        </w:tc>
        <w:tc>
          <w:tcPr/>
          <w:p>
            <w:pPr>
              <w:pStyle w:val="Compact"/>
            </w:pPr>
            <w:r>
              <w:t xml:space="preserve">2024-04-25</w:t>
            </w:r>
          </w:p>
        </w:tc>
        <w:tc>
          <w:tcPr/>
          <w:p>
            <w:pPr>
              <w:pStyle w:val="Compact"/>
            </w:pPr>
            <w:r>
              <w:t xml:space="preserve">2024-09-14</w:t>
            </w:r>
          </w:p>
        </w:tc>
        <w:tc>
          <w:tcPr/>
          <w:p>
            <w:pPr>
              <w:pStyle w:val="Compact"/>
            </w:pPr>
            <w:r>
              <w:t xml:space="preserve">Approximately 142 days</w:t>
            </w:r>
          </w:p>
        </w:tc>
      </w:tr>
      <w:tr>
        <w:tc>
          <w:tcPr/>
          <w:p>
            <w:pPr>
              <w:pStyle w:val="Compact"/>
            </w:pPr>
            <w:r>
              <w:t xml:space="preserve">Auxiliary area underground piping backfilling</w:t>
            </w:r>
          </w:p>
        </w:tc>
        <w:tc>
          <w:tcPr/>
          <w:p>
            <w:pPr>
              <w:pStyle w:val="Compact"/>
            </w:pPr>
            <w:r>
              <w:t xml:space="preserve">2024-04-27</w:t>
            </w:r>
          </w:p>
        </w:tc>
        <w:tc>
          <w:tcPr/>
          <w:p>
            <w:pPr>
              <w:pStyle w:val="Compact"/>
            </w:pPr>
            <w:r>
              <w:t xml:space="preserve">2024-09-16</w:t>
            </w:r>
          </w:p>
        </w:tc>
        <w:tc>
          <w:tcPr/>
          <w:p>
            <w:pPr>
              <w:pStyle w:val="Compact"/>
            </w:pPr>
            <w:r>
              <w:t xml:space="preserve">Approximately 142 days</w:t>
            </w:r>
          </w:p>
        </w:tc>
      </w:tr>
      <w:tr>
        <w:tc>
          <w:tcPr/>
          <w:p>
            <w:pPr>
              <w:pStyle w:val="Compact"/>
            </w:pPr>
            <w:r>
              <w:t xml:space="preserve">Overall civil works package completion</w:t>
            </w:r>
          </w:p>
        </w:tc>
        <w:tc>
          <w:tcPr/>
          <w:p>
            <w:pPr>
              <w:pStyle w:val="Compact"/>
            </w:pPr>
            <w:r>
              <w:t xml:space="preserve">2024-02-28</w:t>
            </w:r>
          </w:p>
        </w:tc>
        <w:tc>
          <w:tcPr/>
          <w:p>
            <w:pPr>
              <w:pStyle w:val="Compact"/>
            </w:pPr>
            <w:r>
              <w:t xml:space="preserve">2024-06-05</w:t>
            </w:r>
          </w:p>
        </w:tc>
        <w:tc>
          <w:tcPr/>
          <w:p>
            <w:pPr>
              <w:pStyle w:val="Compact"/>
            </w:pPr>
            <w:r>
              <w:t xml:space="preserve">Approximately 98 days</w:t>
            </w:r>
          </w:p>
        </w:tc>
      </w:tr>
    </w:tbl>
    <w:bookmarkEnd w:id="39"/>
    <w:bookmarkStart w:id="40" w:name="X2405c8ff302ccb8131a4cdfac4aca22e0663df5"/>
    <w:p>
      <w:pPr>
        <w:pStyle w:val="Heading3"/>
      </w:pPr>
      <w:r>
        <w:t xml:space="preserve">5. Labor Resources and Technical Organization</w:t>
      </w:r>
    </w:p>
    <w:p>
      <w:pPr>
        <w:pStyle w:val="FirstParagraph"/>
      </w:pPr>
      <w:r>
        <w:t xml:space="preserve">In previous projects, even when material arrival and preconditions were delayed, the key milestones of the main process units were still largely protected. One important reason was the early mobilization of construction resources and technical organization. Disciplines with high technical requirements, such as equipment, piping, tanks, electrical and instrumentation, were mainly staffed with skilled Chinese workers, while civil works, structural steel erection and disciplines closely linked with local authority acceptance, such as firefighting, HVAC and building electrical, relied more on local labor. Overall, the Chinese and local labor mix was maintained at roughly</w:t>
      </w:r>
      <w:r>
        <w:t xml:space="preserve"> </w:t>
      </w:r>
      <w:r>
        <w:rPr>
          <w:rStyle w:val="VerbatimChar"/>
        </w:rPr>
        <w:t xml:space="preserve">50%:50%</w:t>
      </w:r>
      <w:r>
        <w:t xml:space="preserve">. In terms of technical organization, the project adopted the implementation approach of</w:t>
      </w:r>
      <w:r>
        <w:t xml:space="preserve"> </w:t>
      </w:r>
      <w:r>
        <w:t xml:space="preserve">“domestic prefabrication and overseas installation”</w:t>
      </w:r>
      <w:r>
        <w:t xml:space="preserve"> </w:t>
      </w:r>
      <w:r>
        <w:t xml:space="preserve">and introduced</w:t>
      </w:r>
      <w:r>
        <w:t xml:space="preserve"> </w:t>
      </w:r>
      <w:r>
        <w:rPr>
          <w:rStyle w:val="VerbatimChar"/>
        </w:rPr>
        <w:t xml:space="preserve">PMS + BIM</w:t>
      </w:r>
      <w:r>
        <w:t xml:space="preserve"> </w:t>
      </w:r>
      <w:r>
        <w:t xml:space="preserve">digital management to integrate prefabrication segmentation, transport size control, container loading sequence and site installation sequence. Quality records show that, through BIM-based prefabrication scheduling, piping prefabrication progress remained approximately</w:t>
      </w:r>
      <w:r>
        <w:t xml:space="preserve"> </w:t>
      </w:r>
      <w:r>
        <w:rPr>
          <w:rStyle w:val="VerbatimChar"/>
        </w:rPr>
        <w:t xml:space="preserve">15%</w:t>
      </w:r>
      <w:r>
        <w:t xml:space="preserve"> </w:t>
      </w:r>
      <w:r>
        <w:t xml:space="preserve">ahead of plan for a long period, with a peak advantage of</w:t>
      </w:r>
      <w:r>
        <w:t xml:space="preserve"> </w:t>
      </w:r>
      <w:r>
        <w:rPr>
          <w:rStyle w:val="VerbatimChar"/>
        </w:rPr>
        <w:t xml:space="preserve">26%</w:t>
      </w:r>
      <w:r>
        <w:t xml:space="preserve">; installation progress remained approximately</w:t>
      </w:r>
      <w:r>
        <w:t xml:space="preserve"> </w:t>
      </w:r>
      <w:r>
        <w:rPr>
          <w:rStyle w:val="VerbatimChar"/>
        </w:rPr>
        <w:t xml:space="preserve">10%</w:t>
      </w:r>
      <w:r>
        <w:t xml:space="preserve"> </w:t>
      </w:r>
      <w:r>
        <w:t xml:space="preserve">ahead of plan for a long period, with a peak advantage of</w:t>
      </w:r>
      <w:r>
        <w:t xml:space="preserve"> </w:t>
      </w:r>
      <w:r>
        <w:rPr>
          <w:rStyle w:val="VerbatimChar"/>
        </w:rPr>
        <w:t xml:space="preserve">17%</w:t>
      </w:r>
      <w:r>
        <w:t xml:space="preserve">; and the prefabrication ratio increased from the originally expected</w:t>
      </w:r>
      <w:r>
        <w:t xml:space="preserve"> </w:t>
      </w:r>
      <w:r>
        <w:rPr>
          <w:rStyle w:val="VerbatimChar"/>
        </w:rPr>
        <w:t xml:space="preserve">35%</w:t>
      </w:r>
      <w:r>
        <w:t xml:space="preserve"> </w:t>
      </w:r>
      <w:r>
        <w:t xml:space="preserve">to</w:t>
      </w:r>
      <w:r>
        <w:t xml:space="preserve"> </w:t>
      </w:r>
      <w:r>
        <w:rPr>
          <w:rStyle w:val="VerbatimChar"/>
        </w:rPr>
        <w:t xml:space="preserve">48.1%</w:t>
      </w:r>
      <w:r>
        <w:t xml:space="preserve">. This shows that even when preconditions are delayed, there is still an opportunity to recover time on the critical path if domestic prefabrication, material shipment, site installation and labor organization can be effectively linked together.</w:t>
      </w:r>
    </w:p>
    <w:bookmarkEnd w:id="40"/>
    <w:bookmarkStart w:id="41" w:name="recommendations-for-schedule-planning"/>
    <w:p>
      <w:pPr>
        <w:pStyle w:val="Heading3"/>
      </w:pPr>
      <w:r>
        <w:t xml:space="preserve">6. Recommendations for Schedule Planning</w:t>
      </w:r>
    </w:p>
    <w:p>
      <w:pPr>
        <w:pStyle w:val="FirstParagraph"/>
      </w:pPr>
      <w:r>
        <w:t xml:space="preserve">Schedule planning is recommended to be organized under five layers: precondition planning, key material release planning, installation execution planning, system handover planning and local acceptance planning. Precondition planning should focus on underground works, underground piping, civil works, structural steel and workfront release. Key material release planning should focus on key equipment, underground piping materials, structural steel, prefabricated materials and critical electrical/instrument materials. Installation execution planning should focus on area-based advancement of the main process units, utilities and supporting systems. System handover planning should focus on mechanical completion, commissioning support, punch close-out and acceptance. Local acceptance planning should focus on fire acceptance, DOSH, CIDB, CCC and other government procedures. Although structural steel may technically fall under either structural works or installation by discipline, from a schedule planning perspective it is more suitable to be managed separately as a precondition item, because its completion directly determines whether equipment installation and piping installation can proceed continuously. Labor organization and technical organization should also be incorporated into the schedule separately, including the deployment rhythm of skilled Chinese workers, allocation of local construction resources, depth of domestic prefabrication and BIM scheduling support. For pipe rack areas, heater areas, water treatment areas and areas with dense equipment, the feasibility of modularization and segmented prefabrication should also be evaluated in parallel, so as to reduce working-at-height pressure and cross-trade congestion at the overseas site.</w:t>
      </w:r>
    </w:p>
    <w:bookmarkEnd w:id="41"/>
    <w:bookmarkStart w:id="42" w:name="conclusion-of-schedule-section"/>
    <w:p>
      <w:pPr>
        <w:pStyle w:val="Heading3"/>
      </w:pPr>
      <w:r>
        <w:t xml:space="preserve">7. Conclusion of Schedule Section</w:t>
      </w:r>
    </w:p>
    <w:p>
      <w:pPr>
        <w:pStyle w:val="FirstParagraph"/>
      </w:pPr>
      <w:r>
        <w:t xml:space="preserve">It is recommended that piling start be taken as the main project control starting point, with the period from piling start to mechanical completion controlled at approximately</w:t>
      </w:r>
      <w:r>
        <w:t xml:space="preserve"> </w:t>
      </w:r>
      <w:r>
        <w:rPr>
          <w:rStyle w:val="VerbatimChar"/>
        </w:rPr>
        <w:t xml:space="preserve">26 months</w:t>
      </w:r>
      <w:r>
        <w:t xml:space="preserve">, followed by an additional</w:t>
      </w:r>
      <w:r>
        <w:t xml:space="preserve"> </w:t>
      </w:r>
      <w:r>
        <w:rPr>
          <w:rStyle w:val="VerbatimChar"/>
        </w:rPr>
        <w:t xml:space="preserve">4 months</w:t>
      </w:r>
      <w:r>
        <w:t xml:space="preserve"> </w:t>
      </w:r>
      <w:r>
        <w:t xml:space="preserve">from mechanical completion to completion certificate. The project plan should be controlled in layers across six phases: design, procurement, logistics, civil/precondition works, installation and system completion, and acceptance/certification. It should also be managed simultaneously across four main paths: main process units, utilities, offsite connections and key material release. Previous projects show that what most often extends total duration is not the main process units themselves, but utilities, underground piping, key material release, offsite pipelines, package interface coordination and local acceptance preparation. To secure the delivery schedule, it is therefore necessary to put in place not only overall duration and critical-path controls, but also supporting measures such as labor planning, domestic prefabrication with overseas installation, modularization and BIM-based scheduling.</w:t>
      </w:r>
    </w:p>
    <w:bookmarkEnd w:id="42"/>
    <w:bookmarkEnd w:id="43"/>
    <w:bookmarkStart w:id="44" w:name="v.-overall-conclusion"/>
    <w:p>
      <w:pPr>
        <w:pStyle w:val="Heading2"/>
      </w:pPr>
      <w:r>
        <w:t xml:space="preserve">V. Overall Conclusion</w:t>
      </w:r>
    </w:p>
    <w:p>
      <w:pPr>
        <w:pStyle w:val="FirstParagraph"/>
      </w:pPr>
      <w:r>
        <w:t xml:space="preserve">The workshare planning for this project should establish stable boundaries around four main lines: design responsibility, procurement responsibility, logistics responsibility and schedule responsibility. On the design side, responsibilities for the main process units, utilities, package interfaces and local detailed design should each be clearly locked in. On the procurement side, key equipment should be led by Technip, utility package systems should be managed by NCC under EPC mode, cross-border bulk materials and prefabrication-related materials should be organized by NCC, and locally adaptive materials should be procured by NCC locally. On the logistics side, key equipment, package systems, prefabricated materials and underground piping materials should all be organized by backward planning from the critical path. On the schedule side, design, procurement, logistics, civil preconditions, installation/system completion and local acceptance must all be managed in one integrated master schedule. Only when these boundaries are clearly defined, scheduled and assigned at the early stage can the project establish a stable basis for execution responsibility, procurement organization and schedule control.</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2026-04-21T09:16:43Z</dcterms:created>
  <dcterms:modified xsi:type="dcterms:W3CDTF">2026-04-21T09:16:43Z</dcterms:modified>
</cp:coreProperties>
</file>

<file path=docProps/custom.xml><?xml version="1.0" encoding="utf-8"?>
<Properties xmlns="http://schemas.openxmlformats.org/officeDocument/2006/custom-properties" xmlns:vt="http://schemas.openxmlformats.org/officeDocument/2006/docPropsVTypes"/>
</file>