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8" w:after="0" w:line="240" w:lineRule="auto"/>
        <w:ind w:left="413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54.984478pt;height:48.892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after="0"/>
        <w:jc w:val="left"/>
        <w:rPr>
          <w:sz w:val="20"/>
          <w:szCs w:val="20"/>
        </w:rPr>
        <w:sectPr>
          <w:footerReference w:type="default" r:id="rId5"/>
          <w:type w:val="continuous"/>
          <w:pgSz w:w="11900" w:h="16820"/>
          <w:pgMar w:footer="1354" w:top="560" w:bottom="1540" w:left="1080" w:right="480"/>
        </w:sectPr>
      </w:pPr>
    </w:p>
    <w:p>
      <w:pPr>
        <w:spacing w:before="43" w:after="0" w:line="240" w:lineRule="auto"/>
        <w:ind w:right="-11"/>
        <w:jc w:val="righ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/>
          <w:bCs/>
          <w:spacing w:val="0"/>
          <w:w w:val="100"/>
          <w:sz w:val="13"/>
          <w:szCs w:val="13"/>
        </w:rPr>
        <w:t>LOI</w:t>
      </w:r>
      <w:r>
        <w:rPr>
          <w:rFonts w:ascii="Arial" w:hAnsi="Arial" w:cs="Arial" w:eastAsia="Arial"/>
          <w:b/>
          <w:bCs/>
          <w:spacing w:val="-2"/>
          <w:w w:val="100"/>
          <w:sz w:val="13"/>
          <w:szCs w:val="13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13"/>
          <w:szCs w:val="13"/>
        </w:rPr>
        <w:t>Thermprocess</w:t>
      </w:r>
      <w:r>
        <w:rPr>
          <w:rFonts w:ascii="Arial" w:hAnsi="Arial" w:cs="Arial" w:eastAsia="Arial"/>
          <w:b/>
          <w:bCs/>
          <w:spacing w:val="-9"/>
          <w:w w:val="100"/>
          <w:sz w:val="13"/>
          <w:szCs w:val="13"/>
        </w:rPr>
        <w:t> </w:t>
      </w:r>
      <w:r>
        <w:rPr>
          <w:rFonts w:ascii="Arial" w:hAnsi="Arial" w:cs="Arial" w:eastAsia="Arial"/>
          <w:b/>
          <w:bCs/>
          <w:spacing w:val="0"/>
          <w:w w:val="99"/>
          <w:sz w:val="13"/>
          <w:szCs w:val="13"/>
        </w:rPr>
        <w:t>GmbH</w:t>
      </w:r>
      <w:r>
        <w:rPr>
          <w:rFonts w:ascii="Arial" w:hAnsi="Arial" w:cs="Arial" w:eastAsia="Arial"/>
          <w:spacing w:val="0"/>
          <w:w w:val="100"/>
          <w:sz w:val="13"/>
          <w:szCs w:val="13"/>
        </w:rPr>
      </w:r>
    </w:p>
    <w:p>
      <w:pPr>
        <w:spacing w:before="4" w:after="0" w:line="240" w:lineRule="auto"/>
        <w:ind w:right="512"/>
        <w:jc w:val="righ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spacing w:val="0"/>
          <w:w w:val="100"/>
          <w:sz w:val="13"/>
          <w:szCs w:val="13"/>
        </w:rPr>
        <w:t>Am</w:t>
      </w:r>
      <w:r>
        <w:rPr>
          <w:rFonts w:ascii="Arial" w:hAnsi="Arial" w:cs="Arial" w:eastAsia="Arial"/>
          <w:spacing w:val="-2"/>
          <w:w w:val="100"/>
          <w:sz w:val="13"/>
          <w:szCs w:val="13"/>
        </w:rPr>
        <w:t> </w:t>
      </w:r>
      <w:r>
        <w:rPr>
          <w:rFonts w:ascii="Arial" w:hAnsi="Arial" w:cs="Arial" w:eastAsia="Arial"/>
          <w:spacing w:val="0"/>
          <w:w w:val="100"/>
          <w:sz w:val="13"/>
          <w:szCs w:val="13"/>
        </w:rPr>
        <w:t>Lichtbogen</w:t>
      </w:r>
      <w:r>
        <w:rPr>
          <w:rFonts w:ascii="Arial" w:hAnsi="Arial" w:cs="Arial" w:eastAsia="Arial"/>
          <w:spacing w:val="-6"/>
          <w:w w:val="100"/>
          <w:sz w:val="13"/>
          <w:szCs w:val="13"/>
        </w:rPr>
        <w:t> </w:t>
      </w:r>
      <w:r>
        <w:rPr>
          <w:rFonts w:ascii="Arial" w:hAnsi="Arial" w:cs="Arial" w:eastAsia="Arial"/>
          <w:spacing w:val="0"/>
          <w:w w:val="99"/>
          <w:sz w:val="13"/>
          <w:szCs w:val="13"/>
        </w:rPr>
        <w:t>29</w:t>
      </w:r>
      <w:r>
        <w:rPr>
          <w:rFonts w:ascii="Arial" w:hAnsi="Arial" w:cs="Arial" w:eastAsia="Arial"/>
          <w:spacing w:val="0"/>
          <w:w w:val="100"/>
          <w:sz w:val="13"/>
          <w:szCs w:val="13"/>
        </w:rPr>
      </w:r>
    </w:p>
    <w:p>
      <w:pPr>
        <w:spacing w:before="4" w:after="0" w:line="147" w:lineRule="exact"/>
        <w:ind w:right="198"/>
        <w:jc w:val="righ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spacing w:val="0"/>
          <w:w w:val="100"/>
          <w:sz w:val="13"/>
          <w:szCs w:val="13"/>
        </w:rPr>
        <w:t>45141</w:t>
      </w:r>
      <w:r>
        <w:rPr>
          <w:rFonts w:ascii="Arial" w:hAnsi="Arial" w:cs="Arial" w:eastAsia="Arial"/>
          <w:spacing w:val="-4"/>
          <w:w w:val="100"/>
          <w:sz w:val="13"/>
          <w:szCs w:val="13"/>
        </w:rPr>
        <w:t> </w:t>
      </w:r>
      <w:r>
        <w:rPr>
          <w:rFonts w:ascii="Arial" w:hAnsi="Arial" w:cs="Arial" w:eastAsia="Arial"/>
          <w:spacing w:val="0"/>
          <w:w w:val="100"/>
          <w:sz w:val="13"/>
          <w:szCs w:val="13"/>
        </w:rPr>
        <w:t>Essen,</w:t>
      </w:r>
      <w:r>
        <w:rPr>
          <w:rFonts w:ascii="Arial" w:hAnsi="Arial" w:cs="Arial" w:eastAsia="Arial"/>
          <w:spacing w:val="-4"/>
          <w:w w:val="100"/>
          <w:sz w:val="13"/>
          <w:szCs w:val="13"/>
        </w:rPr>
        <w:t> </w:t>
      </w:r>
      <w:r>
        <w:rPr>
          <w:rFonts w:ascii="Arial" w:hAnsi="Arial" w:cs="Arial" w:eastAsia="Arial"/>
          <w:spacing w:val="0"/>
          <w:w w:val="99"/>
          <w:sz w:val="13"/>
          <w:szCs w:val="13"/>
        </w:rPr>
        <w:t>Germany</w:t>
      </w:r>
      <w:r>
        <w:rPr>
          <w:rFonts w:ascii="Arial" w:hAnsi="Arial" w:cs="Arial" w:eastAsia="Arial"/>
          <w:spacing w:val="0"/>
          <w:w w:val="100"/>
          <w:sz w:val="13"/>
          <w:szCs w:val="13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spacing w:val="0"/>
          <w:w w:val="100"/>
          <w:sz w:val="13"/>
          <w:szCs w:val="13"/>
        </w:rPr>
        <w:t>P.B.</w:t>
      </w:r>
      <w:r>
        <w:rPr>
          <w:rFonts w:ascii="Arial" w:hAnsi="Arial" w:cs="Arial" w:eastAsia="Arial"/>
          <w:spacing w:val="-2"/>
          <w:w w:val="100"/>
          <w:sz w:val="13"/>
          <w:szCs w:val="13"/>
        </w:rPr>
        <w:t> </w:t>
      </w:r>
      <w:r>
        <w:rPr>
          <w:rFonts w:ascii="Arial" w:hAnsi="Arial" w:cs="Arial" w:eastAsia="Arial"/>
          <w:spacing w:val="0"/>
          <w:w w:val="100"/>
          <w:sz w:val="13"/>
          <w:szCs w:val="13"/>
        </w:rPr>
        <w:t>102451</w:t>
      </w:r>
      <w:r>
        <w:rPr>
          <w:rFonts w:ascii="Arial" w:hAnsi="Arial" w:cs="Arial" w:eastAsia="Arial"/>
          <w:spacing w:val="0"/>
          <w:w w:val="100"/>
          <w:sz w:val="13"/>
          <w:szCs w:val="13"/>
        </w:rPr>
      </w:r>
    </w:p>
    <w:p>
      <w:pPr>
        <w:spacing w:before="0" w:after="0" w:line="149" w:lineRule="exact"/>
        <w:ind w:right="-2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spacing w:val="0"/>
          <w:w w:val="100"/>
          <w:sz w:val="13"/>
          <w:szCs w:val="13"/>
        </w:rPr>
        <w:t>45024</w:t>
      </w:r>
      <w:r>
        <w:rPr>
          <w:rFonts w:ascii="Arial" w:hAnsi="Arial" w:cs="Arial" w:eastAsia="Arial"/>
          <w:spacing w:val="-4"/>
          <w:w w:val="100"/>
          <w:sz w:val="13"/>
          <w:szCs w:val="13"/>
        </w:rPr>
        <w:t> </w:t>
      </w:r>
      <w:r>
        <w:rPr>
          <w:rFonts w:ascii="Arial" w:hAnsi="Arial" w:cs="Arial" w:eastAsia="Arial"/>
          <w:spacing w:val="0"/>
          <w:w w:val="100"/>
          <w:sz w:val="13"/>
          <w:szCs w:val="13"/>
        </w:rPr>
        <w:t>Essen,</w:t>
      </w:r>
      <w:r>
        <w:rPr>
          <w:rFonts w:ascii="Arial" w:hAnsi="Arial" w:cs="Arial" w:eastAsia="Arial"/>
          <w:spacing w:val="-4"/>
          <w:w w:val="100"/>
          <w:sz w:val="13"/>
          <w:szCs w:val="13"/>
        </w:rPr>
        <w:t> </w:t>
      </w:r>
      <w:r>
        <w:rPr>
          <w:rFonts w:ascii="Arial" w:hAnsi="Arial" w:cs="Arial" w:eastAsia="Arial"/>
          <w:spacing w:val="0"/>
          <w:w w:val="100"/>
          <w:sz w:val="13"/>
          <w:szCs w:val="13"/>
        </w:rPr>
        <w:t>Germany</w:t>
      </w:r>
      <w:r>
        <w:rPr>
          <w:rFonts w:ascii="Arial" w:hAnsi="Arial" w:cs="Arial" w:eastAsia="Arial"/>
          <w:spacing w:val="0"/>
          <w:w w:val="100"/>
          <w:sz w:val="13"/>
          <w:szCs w:val="13"/>
        </w:rPr>
      </w:r>
    </w:p>
    <w:p>
      <w:pPr>
        <w:spacing w:line="149" w:lineRule="exact"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1900" w:h="16820"/>
          <w:pgMar w:top="560" w:bottom="1540" w:left="1080" w:right="480"/>
          <w:cols w:num="2" w:equalWidth="0">
            <w:col w:w="7272" w:space="225"/>
            <w:col w:w="2843"/>
          </w:cols>
        </w:sectPr>
      </w:pP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29" w:after="0" w:line="240" w:lineRule="auto"/>
        <w:ind w:left="110" w:right="8175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Fatigue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(material)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39" w:lineRule="auto"/>
        <w:ind w:left="110" w:right="61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science,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fatigue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progressive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localized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structural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damage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occurs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subjected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cyclic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loading.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nominal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maximum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values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than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ultimate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tensile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limit,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below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limit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0" w:right="609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Fatigue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occurs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subjected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repeated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loading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unloading.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loads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above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certain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threshold,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microscopic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cracks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begin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surface.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Eventually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crack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reach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critical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size,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structure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suddenly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fracture.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shape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structure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significantly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affect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fatigue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life;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square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holes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sharp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corners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will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lead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elevated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local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fatigue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cracks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initiate.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Round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holes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smooth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transitions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fillets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therefore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important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increase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fatigue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strength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structure.</w:t>
      </w:r>
    </w:p>
    <w:p>
      <w:pPr>
        <w:spacing w:before="10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0" w:right="8015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(engineering)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40" w:lineRule="auto"/>
        <w:ind w:left="110" w:right="609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strength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point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defined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engineering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science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begins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plastically.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Prior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point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elastically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return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original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shape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applied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removed.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Once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point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passed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some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fraction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permanent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non-reversible.</w:t>
      </w:r>
    </w:p>
    <w:p>
      <w:pPr>
        <w:spacing w:before="0" w:after="0" w:line="278" w:lineRule="exact"/>
        <w:ind w:left="110" w:right="597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three-dimensional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space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principal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σ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1,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σ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2,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σ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3),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infinite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number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points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together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surface.</w:t>
      </w:r>
    </w:p>
    <w:p>
      <w:pPr>
        <w:spacing w:before="11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0" w:right="612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Knowledge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point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vital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designing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component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since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generally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represents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upper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limit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load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applied.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also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important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control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many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production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techniques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such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forging,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rolling,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pressing.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structural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engineering,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soft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failure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mode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does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not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normally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cause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catastrophic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failure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ultimate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failure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unless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accelerates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buckling.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0" w:right="5862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(mechanics)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/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Elongation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40" w:lineRule="auto"/>
        <w:ind w:left="110" w:right="61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continuum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mechanics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transformation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body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from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reference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configuration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current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configuration[1].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configuration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set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containing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positions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particles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body.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Contrary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common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definition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implies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distortion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change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shape,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continuum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mechanics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definition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includes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rigid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body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motions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shape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changes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not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take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([1],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footnote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4,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48).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0" w:right="615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cause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not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pertinent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definition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term.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However,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usually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assumed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caused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external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loads[2],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body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forces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(such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gravity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electromagnetic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forces),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temperature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changes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within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body.</w:t>
      </w:r>
    </w:p>
    <w:p>
      <w:pPr>
        <w:spacing w:line="240" w:lineRule="auto" w:after="0"/>
        <w:jc w:val="both"/>
        <w:rPr>
          <w:rFonts w:ascii="Arial" w:hAnsi="Arial" w:cs="Arial" w:eastAsia="Arial"/>
          <w:sz w:val="24"/>
          <w:szCs w:val="24"/>
        </w:rPr>
        <w:sectPr>
          <w:type w:val="continuous"/>
          <w:pgSz w:w="11900" w:h="16820"/>
          <w:pgMar w:top="560" w:bottom="1540" w:left="1080" w:right="480"/>
        </w:sectPr>
      </w:pPr>
    </w:p>
    <w:p>
      <w:pPr>
        <w:spacing w:before="64" w:after="0" w:line="242" w:lineRule="auto"/>
        <w:ind w:left="110" w:right="616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Strain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description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terms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relative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displacement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particles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body.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0" w:right="618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Different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equivalent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choices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made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expression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strain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depending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whether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defined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initial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final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placement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whether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metric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tensor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dual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considered.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10" w:right="605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continuous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body,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results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from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induced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applied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forces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due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changes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temperature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inside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body.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relation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between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induced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strains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expressed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constitutive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equations,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e.g.,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Hooke's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law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linear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elastic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materials.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recovered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after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removed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called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elastic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deformations.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case,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continuum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completely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recovers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original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configuration.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other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hand,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irreversible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remain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even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after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have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removed.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One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type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irreversible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plastic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occurs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bodies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after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have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attained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certain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threshold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value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known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elastic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limit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result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slip,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dislocation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mechanisms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atomic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level.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Another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type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irreversible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viscous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irreversible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part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viscoelastic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deformation.</w:t>
      </w:r>
    </w:p>
    <w:p>
      <w:pPr>
        <w:spacing w:before="2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74" w:lineRule="exact"/>
        <w:ind w:left="110" w:right="616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case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elastic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response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function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linking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strain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compliance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tensor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material.</w:t>
      </w:r>
    </w:p>
    <w:p>
      <w:pPr>
        <w:spacing w:before="6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10" w:right="7656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Necking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(engineering)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39" w:lineRule="auto"/>
        <w:ind w:left="110" w:right="611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Necking,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engineering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science,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mode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tensile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relatively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large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amounts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strain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localize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disproportionately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small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region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material.[1]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resulting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prominent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decrease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local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cross-sectional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provides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basis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name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"neck".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Because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local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strains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neck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large,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necking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often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closely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associated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with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yielding,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plastic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deformation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associated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with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ductile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often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metals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polymers.</w:t>
      </w:r>
    </w:p>
    <w:p>
      <w:pPr>
        <w:spacing w:line="239" w:lineRule="auto" w:after="0"/>
        <w:jc w:val="both"/>
        <w:rPr>
          <w:rFonts w:ascii="Arial" w:hAnsi="Arial" w:cs="Arial" w:eastAsia="Arial"/>
          <w:sz w:val="24"/>
          <w:szCs w:val="24"/>
        </w:rPr>
        <w:sectPr>
          <w:pgSz w:w="11900" w:h="16820"/>
          <w:pgMar w:header="0" w:footer="1354" w:top="1180" w:bottom="1540" w:left="1080" w:right="480"/>
        </w:sectPr>
      </w:pPr>
    </w:p>
    <w:p>
      <w:pPr>
        <w:spacing w:before="66" w:after="0" w:line="240" w:lineRule="auto"/>
        <w:ind w:left="130" w:right="8319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Tensile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strength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39" w:lineRule="auto"/>
        <w:ind w:left="130" w:right="607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Ultimate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tensile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strength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(UTS),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often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shortened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tensile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strength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(TS)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ultimate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strength,[1][2]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maximum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withstand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before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necking,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specimen's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cross-section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starts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significantly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contract.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usually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found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performing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tensile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test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recording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versus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strain;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highest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point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stress-strain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curve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UTS.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intensive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property;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therefore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value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does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not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depend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size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test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specimen.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However,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dependent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other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factors,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such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preparation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specimen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temperature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test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environment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30" w:right="612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Tensile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strengths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rarely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used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design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ductile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members,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however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important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brittle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members.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tabulated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common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such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alloys,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composite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materials,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ceramics,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plastics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wood.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30" w:right="61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Tensile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strength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defined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stress,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measured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unit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area.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system,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unit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pascal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(Pa)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equivalently,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newtons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square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metre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(N/m²).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customary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unit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pounds-force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square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(lbf/in²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psi),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kilo-pounds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square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(ksi),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equal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1000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psi;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kilo-pounds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square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commonly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used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convienence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when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measuring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tensile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strengths.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72.250315pt;height:203.20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1900" w:h="16820"/>
      <w:pgMar w:header="0" w:footer="1354" w:top="900" w:bottom="1540" w:left="10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shape style="position:absolute;margin-left:410.880005pt;margin-top:762.039978pt;width:155.04pt;height:49.92pt;mso-position-horizontal-relative:page;mso-position-vertical-relative:page;z-index:-117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00003pt;margin-top:786.029175pt;width:103.546645pt;height:31.04pt;mso-position-horizontal-relative:page;mso-position-vertical-relative:page;z-index:-116" type="#_x0000_t202" filled="f" stroked="f">
          <v:textbox inset="0,0,0,0">
            <w:txbxContent>
              <w:p>
                <w:pPr>
                  <w:spacing w:before="3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Geschäftsführung: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  <w:p>
                <w:pPr>
                  <w:spacing w:before="0" w:after="0" w:line="149" w:lineRule="exact"/>
                  <w:ind w:left="20" w:right="-42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Dr.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Hermann</w:t>
                </w:r>
                <w:r>
                  <w:rPr>
                    <w:rFonts w:ascii="Arial" w:hAnsi="Arial" w:cs="Arial" w:eastAsia="Arial"/>
                    <w:spacing w:val="-5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Stumpp,</w:t>
                </w:r>
                <w:r>
                  <w:rPr>
                    <w:rFonts w:ascii="Arial" w:hAnsi="Arial" w:cs="Arial" w:eastAsia="Arial"/>
                    <w:spacing w:val="-5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Vorsitzender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  <w:p>
                <w:pPr>
                  <w:spacing w:before="0" w:after="0" w:line="149" w:lineRule="exact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Dr.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Georg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Bletschacher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  <w:p>
                <w:pPr>
                  <w:spacing w:before="4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Dr.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Karl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Nolte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88.839996pt;margin-top:786.029175pt;width:97.188085pt;height:31.04pt;mso-position-horizontal-relative:page;mso-position-vertical-relative:page;z-index:-115" type="#_x0000_t202" filled="f" stroked="f">
          <v:textbox inset="0,0,0,0">
            <w:txbxContent>
              <w:p>
                <w:pPr>
                  <w:spacing w:before="3" w:after="0" w:line="240" w:lineRule="auto"/>
                  <w:ind w:left="20" w:right="-42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Vors.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des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Beirats: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Gianluigi</w:t>
                </w:r>
                <w:r>
                  <w:rPr>
                    <w:rFonts w:ascii="Arial" w:hAnsi="Arial" w:cs="Arial" w:eastAsia="Arial"/>
                    <w:spacing w:val="-5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Nova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  <w:p>
                <w:pPr>
                  <w:spacing w:before="0" w:after="0" w:line="149" w:lineRule="exact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Amtsgericht</w:t>
                </w:r>
                <w:r>
                  <w:rPr>
                    <w:rFonts w:ascii="Arial" w:hAnsi="Arial" w:cs="Arial" w:eastAsia="Arial"/>
                    <w:spacing w:val="-7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Essen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HRB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19602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  <w:p>
                <w:pPr>
                  <w:spacing w:before="0" w:after="0" w:line="149" w:lineRule="exact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USt-ID: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DE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814711925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  <w:p>
                <w:pPr>
                  <w:spacing w:before="4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St.-Nr.: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111/5700/2260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8.119995pt;margin-top:786.029175pt;width:97.161443pt;height:31.04pt;mso-position-horizontal-relative:page;mso-position-vertical-relative:page;z-index:-114" type="#_x0000_t202" filled="f" stroked="f">
          <v:textbox inset="0,0,0,0">
            <w:txbxContent>
              <w:p>
                <w:pPr>
                  <w:spacing w:before="3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Tel.: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+49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(0)2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01-18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91-1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  <w:p>
                <w:pPr>
                  <w:spacing w:before="0" w:after="0" w:line="149" w:lineRule="exact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Fax: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+49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(0)2</w:t>
                </w:r>
                <w:r>
                  <w:rPr>
                    <w:rFonts w:ascii="Arial" w:hAnsi="Arial" w:cs="Arial" w:eastAsia="Arial"/>
                    <w:spacing w:val="-2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01-18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3"/>
                    <w:szCs w:val="13"/>
                  </w:rPr>
                  <w:t> 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91-321</w:t>
                </w: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</w:r>
              </w:p>
              <w:p>
                <w:pPr>
                  <w:spacing w:before="0" w:after="0" w:line="149" w:lineRule="exact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E-Mail: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3"/>
                    <w:szCs w:val="13"/>
                  </w:rPr>
                  <w:t> </w:t>
                </w:r>
                <w:hyperlink r:id="rId2"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in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f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o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@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loi-i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t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ali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m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pian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t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i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.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de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</w:rPr>
                  </w:r>
                </w:hyperlink>
              </w:p>
              <w:p>
                <w:pPr>
                  <w:spacing w:before="4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 w:hAnsi="Arial" w:cs="Arial" w:eastAsia="Arial"/>
                    <w:spacing w:val="0"/>
                    <w:w w:val="100"/>
                    <w:sz w:val="13"/>
                    <w:szCs w:val="13"/>
                  </w:rPr>
                  <w:t>Internet:</w:t>
                </w:r>
                <w:r>
                  <w:rPr>
                    <w:rFonts w:ascii="Arial" w:hAnsi="Arial" w:cs="Arial" w:eastAsia="Arial"/>
                    <w:spacing w:val="-5"/>
                    <w:w w:val="100"/>
                    <w:sz w:val="13"/>
                    <w:szCs w:val="13"/>
                  </w:rPr>
                  <w:t> </w:t>
                </w:r>
                <w:hyperlink r:id="rId3"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www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.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loi-i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t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ali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m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pian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t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i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.c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  <w:u w:val="single" w:color="000000"/>
                    </w:rPr>
                    <w:t>om</w:t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</w:rPr>
                  </w:r>
                  <w:r>
                    <w:rPr>
                      <w:rFonts w:ascii="Arial" w:hAnsi="Arial" w:cs="Arial" w:eastAsia="Arial"/>
                      <w:spacing w:val="0"/>
                      <w:w w:val="100"/>
                      <w:sz w:val="13"/>
                      <w:szCs w:val="13"/>
                    </w:rPr>
                  </w:r>
                </w:hyperlink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g"/><Relationship Id="rId7" Type="http://schemas.openxmlformats.org/officeDocument/2006/relationships/image" Target="media/image3.jp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info@loi-italimpianti.de" TargetMode="External"/><Relationship Id="rId3" Type="http://schemas.openxmlformats.org/officeDocument/2006/relationships/hyperlink" Target="http://www.loi-italimpianti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Streppelmann</dc:creator>
  <dc:title>Training Hardenability.doc</dc:title>
  <dcterms:created xsi:type="dcterms:W3CDTF">2014-07-16T16:55:57Z</dcterms:created>
  <dcterms:modified xsi:type="dcterms:W3CDTF">2014-07-16T16:55:57Z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2010-10-23T00:00:00Z</vt:filetime>
  </property>
  <property fmtid="{D5CDD505-2E9C-101B-9397-08002B2CF9AE}" pid="3" name="LastSaved">
    <vt:filetime>2014-07-16T00:00:00Z</vt:filetime>
  </property>
</Properties>
</file>