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summer-single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d327ed5d987b0caaeeb5674489d01c2f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http://localhost:6666/summer-single/log/operation/page?pageNum=1&amp;pageSize=10&amp;field=createTime&amp;order=desc&amp;operationGroup=0&amp;status=1&amp;createTimeStart=2023-03-21 11:22:22&amp;createTimeEnd=2023-03-28 11:22:22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http://localhost:6666/summer-single/log/operation/excelExport?field=createTime&amp;order=desc&amp;operationGroup=0&amp;status=1&amp;createTimeStart=2023-03-21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http://localhost:6666/summer-single/log/error/page?pageNum=1&amp;pageSize=10&amp;field=createTime&amp;order=desc&amp;createTimeStart=2023-03-21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http://localhost:6666/summer-single/log/error/excelExport?field=create_time&amp;order=desc&amp;createTimeStart=2023-03-21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http://localhost:6666/summer-single/log/login/page?pageNum=1&amp;pageSize=10&amp;field=createTime&amp;order=desc&amp;operation=0&amp;status=1&amp;createTimeStart=2023-03-21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http://localhost:6666/summer-single/log/login/excelExport?field=create_time&amp;order=desc&amp;operation=0&amp;status=1&amp;createTimeStart=2023-03-21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列表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根据ID获取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新增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修改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删除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分页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根据ID获取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新增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修改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删除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Excel模板下载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Excel导入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Excel导出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7554F66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6D7C048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27389D7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B2ACB53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3D1D1FC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7373239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766D5BBB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EF537B61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