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图像超分辨率经典网络论文与项目整理</w:t>
      </w:r>
    </w:p>
    <w:p>
      <w:pPr>
        <w:pStyle w:val="SmallNote"/>
      </w:pPr>
      <w:r>
        <w:t>SRCNN → FSRCNN → VDSR → ESPCN → EDSR → RCAN → TTSR</w:t>
      </w:r>
    </w:p>
    <w:p>
      <w:pPr>
        <w:pStyle w:val="SmallNote"/>
      </w:pPr>
      <w:r>
        <w:t>整理日期：2026 年 10 月 8 日。依据用户截图中的七个模型与代码链接，逐项核对论文、方法和仓库说明。本文是阅读与复现指南；没有在本机运行这些模型，也没有自行测得 PSNR、SSIM 或速度。</w:t>
      </w:r>
    </w:p>
    <w:p>
      <w:pPr>
        <w:pStyle w:val="Heading1"/>
      </w:pPr>
      <w:r>
        <w:t>阅读导引</w:t>
      </w:r>
    </w:p>
    <w:p>
      <w:r/>
      <w:r>
        <w:t>这七项展示了图像超分辨率从浅层卷积、加速结构、深层残差、注意力机制到参考图像纹理迁移的发展路线。</w:t>
      </w:r>
      <w:r>
        <w:rPr>
          <w:b/>
        </w:rPr>
        <w:t>SRCNN 至 RCAN 主要属于单图像超分辨率</w:t>
      </w:r>
      <w:r>
        <w:t>：输入一张低分辨率图像。</w:t>
      </w:r>
      <w:r>
        <w:rPr>
          <w:b/>
        </w:rPr>
        <w:t>TTSR 属于参考图像超分辨率</w:t>
      </w:r>
      <w:r>
        <w:t>：还需要一张高分辨率参考图。比较论文数字时，必须先核对输入条件、数据集、倍率、颜色通道和评价方式。</w:t>
      </w:r>
    </w:p>
    <w:p>
      <w:r>
        <w:t>建议按本文件顺序阅读。前四项抓住“何时放大图像”和“怎样提高速度或深度”；EDSR 与 RCAN 关注更强的重建网络；TTSR 则展示在额外参考图可用时怎样迁移纹理。每章末尾的 [P] 指论文或项目主页，[C] 指截图中的代码仓库，完整链接见文末。</w:t>
      </w:r>
    </w:p>
    <w:p>
      <w:pPr>
        <w:pStyle w:val="Heading1"/>
      </w:pPr>
      <w:r>
        <w:t>七个模型总览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/>
        </w:trPr>
        <w:tc>
          <w:tcPr>
            <w:tcW w:type="dxa" w:w="15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顺序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任务与放大位置</w:t>
            </w:r>
          </w:p>
        </w:tc>
        <w:tc>
          <w:tcPr>
            <w:tcW w:type="dxa" w:w="32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主要方法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截图代码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SRCNN  2014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单图像；先插值</w:t>
            </w:r>
          </w:p>
        </w:tc>
        <w:tc>
          <w:tcPr>
            <w:tcW w:type="dxa" w:w="32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三层 CNN 学习 LR 到 HR 映射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TensorFlow / Keras；第三方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FSRCNN  2016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单图像；末端放大</w:t>
            </w:r>
          </w:p>
        </w:tc>
        <w:tc>
          <w:tcPr>
            <w:tcW w:type="dxa" w:w="32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缩减、映射、扩展与反卷积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TensorFlow 1.x；第三方 fork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VDSR  2016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单图像；先插值</w:t>
            </w:r>
          </w:p>
        </w:tc>
        <w:tc>
          <w:tcPr>
            <w:tcW w:type="dxa" w:w="32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20 层网络学习残差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Caffe；第三方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ESPCN  2016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单图像；末端放大</w:t>
            </w:r>
          </w:p>
        </w:tc>
        <w:tc>
          <w:tcPr>
            <w:tcW w:type="dxa" w:w="32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低分辨率特征与子像素层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TensorFlow；仓库详情待核实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EDSR  2017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单图像；末端放大</w:t>
            </w:r>
          </w:p>
        </w:tc>
        <w:tc>
          <w:tcPr>
            <w:tcW w:type="dxa" w:w="32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改造残差块并扩大网络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PyTorch；论文团队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RCAN  2018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单图像；末端放大</w:t>
            </w:r>
          </w:p>
        </w:tc>
        <w:tc>
          <w:tcPr>
            <w:tcW w:type="dxa" w:w="32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深层残差组与通道注意力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PyTorch；论文作者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TTSR  2020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参考图像；纹理迁移</w:t>
            </w:r>
          </w:p>
        </w:tc>
        <w:tc>
          <w:tcPr>
            <w:tcW w:type="dxa" w:w="32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纹理匹配、注意力与多尺度融合</w:t>
            </w:r>
          </w:p>
        </w:tc>
        <w:tc>
          <w:tcPr>
            <w:tcW w:type="dxa" w:w="27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PyTorch；官方</w:t>
            </w:r>
          </w:p>
        </w:tc>
      </w:tr>
    </w:tbl>
    <w:p>
      <w:pPr>
        <w:spacing w:after="0"/>
      </w:pPr>
    </w:p>
    <w:p>
      <w:pPr>
        <w:pStyle w:val="Heading1"/>
      </w:pPr>
      <w:r>
        <w:t>共用概念与评价口径</w:t>
      </w:r>
    </w:p>
    <w:p>
      <w:r>
        <w:t>LR 是低分辨率图像，HR 是目标高分辨率图像，SR 是模型生成的超分辨率图像。×2、×3、×4 表示长宽方向的放大倍率；例如 ×4 会让宽和高各变为四倍。前置放大指先用双三次插值把 LR 放到目标尺寸，再交给网络细化；后置放大指网络主要在较小的 LR 特征图上计算，到末端再放大。</w:t>
      </w:r>
    </w:p>
    <w:p>
      <w:r>
        <w:t>PSNR 和 SSIM 常用于量化重建结果，但它们依赖评价协议。同一张图，按 RGB 全通道或只按 Y 亮度通道计算、是否裁掉边界、采用哪种退化过程，都会改变数值。本文不拼接不同论文中的分数做“排行榜”。EDSR 仓库明确区分 DIV2K 验证集 RGB 评价与常见测试集 Y 通道评价；这正说明要记录评价口径。</w:t>
      </w:r>
    </w:p>
    <w:p>
      <w:pPr>
        <w:pStyle w:val="Heading1"/>
      </w:pPr>
      <w:r>
        <w:t>1  SRCNN  从插值图像学习细节</w:t>
      </w:r>
    </w:p>
    <w:p>
      <w:pPr>
        <w:pStyle w:val="SmallNote"/>
      </w:pPr>
      <w:r>
        <w:t>论文：Learning a Deep Convolutional Network for Image Super-Resolution，ECCV 2014；作者：Chao Dong 等。[P1]</w:t>
      </w:r>
    </w:p>
    <w:p>
      <w:r>
        <w:rPr>
          <w:b/>
        </w:rPr>
        <w:t>研究问题。</w:t>
      </w:r>
      <w:r>
        <w:t>传统插值可以放大尺寸，却难以恢复真实纹理。SRCNN 用一个端到端的卷积网络，学习从低质量输入到目标图像的映射，是理解后续 CNN 超分辨率方法的起点。</w:t>
      </w:r>
    </w:p>
    <w:p>
      <w:r>
        <w:rPr>
          <w:b/>
        </w:rPr>
        <w:t>方法流程。</w:t>
      </w:r>
      <w:r>
        <w:t>LR 图像先经双三次插值成为与目标相同尺寸的图像；第一层提取局部块特征，第二层做非线性映射，第三层重建输出。网络结构相对浅，概念清楚，但大部分卷积发生在已放大的图像上，分辨率升高时计算量也随之增加。</w:t>
      </w:r>
    </w:p>
    <w:p>
      <w:r>
        <w:rPr>
          <w:b/>
        </w:rPr>
        <w:t>值得抓住的点。</w:t>
      </w:r>
      <w:r>
        <w:t>它把特征提取、映射和重建放进同一个可训练模型。读论文时应弄清：为什么输入要先插值、卷积核大小怎样决定有效区域、训练数据和测试时颜色通道如何处理。</w:t>
      </w:r>
    </w:p>
    <w:p>
      <w:r>
        <w:rPr>
          <w:b/>
        </w:rPr>
        <w:t>截图仓库。</w:t>
      </w:r>
      <w:r>
        <w:t>rezaeiii/SRCNN 是第三方 TensorFlow/Keras 实现，不是论文作者的官方代码。README 说明用 91 张图像训练、在 Set5 验证，主要处理 Y 通道，提供 ×3 预训练模型；它还实验了 SSIM 损失，与论文常见的均方误差设置不同。README 中克隆地址与当前仓库用户名不一致，使用前应以仓库页面实际地址为准。[C1]</w:t>
      </w:r>
    </w:p>
    <w:p>
      <w:r>
        <w:rPr>
          <w:b/>
        </w:rPr>
        <w:t>复现重点。</w:t>
      </w:r>
      <w:r>
        <w:t>先确认输入与标签的裁边和尺寸一致，再区分论文原设定与该仓库的 SSIM 变体。适合作为第一份小规模复现或自建简洁基线；仓库给出的单张 Butterfly 示例不能当作整个 Set5 的平均成绩。</w:t>
      </w:r>
    </w:p>
    <w:p>
      <w:pPr>
        <w:pStyle w:val="Heading1"/>
      </w:pPr>
      <w:r>
        <w:t>2  FSRCNN  把主要计算留在低分辨率空间</w:t>
      </w:r>
    </w:p>
    <w:p>
      <w:pPr>
        <w:pStyle w:val="SmallNote"/>
      </w:pPr>
      <w:r>
        <w:t>论文：Accelerating the Super-Resolution Convolutional Neural Network，ECCV 2016；作者：Chao Dong 等。[P2]</w:t>
      </w:r>
    </w:p>
    <w:p>
      <w:r>
        <w:rPr>
          <w:b/>
        </w:rPr>
        <w:t>研究问题。</w:t>
      </w:r>
      <w:r>
        <w:t>SRCNN 在插值后的大图上做卷积，速度受目标图像尺寸影响。FSRCNN 重新安排网络，让特征提取和映射直接在原始 LR 图像上进行，最后才放大。</w:t>
      </w:r>
    </w:p>
    <w:p>
      <w:r>
        <w:rPr>
          <w:b/>
        </w:rPr>
        <w:t>方法流程。</w:t>
      </w:r>
      <w:r>
        <w:t>网络依次进行特征提取、通道缩减、多个非线性映射层、通道扩展和反卷积重建。缩减后的中间特征减少映射阶段计算量；反卷积在末端完成上采样。论文另给出偏向速度的 FSRCNN-s 配置。</w:t>
      </w:r>
    </w:p>
    <w:p>
      <w:r>
        <w:rPr>
          <w:b/>
        </w:rPr>
        <w:t>值得抓住的点。</w:t>
      </w:r>
      <w:r>
        <w:t>FSRCNN 与 SRCNN 最关键的差别不是简单加深，而是改变上采样位置。读两篇论文时可直接对照同一倍率下的特征图大小、卷积位置与速度指标。论文主页提供作者的 Matlab 测试代码及 Caffe 训练代码，可作为核对结构的依据。</w:t>
      </w:r>
    </w:p>
    <w:p>
      <w:r>
        <w:rPr>
          <w:b/>
        </w:rPr>
        <w:t>截图仓库。</w:t>
      </w:r>
      <w:r>
        <w:t>igv/FSRCNN-TensorFlow 是第三方 TensorFlow 实现，GitHub 页面标明它 fork 自 haasn/FSRCNN-TensorFlow，不能视作原论文官方仓库。README 包含 FSRCNN 和 FSRCNN-s，列出 Python 3、TensorFlow-gpu ≥ 1.8、CUDA/cuDNN 等旧环境，并给出训练、测试参数。[C2]</w:t>
      </w:r>
    </w:p>
    <w:p>
      <w:r>
        <w:rPr>
          <w:b/>
        </w:rPr>
        <w:t>复现重点。</w:t>
      </w:r>
      <w:r>
        <w:t>先选定 FSRCNN 或 FSRCNN-s，确认倍率和反卷积输出尺寸，再核对显卡软件栈。旧 TensorFlow 1.x 程序直接放入当前环境运行可能需要兼容处理；本文未实际执行该仓库。</w:t>
      </w:r>
    </w:p>
    <w:p>
      <w:pPr>
        <w:pStyle w:val="Heading1"/>
      </w:pPr>
      <w:r>
        <w:t>3  VDSR  用更深的网络学习残差</w:t>
      </w:r>
    </w:p>
    <w:p>
      <w:pPr>
        <w:pStyle w:val="SmallNote"/>
      </w:pPr>
      <w:r>
        <w:t>论文：Accurate Image Super-Resolution Using Very Deep Convolutional Networks，CVPR 2016；作者：Jiwon Kim 等。[P3]</w:t>
      </w:r>
    </w:p>
    <w:p>
      <w:r>
        <w:rPr>
          <w:b/>
        </w:rPr>
        <w:t>研究问题。</w:t>
      </w:r>
      <w:r>
        <w:t>浅层网络能看到的图像上下文较少，训练较深网络又容易收敛缓慢。VDSR 在传统插值输入上使用 20 个带权重的卷积层，扩大感受野。</w:t>
      </w:r>
    </w:p>
    <w:p>
      <w:r>
        <w:rPr>
          <w:b/>
        </w:rPr>
        <w:t>方法流程。</w:t>
      </w:r>
      <w:r>
        <w:t>先把 LR 图像插值到目标尺寸；深层 CNN 预测输入与目标之间的残差；把预测残差加回插值图像得到 SR 输出。论文将残差学习与可调梯度裁剪结合，使较高学习率下的训练可行，并讨论多个倍率的训练。</w:t>
      </w:r>
    </w:p>
    <w:p>
      <w:r>
        <w:rPr>
          <w:b/>
        </w:rPr>
        <w:t>值得抓住的点。</w:t>
      </w:r>
      <w:r>
        <w:t>它保留了前置插值，因此与 FSRCNN、ESPCN 的主要计算位置不同；它强调深度、感受野和残差目标。阅读时应区分“网络输出残差”与残差块内部的跳跃连接，这是两种不同层面的概念。</w:t>
      </w:r>
    </w:p>
    <w:p>
      <w:r>
        <w:rPr>
          <w:b/>
        </w:rPr>
        <w:t>截图仓库。</w:t>
      </w:r>
      <w:r>
        <w:t>huangzehao/caffe-vdsr 在 GitHub 主题页可见，描述为基于 Caffe 的 VDSR 实现，包含 MATLAB 相关内容。浏览工具本次未能打开仓库详情页，因此具体训练命令、模型文件与依赖版本未核实。[C3]</w:t>
      </w:r>
    </w:p>
    <w:p>
      <w:r>
        <w:rPr>
          <w:b/>
        </w:rPr>
        <w:t>复现重点。</w:t>
      </w:r>
      <w:r>
        <w:t>检查输入是否已插值、输出是否需要与输入相加，以及裁边与多倍率数据组织方式。准备运行前须再打开仓库 README 和脚本确认 Caffe、MATLAB 及权重要求。</w:t>
      </w:r>
    </w:p>
    <w:p>
      <w:pPr>
        <w:pStyle w:val="Heading1"/>
      </w:pPr>
      <w:r>
        <w:t>4  ESPCN  用子像素层完成末端放大</w:t>
      </w:r>
    </w:p>
    <w:p>
      <w:pPr>
        <w:pStyle w:val="SmallNote"/>
      </w:pPr>
      <w:r>
        <w:t>论文：Real-Time Single Image and Video Super-Resolution Using an Efficient Sub-Pixel Convolutional Neural Network，CVPR 2016；作者：Wenzhe Shi 等。[P4]</w:t>
      </w:r>
    </w:p>
    <w:p>
      <w:r>
        <w:rPr>
          <w:b/>
        </w:rPr>
        <w:t>研究问题。</w:t>
      </w:r>
      <w:r>
        <w:t>若先把 LR 图像放大，再在 HR 空间做卷积，会增加运算。ESPCN 保持前面特征图处于 LR 空间，并设计可学习的子像素上采样层。</w:t>
      </w:r>
    </w:p>
    <w:p>
      <w:r>
        <w:rPr>
          <w:b/>
        </w:rPr>
        <w:t>方法流程。</w:t>
      </w:r>
      <w:r>
        <w:t>若放大倍率为 r，末层先产生与 r² 相关的通道，再把这些通道按空间位置重排成高分辨率输出。这个重排常被称为 Pixel Shuffle。论文也讨论了单图像和视频超分辨率，速度声明对应其论文中的特定硬件与测试条件。</w:t>
      </w:r>
    </w:p>
    <w:p>
      <w:r>
        <w:rPr>
          <w:b/>
        </w:rPr>
        <w:t>值得抓住的点。</w:t>
      </w:r>
      <w:r>
        <w:t>ESPCN 和 FSRCNN 都把主要计算留在 LR 空间，但末端放大机制不同：前者使用子像素重排，后者使用反卷积。比较时可画出各层张量的 H、W、C 变化，尤其检查 r² 通道是否正确映射到空间。</w:t>
      </w:r>
    </w:p>
    <w:p>
      <w:r>
        <w:rPr>
          <w:b/>
        </w:rPr>
        <w:t>截图仓库。</w:t>
      </w:r>
      <w:r>
        <w:t>kweisamx/TensorFlow-ESPCN 是截图给出的 TensorFlow 实现地址。本次浏览工具未能读取其页面，无法确认它当前是否提供训练脚本、预训练权重或仍可直接运行；文档不把这些信息当作已核实事实。[C4]</w:t>
      </w:r>
    </w:p>
    <w:p>
      <w:r>
        <w:rPr>
          <w:b/>
        </w:rPr>
        <w:t>复现重点。</w:t>
      </w:r>
      <w:r>
        <w:t>检查输入通道数、放大倍率 r、最后一层通道数及输出尺寸；若做视频实验，还要额外确认逐帧处理和计时方式。论文中的“实时”结论不应直接套到另一台设备。</w:t>
      </w:r>
    </w:p>
    <w:p>
      <w:pPr>
        <w:pStyle w:val="Heading1"/>
      </w:pPr>
      <w:r>
        <w:t>5  EDSR  改造并扩大残差网络</w:t>
      </w:r>
    </w:p>
    <w:p>
      <w:pPr>
        <w:pStyle w:val="SmallNote"/>
      </w:pPr>
      <w:r>
        <w:t>论文：Enhanced Deep Residual Networks for Single Image Super-Resolution，CVPR Workshops 2017；作者：Bee Lim 等。[P5]</w:t>
      </w:r>
    </w:p>
    <w:p>
      <w:r>
        <w:rPr>
          <w:b/>
        </w:rPr>
        <w:t>研究问题。</w:t>
      </w:r>
      <w:r>
        <w:t>更大的网络可以提高重建能力，但一般残差网络的某些组件并不适合超分辨率。EDSR 重新设计残差块，去掉批归一化等模块，并用残差缩放稳定较大模型训练。</w:t>
      </w:r>
    </w:p>
    <w:p>
      <w:r>
        <w:rPr>
          <w:b/>
        </w:rPr>
        <w:t>方法流程。</w:t>
      </w:r>
      <w:r>
        <w:t>网络先从 LR 图像提取特征，经一串改造后的残差块处理，再在尾部上采样和重建。论文还提出 MDSR，让一个系统处理多个倍率；但 EDSR 与 MDSR 是两个相关模型，不应混为一个结构。</w:t>
      </w:r>
    </w:p>
    <w:p>
      <w:r>
        <w:rPr>
          <w:b/>
        </w:rPr>
        <w:t>值得抓住的点。</w:t>
      </w:r>
      <w:r>
        <w:t>读论文时关注去掉批归一化后的效果、模型宽度与深度、残差缩放，以及不同倍率的训练方式。EDSR 常作为后续高质量 SISR 方法的强基线。</w:t>
      </w:r>
    </w:p>
    <w:p>
      <w:r/>
      <w:r>
        <w:rPr>
          <w:b/>
        </w:rPr>
        <w:t>截图中的</w:t>
      </w:r>
      <w:r>
        <w:t xml:space="preserve"> thstkdgus35/EDSR-PyTorch 旧地址现跳转到 sanghyun-son/EDSR-PyTorch。README 称其为论文的官方 PyTorch 实现，含训练、测试和预训练模型说明；列出 Python 3.6、PyTorch ≥ 1.0.0。README 顶部同时提醒 master 分支的 MDSR 功能暂时停用，使用 MDSR 应查看旧分支。[C5]</w:t>
      </w:r>
    </w:p>
    <w:p>
      <w:r>
        <w:rPr>
          <w:b/>
        </w:rPr>
        <w:t>复现重点。</w:t>
      </w:r>
      <w:r>
        <w:t>仓库以 DIV2K 训练，并明确写出评价差异：DIV2K 验证集按 RGB 计算，常见基准集按 Y 通道计算。还需记录倍率、预训练初始化、是否使用自集成及边界裁剪。先运行预训练模型的单张推理，再尝试完整训练。</w:t>
      </w:r>
    </w:p>
    <w:p>
      <w:pPr>
        <w:pStyle w:val="Heading1"/>
      </w:pPr>
      <w:r>
        <w:t>6  RCAN  让深层网络选择有用通道</w:t>
      </w:r>
    </w:p>
    <w:p>
      <w:pPr>
        <w:pStyle w:val="SmallNote"/>
      </w:pPr>
      <w:r>
        <w:t>论文：Image Super-Resolution Using Very Deep Residual Channel Attention Networks，ECCV 2018；作者：Yulun Zhang 等。[P6]</w:t>
      </w:r>
    </w:p>
    <w:p>
      <w:r>
        <w:rPr>
          <w:b/>
        </w:rPr>
        <w:t>研究问题。</w:t>
      </w:r>
      <w:r>
        <w:t>很深的网络难训练，而且各通道对纹理恢复的重要性不同。RCAN 用残差中的残差结构组织深层网络，并加入通道注意力，增强有助于恢复细节的特征。</w:t>
      </w:r>
    </w:p>
    <w:p>
      <w:r>
        <w:rPr>
          <w:b/>
        </w:rPr>
        <w:t>方法流程。</w:t>
      </w:r>
      <w:r>
        <w:t>多个残差组串联，每个残差组中有若干残差通道注意力块；长、短跳跃连接为低频信息提供旁路，主干更多处理高频残差。通道注意力先汇总各通道的空间统计量，再为通道分配权重。</w:t>
      </w:r>
    </w:p>
    <w:p>
      <w:r>
        <w:rPr>
          <w:b/>
        </w:rPr>
        <w:t>值得抓住的点。</w:t>
      </w:r>
      <w:r>
        <w:t>RCAN 的注意力是通道重标定，不等同于 TTSR 的参考纹理匹配。读论文和代码时可以按整体网络、残差组、RCAB、通道注意力四层结构逐级理解。</w:t>
      </w:r>
    </w:p>
    <w:p>
      <w:r/>
      <w:r>
        <w:rPr>
          <w:b/>
        </w:rPr>
        <w:t>截图仓库</w:t>
      </w:r>
      <w:r>
        <w:t xml:space="preserve"> yulunzhang/RCAN 由论文作者维护，基于 EDSR 的 PyTorch 代码。README 给出的历史测试环境是 Ubuntu 14.04/16.04、Python 3.6、PyTorch 0.4.0、CUDA 8.0 和 cuDNN 5.1；还提供 DIV2K 训练、测试脚本与预训练模型信息。示例配置使用 10 个残差组、每组 20 个残差块。[C6]</w:t>
      </w:r>
    </w:p>
    <w:p>
      <w:r>
        <w:rPr>
          <w:b/>
        </w:rPr>
        <w:t>复现重点。</w:t>
      </w:r>
      <w:r>
        <w:t>先确认所选权重与倍率、BI 或 BD 退化模型匹配；测试时要区分 RCAN 与带自集成的 RCAN+。仓库的旧软件栈应在独立环境中核对兼容性，不能把 README 版本当作当前 PyTorch 的直接运行保证。</w:t>
      </w:r>
    </w:p>
    <w:p>
      <w:pPr>
        <w:pStyle w:val="Heading1"/>
      </w:pPr>
      <w:r>
        <w:t>7  TTSR  从参考图像迁移纹理</w:t>
      </w:r>
    </w:p>
    <w:p>
      <w:pPr>
        <w:pStyle w:val="SmallNote"/>
      </w:pPr>
      <w:r>
        <w:t>论文：Learning Texture Transformer Network for Image Super-Resolution，CVPR 2020；作者：Fuzhi Yang 等。[P7]</w:t>
      </w:r>
    </w:p>
    <w:p>
      <w:r>
        <w:rPr>
          <w:b/>
        </w:rPr>
        <w:t>研究问题。</w:t>
      </w:r>
      <w:r>
        <w:t>仅凭一张 LR 图像，有些高频纹理无法可靠恢复。TTSR 额外接收一张高分辨率参考图，从中寻找相关纹理并融合到目标图像。它研究的是 RefSR，输入条件比前六项更丰富。</w:t>
      </w:r>
    </w:p>
    <w:p>
      <w:r>
        <w:rPr>
          <w:b/>
        </w:rPr>
        <w:t>方法流程。</w:t>
      </w:r>
      <w:r>
        <w:t>论文把目标 LR 特征与参考图特征用于建立相关性，再通过硬注意力选取可迁移纹理、软注意力调节融合强度，并通过跨尺度特征融合恢复细节。这里的 Texture Transformer 侧重参考特征的匹配与传递，不能简单等同于通用视觉 Transformer。</w:t>
      </w:r>
    </w:p>
    <w:p>
      <w:r>
        <w:rPr>
          <w:b/>
        </w:rPr>
        <w:t>值得抓住的点。</w:t>
      </w:r>
      <w:r>
        <w:t>效果取决于参考图是否含有可匹配纹理；参考不相关时，纹理迁移的收益会受到限制。评估时应特别检查输入图、参考图、真值图的对应关系，避免把额外参考信息带来的优势误认为普通 SISR 的优势。</w:t>
      </w:r>
    </w:p>
    <w:p>
      <w:r>
        <w:t>researchmm/TTSR 的 README 明确标为官方 PyTorch 实现，列出 Python 3.7、PyTorch ≥ 1.1.0、torchvision ≥ 0.4.0；提供重建损失版和完整损失版的预训练模型说明。数据准备使用 CUFED 训练集与 CUFED5 测试集，目录中区分 input 与 ref。[C7]</w:t>
      </w:r>
    </w:p>
    <w:p>
      <w:r>
        <w:rPr>
          <w:b/>
        </w:rPr>
        <w:t>复现重点。</w:t>
      </w:r>
      <w:r>
        <w:t>先用仓库 demo 明确两路输入与模型权重，再进入 CUFED 评估。README 中的预训练模型和数据集位于外部网盘，本次没有逐个验证这些下载地址；开始复现前应核对可用性与文件完整性。</w:t>
      </w:r>
    </w:p>
    <w:p>
      <w:pPr>
        <w:pStyle w:val="Heading1"/>
      </w:pPr>
      <w:r>
        <w:t>横向理解与选用建议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/>
        </w:trP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想解决的问题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优先阅读</w:t>
            </w:r>
          </w:p>
        </w:tc>
        <w:tc>
          <w:tcPr>
            <w:tcW w:type="dxa" w:w="53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理由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先弄懂超分辨率流程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SRCNN</w:t>
            </w:r>
          </w:p>
        </w:tc>
        <w:tc>
          <w:tcPr>
            <w:tcW w:type="dxa" w:w="53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结构浅，便于看清数据准备、网络输出和评价口径。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比较上采样设计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FSRCNN、ESPCN</w:t>
            </w:r>
          </w:p>
        </w:tc>
        <w:tc>
          <w:tcPr>
            <w:tcW w:type="dxa" w:w="53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两者都在 LR 空间提特征，末端放大方式不同。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理解深层与残差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VDSR、EDSR</w:t>
            </w:r>
          </w:p>
        </w:tc>
        <w:tc>
          <w:tcPr>
            <w:tcW w:type="dxa" w:w="53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前者预测图像残差，后者改造残差网络并增强容量。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研究注意力机制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RCAN</w:t>
            </w:r>
          </w:p>
        </w:tc>
        <w:tc>
          <w:tcPr>
            <w:tcW w:type="dxa" w:w="53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通道注意力与深层残差组结合。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研究参考纹理迁移</w:t>
            </w:r>
          </w:p>
        </w:tc>
        <w:tc>
          <w:tcPr>
            <w:tcW w:type="dxa" w:w="22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TTSR</w:t>
            </w:r>
          </w:p>
        </w:tc>
        <w:tc>
          <w:tcPr>
            <w:tcW w:type="dxa" w:w="53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有额外 HR 参考图，适合单独设实验组。</w:t>
            </w:r>
          </w:p>
        </w:tc>
      </w:tr>
    </w:tbl>
    <w:p>
      <w:pPr>
        <w:spacing w:after="0"/>
      </w:pPr>
    </w:p>
    <w:p>
      <w:r>
        <w:t>技术演进可以概括为：SRCNN 验证端到端 CNN 映射；FSRCNN、ESPCN 改变计算与上采样的位置；VDSR、EDSR 增强深层特征学习；RCAN 让通道特征具有不同权重；TTSR 引入额外参考图像与纹理匹配。这是一条理解方法差异的阅读线索，不是按论文发表时间严格排序。</w:t>
      </w:r>
    </w:p>
    <w:p>
      <w:pPr>
        <w:pStyle w:val="Heading1"/>
      </w:pPr>
      <w:r>
        <w:t>做可比实验时应固定的条件</w:t>
      </w:r>
    </w:p>
    <w:p>
      <w:pPr>
        <w:pStyle w:val="ListNumber"/>
        <w:spacing w:after="60"/>
      </w:pPr>
      <w:r>
        <w:t>固定任务类型。SRCNN 至 RCAN 按单图像超分辨率比较；TTSR 单列参考图像超分辨率，不把它与无参考模型直接排名。</w:t>
      </w:r>
    </w:p>
    <w:p>
      <w:pPr>
        <w:pStyle w:val="ListNumber"/>
        <w:spacing w:after="60"/>
      </w:pPr>
      <w:r>
        <w:t>固定数据与退化。明确 HR 图来源、训练集、测试集，以及双三次下采样、模糊或噪声等退化过程；训练和测试不能混用不同生成规则。</w:t>
      </w:r>
    </w:p>
    <w:p>
      <w:pPr>
        <w:pStyle w:val="ListNumber"/>
        <w:spacing w:after="60"/>
      </w:pPr>
      <w:r>
        <w:t>固定放大倍率。至少分别记录 ×2、×3、×4，不把不同倍率的 PSNR、SSIM 放进同一列比较。</w:t>
      </w:r>
    </w:p>
    <w:p>
      <w:pPr>
        <w:pStyle w:val="ListNumber"/>
        <w:spacing w:after="60"/>
      </w:pPr>
      <w:r>
        <w:t>固定评价口径。记录 RGB 或 Y 通道、是否裁剪边界、PSNR/SSIM 的实现、是否启用自集成，并保留原始输出图像。</w:t>
      </w:r>
    </w:p>
    <w:p>
      <w:pPr>
        <w:pStyle w:val="ListNumber"/>
        <w:spacing w:after="60"/>
      </w:pPr>
      <w:r>
        <w:t>分别记录模型成本。参数量、单张推理时间、设备和输入尺寸要一起报告；旧论文的速度数字不能直接代表当前硬件上的速度。</w:t>
      </w:r>
    </w:p>
    <w:p>
      <w:pPr>
        <w:pStyle w:val="ListNumber"/>
        <w:spacing w:after="60"/>
      </w:pPr>
      <w:r>
        <w:t>保留复现证据。保存代码版本、依赖版本、权重来源、运行命令、日志、样例图及评估脚本，区分“论文报告结果”“仓库说明结果”和“本机实测结果”。</w:t>
      </w:r>
    </w:p>
    <w:p>
      <w:pPr>
        <w:pStyle w:val="Heading1"/>
      </w:pPr>
      <w:r>
        <w:t>资料状态与边界</w:t>
      </w:r>
    </w:p>
    <w:p>
      <w:r>
        <w:t>截至整理日期，SRCNN、FSRCNN、EDSR、RCAN、TTSR 的截图仓库页面及相应 README 已读取；VDSR 与 ESPCN 的截图地址在本次浏览中未能直接打开，所以只保留能从论文和 GitHub 列表确认的信息。EDSR 旧地址可跳转到新仓库。截图的 Papers with Code 任务入口现在跳转到 Hugging Face 论文趋势页，不再是原来的独立任务榜单。以上“页面可读”不等于“代码已运行成功”。</w:t>
      </w:r>
    </w:p>
    <w:p>
      <w:r/>
      <w:r>
        <w:t>配套的</w:t>
      </w:r>
      <w:r>
        <w:rPr>
          <w:b/>
        </w:rPr>
        <w:t>七篇论文原文 PDF 已下载</w:t>
      </w:r>
      <w:r>
        <w:t>到本资料包的“论文原文”文件夹。每个文件均能被 PDF 阅读器解析，首页提取出的标题与对应论文一致；页数列于下表。FSRCNN 保存的是论文作者提供的 arXiv 版本，其余文件来自作者主页或会议公开页面。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模型</w:t>
            </w:r>
          </w:p>
        </w:tc>
        <w:tc>
          <w:tcPr>
            <w:tcW w:type="dxa" w:w="70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配套 PDF 文件</w:t>
            </w:r>
          </w:p>
        </w:tc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页数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SRCNN</w:t>
            </w:r>
          </w:p>
        </w:tc>
        <w:tc>
          <w:tcPr>
            <w:tcW w:type="dxa" w:w="70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01_SRCNN_ECCV2014.pdf</w:t>
            </w:r>
          </w:p>
        </w:tc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16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FSRCNN</w:t>
            </w:r>
          </w:p>
        </w:tc>
        <w:tc>
          <w:tcPr>
            <w:tcW w:type="dxa" w:w="70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02_FSRCNN_ECCV2016.pdf</w:t>
            </w:r>
          </w:p>
        </w:tc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17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VDSR</w:t>
            </w:r>
          </w:p>
        </w:tc>
        <w:tc>
          <w:tcPr>
            <w:tcW w:type="dxa" w:w="70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03_VDSR_CVPR2016.pdf</w:t>
            </w:r>
          </w:p>
        </w:tc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9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ESPCN</w:t>
            </w:r>
          </w:p>
        </w:tc>
        <w:tc>
          <w:tcPr>
            <w:tcW w:type="dxa" w:w="70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04_ESPCN_CVPR2016.pdf</w:t>
            </w:r>
          </w:p>
        </w:tc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10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EDSR</w:t>
            </w:r>
          </w:p>
        </w:tc>
        <w:tc>
          <w:tcPr>
            <w:tcW w:type="dxa" w:w="70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05_EDSR_CVPRW2017.pdf</w:t>
            </w:r>
          </w:p>
        </w:tc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9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RCAN</w:t>
            </w:r>
          </w:p>
        </w:tc>
        <w:tc>
          <w:tcPr>
            <w:tcW w:type="dxa" w:w="70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06_RCAN_ECCV2018.pdf</w:t>
            </w:r>
          </w:p>
        </w:tc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16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TTSR</w:t>
            </w:r>
          </w:p>
        </w:tc>
        <w:tc>
          <w:tcPr>
            <w:tcW w:type="dxa" w:w="70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07_TTSR_CVPR2020.pdf</w:t>
            </w:r>
          </w:p>
        </w:tc>
        <w:tc>
          <w:tcPr>
            <w:tcW w:type="dxa" w:w="100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t>10</w:t>
            </w:r>
          </w:p>
        </w:tc>
      </w:tr>
    </w:tbl>
    <w:p>
      <w:pPr>
        <w:spacing w:after="0"/>
      </w:pPr>
    </w:p>
    <w:p>
      <w:pPr>
        <w:pStyle w:val="Heading1"/>
      </w:pPr>
      <w:r>
        <w:t>论文与代码链接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模型</w:t>
            </w:r>
          </w:p>
        </w:tc>
        <w:tc>
          <w:tcPr>
            <w:tcW w:type="dxa" w:w="41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论文或项目主页</w:t>
            </w:r>
          </w:p>
        </w:tc>
        <w:tc>
          <w:tcPr>
            <w:tcW w:type="dxa" w:w="42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  <w:color w:val="000000"/>
              </w:rPr>
              <w:t>截图中的代码仓库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SRCNN</w:t>
            </w:r>
          </w:p>
        </w:tc>
        <w:tc>
          <w:tcPr>
            <w:tcW w:type="dxa" w:w="41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11">
              <w:r>
                <w:rPr>
                  <w:color w:val="000000"/>
                  <w:u w:val="single"/>
                </w:rPr>
                <w:t>P1  打开论文项目页</w:t>
              </w:r>
            </w:hyperlink>
          </w:p>
        </w:tc>
        <w:tc>
          <w:tcPr>
            <w:tcW w:type="dxa" w:w="42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12">
              <w:r>
                <w:rPr>
                  <w:color w:val="000000"/>
                  <w:u w:val="single"/>
                </w:rPr>
                <w:t>C1  打开代码仓库</w:t>
              </w:r>
            </w:hyperlink>
          </w:p>
        </w:tc>
      </w:tr>
      <w:tr>
        <w:tc>
          <w:tcPr>
            <w:tcW w:type="dxa" w:w="14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FSRCNN</w:t>
            </w:r>
          </w:p>
        </w:tc>
        <w:tc>
          <w:tcPr>
            <w:tcW w:type="dxa" w:w="41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13">
              <w:r>
                <w:rPr>
                  <w:color w:val="000000"/>
                  <w:u w:val="single"/>
                </w:rPr>
                <w:t>P2  打开论文项目页</w:t>
              </w:r>
            </w:hyperlink>
          </w:p>
        </w:tc>
        <w:tc>
          <w:tcPr>
            <w:tcW w:type="dxa" w:w="42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14">
              <w:r>
                <w:rPr>
                  <w:color w:val="000000"/>
                  <w:u w:val="single"/>
                </w:rPr>
                <w:t>C2  打开代码仓库</w:t>
              </w:r>
            </w:hyperlink>
          </w:p>
        </w:tc>
      </w:tr>
      <w:tr>
        <w:tc>
          <w:tcPr>
            <w:tcW w:type="dxa" w:w="14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VDSR</w:t>
            </w:r>
          </w:p>
        </w:tc>
        <w:tc>
          <w:tcPr>
            <w:tcW w:type="dxa" w:w="41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15">
              <w:r>
                <w:rPr>
                  <w:color w:val="000000"/>
                  <w:u w:val="single"/>
                </w:rPr>
                <w:t>P3  打开 CVPR 论文页</w:t>
              </w:r>
            </w:hyperlink>
          </w:p>
        </w:tc>
        <w:tc>
          <w:tcPr>
            <w:tcW w:type="dxa" w:w="42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16">
              <w:r>
                <w:rPr>
                  <w:color w:val="000000"/>
                  <w:u w:val="single"/>
                </w:rPr>
                <w:t>C3  打开代码仓库</w:t>
              </w:r>
            </w:hyperlink>
          </w:p>
        </w:tc>
      </w:tr>
      <w:tr>
        <w:tc>
          <w:tcPr>
            <w:tcW w:type="dxa" w:w="14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ESPCN</w:t>
            </w:r>
          </w:p>
        </w:tc>
        <w:tc>
          <w:tcPr>
            <w:tcW w:type="dxa" w:w="41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17">
              <w:r>
                <w:rPr>
                  <w:color w:val="000000"/>
                  <w:u w:val="single"/>
                </w:rPr>
                <w:t>P4  打开 CVPR 论文页</w:t>
              </w:r>
            </w:hyperlink>
          </w:p>
        </w:tc>
        <w:tc>
          <w:tcPr>
            <w:tcW w:type="dxa" w:w="42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18">
              <w:r>
                <w:rPr>
                  <w:color w:val="000000"/>
                  <w:u w:val="single"/>
                </w:rPr>
                <w:t>C4  打开代码仓库</w:t>
              </w:r>
            </w:hyperlink>
          </w:p>
        </w:tc>
      </w:tr>
      <w:tr>
        <w:tc>
          <w:tcPr>
            <w:tcW w:type="dxa" w:w="14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EDSR</w:t>
            </w:r>
          </w:p>
        </w:tc>
        <w:tc>
          <w:tcPr>
            <w:tcW w:type="dxa" w:w="41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19">
              <w:r>
                <w:rPr>
                  <w:color w:val="000000"/>
                  <w:u w:val="single"/>
                </w:rPr>
                <w:t>P5  打开 CVPRW 论文页</w:t>
              </w:r>
            </w:hyperlink>
          </w:p>
        </w:tc>
        <w:tc>
          <w:tcPr>
            <w:tcW w:type="dxa" w:w="42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20">
              <w:r>
                <w:rPr>
                  <w:color w:val="000000"/>
                  <w:u w:val="single"/>
                </w:rPr>
                <w:t>C5  打开当前代码仓库</w:t>
              </w:r>
            </w:hyperlink>
          </w:p>
        </w:tc>
      </w:tr>
      <w:tr>
        <w:tc>
          <w:tcPr>
            <w:tcW w:type="dxa" w:w="14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RCAN</w:t>
            </w:r>
          </w:p>
        </w:tc>
        <w:tc>
          <w:tcPr>
            <w:tcW w:type="dxa" w:w="41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21">
              <w:r>
                <w:rPr>
                  <w:color w:val="000000"/>
                  <w:u w:val="single"/>
                </w:rPr>
                <w:t>P6  打开 ECCV 论文页</w:t>
              </w:r>
            </w:hyperlink>
          </w:p>
        </w:tc>
        <w:tc>
          <w:tcPr>
            <w:tcW w:type="dxa" w:w="42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22">
              <w:r>
                <w:rPr>
                  <w:color w:val="000000"/>
                  <w:u w:val="single"/>
                </w:rPr>
                <w:t>C6  打开代码仓库</w:t>
              </w:r>
            </w:hyperlink>
          </w:p>
        </w:tc>
      </w:tr>
      <w:tr>
        <w:tc>
          <w:tcPr>
            <w:tcW w:type="dxa" w:w="144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>
              <w:rPr>
                <w:b/>
              </w:rPr>
              <w:t>TTSR</w:t>
            </w:r>
          </w:p>
        </w:tc>
        <w:tc>
          <w:tcPr>
            <w:tcW w:type="dxa" w:w="41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23">
              <w:r>
                <w:rPr>
                  <w:color w:val="000000"/>
                  <w:u w:val="single"/>
                </w:rPr>
                <w:t>P7  打开 CVPR 论文页</w:t>
              </w:r>
            </w:hyperlink>
          </w:p>
        </w:tc>
        <w:tc>
          <w:tcPr>
            <w:tcW w:type="dxa" w:w="42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pStyle w:val="TableText"/>
            </w:pPr>
            <w:r/>
            <w:hyperlink r:id="rId24">
              <w:r>
                <w:rPr>
                  <w:color w:val="000000"/>
                  <w:u w:val="single"/>
                </w:rPr>
                <w:t>C7  打开代码仓库</w:t>
              </w:r>
            </w:hyperlink>
          </w:p>
        </w:tc>
      </w:tr>
    </w:tbl>
    <w:p>
      <w:pPr>
        <w:spacing w:after="0"/>
      </w:pPr>
    </w:p>
    <w:p>
      <w:pPr>
        <w:pStyle w:val="SmallNote"/>
      </w:pPr>
      <w:r>
        <w:t>截图中的汇总入口：</w:t>
      </w:r>
      <w:hyperlink r:id="rId25">
        <w:r>
          <w:rPr>
            <w:color w:val="000000"/>
            <w:u w:val="single"/>
          </w:rPr>
          <w:t>Papers with Code 图像超分辨率任务页（现跳转）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95" w:bottom="979" w:left="1195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2026 年 10 月 8 日  ·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图像超分辨率经典网络论文与项目整理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text1"/>
          <w:left w:val="nil" w:color="000000" w:sz="4"/>
          <w:bottom w:val="single" w:sz="4" w:space="0" w:color="000000" w:themeColor="text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text1"/>
          <w:left w:val="nil" w:color="000000" w:sz="4"/>
          <w:bottom w:val="single" w:sz="4" w:space="0" w:color="000000" w:themeColor="text1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1"/>
          <w:left w:val="nil" w:color="000000" w:sz="4"/>
          <w:bottom w:val="single" w:sz="4" w:space="0" w:color="000000" w:themeColor="accent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1"/>
          <w:left w:val="nil" w:color="000000" w:sz="4"/>
          <w:bottom w:val="single" w:sz="4" w:space="0" w:color="000000" w:themeColor="accent1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2"/>
          <w:left w:val="nil" w:color="000000" w:sz="4"/>
          <w:bottom w:val="single" w:sz="4" w:space="0" w:color="000000" w:themeColor="accent2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2"/>
          <w:left w:val="nil" w:color="000000" w:sz="4"/>
          <w:bottom w:val="single" w:sz="4" w:space="0" w:color="000000" w:themeColor="accent2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3"/>
          <w:left w:val="nil" w:color="000000" w:sz="4"/>
          <w:bottom w:val="single" w:sz="4" w:space="0" w:color="000000" w:themeColor="accent3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3"/>
          <w:left w:val="nil" w:color="000000" w:sz="4"/>
          <w:bottom w:val="single" w:sz="4" w:space="0" w:color="000000" w:themeColor="accent3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4"/>
          <w:left w:val="nil" w:color="000000" w:sz="4"/>
          <w:bottom w:val="single" w:sz="4" w:space="0" w:color="000000" w:themeColor="accent4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4"/>
          <w:left w:val="nil" w:color="000000" w:sz="4"/>
          <w:bottom w:val="single" w:sz="4" w:space="0" w:color="000000" w:themeColor="accent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5"/>
          <w:left w:val="nil" w:color="000000" w:sz="4"/>
          <w:bottom w:val="single" w:sz="4" w:space="0" w:color="000000" w:themeColor="accent5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5"/>
          <w:left w:val="nil" w:color="000000" w:sz="4"/>
          <w:bottom w:val="single" w:sz="4" w:space="0" w:color="000000" w:themeColor="accent5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6"/>
          <w:left w:val="nil" w:color="000000" w:sz="4"/>
          <w:bottom w:val="single" w:sz="4" w:space="0" w:color="000000" w:themeColor="accent6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4" w:space="0" w:color="000000" w:themeColor="accent6"/>
          <w:left w:val="nil" w:color="000000" w:sz="4"/>
          <w:bottom w:val="single" w:sz="4" w:space="0" w:color="000000" w:themeColor="accent6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</w:tcBorders>
      </w:tcPr>
    </w:tblStylePr>
    <w:tblStylePr w:type="band1Horz"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</w:tcBorders>
      </w:tcPr>
    </w:tblStylePr>
    <w:tblStylePr w:type="band1Horz"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3"/>
          <w:left w:val="single" w:sz="4" w:space="0" w:color="000000" w:themeColor="accent3"/>
          <w:bottom w:val="single" w:sz="4" w:space="0" w:color="000000" w:themeColor="accent3"/>
          <w:right w:val="single" w:sz="4" w:space="0" w:color="0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4" w:space="0" w:color="000000" w:themeColor="accent3"/>
          <w:left w:val="single" w:sz="4" w:space="0" w:color="000000" w:themeColor="accent3"/>
          <w:bottom w:val="single" w:sz="4" w:space="0" w:color="000000" w:themeColor="accent3"/>
          <w:right w:val="single" w:sz="4" w:space="0" w:color="000000" w:themeColor="accent3"/>
        </w:tcBorders>
      </w:tcPr>
    </w:tblStylePr>
    <w:tblStylePr w:type="band1Horz">
      <w:tblPr/>
      <w:tcPr>
        <w:tcBorders>
          <w:top w:val="single" w:sz="4" w:space="0" w:color="000000" w:themeColor="accent3"/>
          <w:left w:val="single" w:sz="4" w:space="0" w:color="000000" w:themeColor="accent3"/>
          <w:bottom w:val="single" w:sz="4" w:space="0" w:color="000000" w:themeColor="accent3"/>
          <w:right w:val="single" w:sz="4" w:space="0" w:color="00000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4"/>
          <w:left w:val="single" w:sz="4" w:space="0" w:color="000000" w:themeColor="accent4"/>
          <w:bottom w:val="single" w:sz="4" w:space="0" w:color="000000" w:themeColor="accent4"/>
          <w:right w:val="single" w:sz="4" w:space="0" w:color="000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4" w:space="0" w:color="000000" w:themeColor="accent4"/>
          <w:left w:val="single" w:sz="4" w:space="0" w:color="000000" w:themeColor="accent4"/>
          <w:bottom w:val="single" w:sz="4" w:space="0" w:color="000000" w:themeColor="accent4"/>
          <w:right w:val="single" w:sz="4" w:space="0" w:color="000000" w:themeColor="accent4"/>
        </w:tcBorders>
      </w:tcPr>
    </w:tblStylePr>
    <w:tblStylePr w:type="band1Horz">
      <w:tblPr/>
      <w:tcPr>
        <w:tcBorders>
          <w:top w:val="single" w:sz="4" w:space="0" w:color="000000" w:themeColor="accent4"/>
          <w:left w:val="single" w:sz="4" w:space="0" w:color="000000" w:themeColor="accent4"/>
          <w:bottom w:val="single" w:sz="4" w:space="0" w:color="000000" w:themeColor="accent4"/>
          <w:right w:val="single" w:sz="4" w:space="0" w:color="000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5"/>
          <w:left w:val="single" w:sz="4" w:space="0" w:color="000000" w:themeColor="accent5"/>
          <w:bottom w:val="single" w:sz="4" w:space="0" w:color="000000" w:themeColor="accent5"/>
          <w:right w:val="single" w:sz="4" w:space="0" w:color="0000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4" w:space="0" w:color="000000" w:themeColor="accent5"/>
          <w:left w:val="single" w:sz="4" w:space="0" w:color="000000" w:themeColor="accent5"/>
          <w:bottom w:val="single" w:sz="4" w:space="0" w:color="000000" w:themeColor="accent5"/>
          <w:right w:val="single" w:sz="4" w:space="0" w:color="000000" w:themeColor="accent5"/>
        </w:tcBorders>
      </w:tcPr>
    </w:tblStylePr>
    <w:tblStylePr w:type="band1Horz">
      <w:tblPr/>
      <w:tcPr>
        <w:tcBorders>
          <w:top w:val="single" w:sz="4" w:space="0" w:color="000000" w:themeColor="accent5"/>
          <w:left w:val="single" w:sz="4" w:space="0" w:color="000000" w:themeColor="accent5"/>
          <w:bottom w:val="single" w:sz="4" w:space="0" w:color="000000" w:themeColor="accent5"/>
          <w:right w:val="single" w:sz="4" w:space="0" w:color="00000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</w:tcBorders>
      </w:tcPr>
    </w:tblStylePr>
    <w:tblStylePr w:type="band1Horz"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 w:color="000000" w:sz="4"/>
          <w:insideV w:val="single" w:sz="4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 w:color="000000" w:sz="4"/>
          <w:insideV w:val="single" w:sz="4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  <w:tblStylePr w:type="band1Vert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V w:val="single" w:sz="4" w:space="0" w:color="000000" w:themeColor="text1"/>
        </w:tcBorders>
      </w:tcPr>
    </w:tblStylePr>
    <w:tblStylePr w:type="band2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V w:val="single" w:sz="4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nil" w:color="000000" w:sz="4"/>
          <w:insideV w:val="single" w:sz="4" w:space="0" w:color="0000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nil" w:color="000000" w:sz="4"/>
          <w:insideV w:val="single" w:sz="4" w:space="0" w:color="0000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</w:tcBorders>
      </w:tcPr>
    </w:tblStylePr>
    <w:tblStylePr w:type="band1Vert"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</w:tcBorders>
      </w:tcPr>
    </w:tblStylePr>
    <w:tblStylePr w:type="band1Horz"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V w:val="single" w:sz="4" w:space="0" w:color="000000" w:themeColor="accent1"/>
        </w:tcBorders>
      </w:tcPr>
    </w:tblStylePr>
    <w:tblStylePr w:type="band2Horz"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V w:val="single" w:sz="4" w:space="0" w:color="000000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  <w:insideH w:val="nil" w:color="000000" w:sz="4"/>
          <w:insideV w:val="single" w:sz="4" w:space="0" w:color="00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  <w:insideH w:val="nil" w:color="000000" w:sz="4"/>
          <w:insideV w:val="single" w:sz="4" w:space="0" w:color="00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</w:tcBorders>
      </w:tcPr>
    </w:tblStylePr>
    <w:tblStylePr w:type="band1Vert"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</w:tcBorders>
      </w:tcPr>
    </w:tblStylePr>
    <w:tblStylePr w:type="band1Horz"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  <w:insideV w:val="single" w:sz="4" w:space="0" w:color="000000" w:themeColor="accent2"/>
        </w:tcBorders>
      </w:tcPr>
    </w:tblStylePr>
    <w:tblStylePr w:type="band2Horz">
      <w:tblPr/>
      <w:tcPr>
        <w:tcBorders>
          <w:top w:val="single" w:sz="4" w:space="0" w:color="000000" w:themeColor="accent2"/>
          <w:left w:val="single" w:sz="4" w:space="0" w:color="000000" w:themeColor="accent2"/>
          <w:bottom w:val="single" w:sz="4" w:space="0" w:color="000000" w:themeColor="accent2"/>
          <w:right w:val="single" w:sz="4" w:space="0" w:color="000000" w:themeColor="accent2"/>
          <w:insideV w:val="single" w:sz="4" w:space="0" w:color="00000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3"/>
          <w:left w:val="single" w:sz="4" w:space="0" w:color="000000" w:themeColor="accent3"/>
          <w:bottom w:val="single" w:sz="4" w:space="0" w:color="000000" w:themeColor="accent3"/>
          <w:right w:val="single" w:sz="4" w:space="0" w:color="000000" w:themeColor="accent3"/>
          <w:insideH w:val="nil" w:color="000000" w:sz="4"/>
          <w:insideV w:val="single" w:sz="4" w:space="0" w:color="0000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4" w:space="0" w:color="000000" w:themeColor="accent3"/>
          <w:left w:val="single" w:sz="4" w:space="0" w:color="000000" w:themeColor="accent3"/>
          <w:bottom w:val="single" w:sz="4" w:space="0" w:color="000000" w:themeColor="accent3"/>
          <w:right w:val="single" w:sz="4" w:space="0" w:color="000000" w:themeColor="accent3"/>
          <w:insideH w:val="nil" w:color="000000" w:sz="4"/>
          <w:insideV w:val="single" w:sz="4" w:space="0" w:color="0000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3"/>
          <w:left w:val="single" w:sz="4" w:space="0" w:color="000000" w:themeColor="accent3"/>
          <w:bottom w:val="single" w:sz="4" w:space="0" w:color="000000" w:themeColor="accent3"/>
          <w:right w:val="single" w:sz="4" w:space="0" w:color="000000" w:themeColor="accent3"/>
        </w:tcBorders>
      </w:tcPr>
    </w:tblStylePr>
    <w:tblStylePr w:type="band1Vert">
      <w:tblPr/>
      <w:tcPr>
        <w:tcBorders>
          <w:top w:val="single" w:sz="4" w:space="0" w:color="000000" w:themeColor="accent3"/>
          <w:left w:val="single" w:sz="4" w:space="0" w:color="000000" w:themeColor="accent3"/>
          <w:bottom w:val="single" w:sz="4" w:space="0" w:color="000000" w:themeColor="accent3"/>
          <w:right w:val="single" w:sz="4" w:space="0" w:color="000000" w:themeColor="accent3"/>
        </w:tcBorders>
      </w:tcPr>
    </w:tblStylePr>
    <w:tblStylePr w:type="band1Horz">
      <w:tblPr/>
      <w:tcPr>
        <w:tcBorders>
          <w:top w:val="single" w:sz="4" w:space="0" w:color="000000" w:themeColor="accent3"/>
          <w:left w:val="single" w:sz="4" w:space="0" w:color="000000" w:themeColor="accent3"/>
          <w:bottom w:val="single" w:sz="4" w:space="0" w:color="000000" w:themeColor="accent3"/>
          <w:right w:val="single" w:sz="4" w:space="0" w:color="000000" w:themeColor="accent3"/>
          <w:insideV w:val="single" w:sz="4" w:space="0" w:color="000000" w:themeColor="accent3"/>
        </w:tcBorders>
      </w:tcPr>
    </w:tblStylePr>
    <w:tblStylePr w:type="band2Horz">
      <w:tblPr/>
      <w:tcPr>
        <w:tcBorders>
          <w:top w:val="single" w:sz="4" w:space="0" w:color="000000" w:themeColor="accent3"/>
          <w:left w:val="single" w:sz="4" w:space="0" w:color="000000" w:themeColor="accent3"/>
          <w:bottom w:val="single" w:sz="4" w:space="0" w:color="000000" w:themeColor="accent3"/>
          <w:right w:val="single" w:sz="4" w:space="0" w:color="000000" w:themeColor="accent3"/>
          <w:insideV w:val="single" w:sz="4" w:space="0" w:color="00000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4"/>
          <w:left w:val="single" w:sz="4" w:space="0" w:color="000000" w:themeColor="accent4"/>
          <w:bottom w:val="single" w:sz="4" w:space="0" w:color="000000" w:themeColor="accent4"/>
          <w:right w:val="single" w:sz="4" w:space="0" w:color="000000" w:themeColor="accent4"/>
          <w:insideH w:val="nil" w:color="000000" w:sz="4"/>
          <w:insideV w:val="single" w:sz="4" w:space="0" w:color="000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4" w:space="0" w:color="000000" w:themeColor="accent4"/>
          <w:left w:val="single" w:sz="4" w:space="0" w:color="000000" w:themeColor="accent4"/>
          <w:bottom w:val="single" w:sz="4" w:space="0" w:color="000000" w:themeColor="accent4"/>
          <w:right w:val="single" w:sz="4" w:space="0" w:color="000000" w:themeColor="accent4"/>
          <w:insideH w:val="nil" w:color="000000" w:sz="4"/>
          <w:insideV w:val="single" w:sz="4" w:space="0" w:color="000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4"/>
          <w:left w:val="single" w:sz="4" w:space="0" w:color="000000" w:themeColor="accent4"/>
          <w:bottom w:val="single" w:sz="4" w:space="0" w:color="000000" w:themeColor="accent4"/>
          <w:right w:val="single" w:sz="4" w:space="0" w:color="000000" w:themeColor="accent4"/>
        </w:tcBorders>
      </w:tcPr>
    </w:tblStylePr>
    <w:tblStylePr w:type="band1Vert">
      <w:tblPr/>
      <w:tcPr>
        <w:tcBorders>
          <w:top w:val="single" w:sz="4" w:space="0" w:color="000000" w:themeColor="accent4"/>
          <w:left w:val="single" w:sz="4" w:space="0" w:color="000000" w:themeColor="accent4"/>
          <w:bottom w:val="single" w:sz="4" w:space="0" w:color="000000" w:themeColor="accent4"/>
          <w:right w:val="single" w:sz="4" w:space="0" w:color="000000" w:themeColor="accent4"/>
        </w:tcBorders>
      </w:tcPr>
    </w:tblStylePr>
    <w:tblStylePr w:type="band1Horz">
      <w:tblPr/>
      <w:tcPr>
        <w:tcBorders>
          <w:top w:val="single" w:sz="4" w:space="0" w:color="000000" w:themeColor="accent4"/>
          <w:left w:val="single" w:sz="4" w:space="0" w:color="000000" w:themeColor="accent4"/>
          <w:bottom w:val="single" w:sz="4" w:space="0" w:color="000000" w:themeColor="accent4"/>
          <w:right w:val="single" w:sz="4" w:space="0" w:color="000000" w:themeColor="accent4"/>
          <w:insideV w:val="single" w:sz="4" w:space="0" w:color="000000" w:themeColor="accent4"/>
        </w:tcBorders>
      </w:tcPr>
    </w:tblStylePr>
    <w:tblStylePr w:type="band2Horz">
      <w:tblPr/>
      <w:tcPr>
        <w:tcBorders>
          <w:top w:val="single" w:sz="4" w:space="0" w:color="000000" w:themeColor="accent4"/>
          <w:left w:val="single" w:sz="4" w:space="0" w:color="000000" w:themeColor="accent4"/>
          <w:bottom w:val="single" w:sz="4" w:space="0" w:color="000000" w:themeColor="accent4"/>
          <w:right w:val="single" w:sz="4" w:space="0" w:color="000000" w:themeColor="accent4"/>
          <w:insideV w:val="single" w:sz="4" w:space="0" w:color="000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5"/>
          <w:left w:val="single" w:sz="4" w:space="0" w:color="000000" w:themeColor="accent5"/>
          <w:bottom w:val="single" w:sz="4" w:space="0" w:color="000000" w:themeColor="accent5"/>
          <w:right w:val="single" w:sz="4" w:space="0" w:color="000000" w:themeColor="accent5"/>
          <w:insideH w:val="nil" w:color="000000" w:sz="4"/>
          <w:insideV w:val="single" w:sz="4" w:space="0" w:color="0000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4" w:space="0" w:color="000000" w:themeColor="accent5"/>
          <w:left w:val="single" w:sz="4" w:space="0" w:color="000000" w:themeColor="accent5"/>
          <w:bottom w:val="single" w:sz="4" w:space="0" w:color="000000" w:themeColor="accent5"/>
          <w:right w:val="single" w:sz="4" w:space="0" w:color="000000" w:themeColor="accent5"/>
          <w:insideH w:val="nil" w:color="000000" w:sz="4"/>
          <w:insideV w:val="single" w:sz="4" w:space="0" w:color="0000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5"/>
          <w:left w:val="single" w:sz="4" w:space="0" w:color="000000" w:themeColor="accent5"/>
          <w:bottom w:val="single" w:sz="4" w:space="0" w:color="000000" w:themeColor="accent5"/>
          <w:right w:val="single" w:sz="4" w:space="0" w:color="000000" w:themeColor="accent5"/>
        </w:tcBorders>
      </w:tcPr>
    </w:tblStylePr>
    <w:tblStylePr w:type="band1Vert">
      <w:tblPr/>
      <w:tcPr>
        <w:tcBorders>
          <w:top w:val="single" w:sz="4" w:space="0" w:color="000000" w:themeColor="accent5"/>
          <w:left w:val="single" w:sz="4" w:space="0" w:color="000000" w:themeColor="accent5"/>
          <w:bottom w:val="single" w:sz="4" w:space="0" w:color="000000" w:themeColor="accent5"/>
          <w:right w:val="single" w:sz="4" w:space="0" w:color="000000" w:themeColor="accent5"/>
        </w:tcBorders>
      </w:tcPr>
    </w:tblStylePr>
    <w:tblStylePr w:type="band1Horz">
      <w:tblPr/>
      <w:tcPr>
        <w:tcBorders>
          <w:top w:val="single" w:sz="4" w:space="0" w:color="000000" w:themeColor="accent5"/>
          <w:left w:val="single" w:sz="4" w:space="0" w:color="000000" w:themeColor="accent5"/>
          <w:bottom w:val="single" w:sz="4" w:space="0" w:color="000000" w:themeColor="accent5"/>
          <w:right w:val="single" w:sz="4" w:space="0" w:color="000000" w:themeColor="accent5"/>
          <w:insideV w:val="single" w:sz="4" w:space="0" w:color="000000" w:themeColor="accent5"/>
        </w:tcBorders>
      </w:tcPr>
    </w:tblStylePr>
    <w:tblStylePr w:type="band2Horz">
      <w:tblPr/>
      <w:tcPr>
        <w:tcBorders>
          <w:top w:val="single" w:sz="4" w:space="0" w:color="000000" w:themeColor="accent5"/>
          <w:left w:val="single" w:sz="4" w:space="0" w:color="000000" w:themeColor="accent5"/>
          <w:bottom w:val="single" w:sz="4" w:space="0" w:color="000000" w:themeColor="accent5"/>
          <w:right w:val="single" w:sz="4" w:space="0" w:color="000000" w:themeColor="accent5"/>
          <w:insideV w:val="single" w:sz="4" w:space="0" w:color="00000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 w:color="000000" w:sz="4"/>
          <w:insideV w:val="single" w:sz="4" w:space="0" w:color="0000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 w:color="000000" w:sz="4"/>
          <w:insideV w:val="single" w:sz="4" w:space="0" w:color="0000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</w:tcBorders>
      </w:tcPr>
    </w:tblStylePr>
    <w:tblStylePr w:type="band1Vert"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</w:tcBorders>
      </w:tcPr>
    </w:tblStylePr>
    <w:tblStylePr w:type="band1Horz"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V w:val="single" w:sz="4" w:space="0" w:color="000000" w:themeColor="accent6"/>
        </w:tcBorders>
      </w:tcPr>
    </w:tblStylePr>
    <w:tblStylePr w:type="band2Horz">
      <w:tblPr/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V w:val="single" w:sz="4" w:space="0" w:color="00000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 w:themeColor="text1" w:themeTint="BF"/>
          <w:left w:val="single" w:sz="4" w:space="0" w:color="000000" w:themeColor="text1" w:themeTint="BF"/>
          <w:bottom w:val="single" w:sz="4" w:space="0" w:color="000000" w:themeColor="text1" w:themeTint="BF"/>
          <w:right w:val="single" w:sz="4" w:space="0" w:color="000000" w:themeColor="text1" w:themeTint="BF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text1" w:themeTint="BF"/>
          <w:left w:val="single" w:sz="4" w:space="0" w:color="000000" w:themeColor="text1" w:themeTint="BF"/>
          <w:bottom w:val="single" w:sz="4" w:space="0" w:color="000000" w:themeColor="text1" w:themeTint="BF"/>
          <w:right w:val="single" w:sz="4" w:space="0" w:color="000000" w:themeColor="text1" w:themeTint="BF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 w:color="000000" w:sz="4"/>
          <w:insideV w:val="nil" w:color="000000" w:sz="4"/>
        </w:tcBorders>
      </w:tcPr>
    </w:tblStylePr>
    <w:tblStylePr w:type="band2Horz">
      <w:tblPr/>
      <w:tcPr>
        <w:tcBorders>
          <w:insideH w:val="nil" w:color="000000" w:sz="4"/>
          <w:insideV w:val="nil" w:color="000000" w:sz="4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 w:themeColor="accent1" w:themeTint="BF"/>
          <w:left w:val="single" w:sz="4" w:space="0" w:color="000000" w:themeColor="accent1" w:themeTint="BF"/>
          <w:bottom w:val="single" w:sz="4" w:space="0" w:color="000000" w:themeColor="accent1" w:themeTint="BF"/>
          <w:right w:val="single" w:sz="4" w:space="0" w:color="000000" w:themeColor="accent1" w:themeTint="BF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1" w:themeTint="BF"/>
          <w:left w:val="single" w:sz="4" w:space="0" w:color="000000" w:themeColor="accent1" w:themeTint="BF"/>
          <w:bottom w:val="single" w:sz="4" w:space="0" w:color="000000" w:themeColor="accent1" w:themeTint="BF"/>
          <w:right w:val="single" w:sz="4" w:space="0" w:color="000000" w:themeColor="accent1" w:themeTint="BF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 w:color="000000" w:sz="4"/>
          <w:insideV w:val="nil" w:color="000000" w:sz="4"/>
        </w:tcBorders>
      </w:tcPr>
    </w:tblStylePr>
    <w:tblStylePr w:type="band2Horz">
      <w:tblPr/>
      <w:tcPr>
        <w:tcBorders>
          <w:insideH w:val="nil" w:color="000000" w:sz="4"/>
          <w:insideV w:val="nil" w:color="000000" w:sz="4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 w:themeColor="accent2" w:themeTint="BF"/>
          <w:left w:val="single" w:sz="4" w:space="0" w:color="000000" w:themeColor="accent2" w:themeTint="BF"/>
          <w:bottom w:val="single" w:sz="4" w:space="0" w:color="000000" w:themeColor="accent2" w:themeTint="BF"/>
          <w:right w:val="single" w:sz="4" w:space="0" w:color="000000" w:themeColor="accent2" w:themeTint="BF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2" w:themeTint="BF"/>
          <w:left w:val="single" w:sz="4" w:space="0" w:color="000000" w:themeColor="accent2" w:themeTint="BF"/>
          <w:bottom w:val="single" w:sz="4" w:space="0" w:color="000000" w:themeColor="accent2" w:themeTint="BF"/>
          <w:right w:val="single" w:sz="4" w:space="0" w:color="000000" w:themeColor="accent2" w:themeTint="BF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 w:color="000000" w:sz="4"/>
          <w:insideV w:val="nil" w:color="000000" w:sz="4"/>
        </w:tcBorders>
      </w:tcPr>
    </w:tblStylePr>
    <w:tblStylePr w:type="band2Horz">
      <w:tblPr/>
      <w:tcPr>
        <w:tcBorders>
          <w:insideH w:val="nil" w:color="000000" w:sz="4"/>
          <w:insideV w:val="nil" w:color="000000" w:sz="4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 w:themeColor="accent3" w:themeTint="BF"/>
          <w:left w:val="single" w:sz="4" w:space="0" w:color="000000" w:themeColor="accent3" w:themeTint="BF"/>
          <w:bottom w:val="single" w:sz="4" w:space="0" w:color="000000" w:themeColor="accent3" w:themeTint="BF"/>
          <w:right w:val="single" w:sz="4" w:space="0" w:color="000000" w:themeColor="accent3" w:themeTint="BF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3" w:themeTint="BF"/>
          <w:left w:val="single" w:sz="4" w:space="0" w:color="000000" w:themeColor="accent3" w:themeTint="BF"/>
          <w:bottom w:val="single" w:sz="4" w:space="0" w:color="000000" w:themeColor="accent3" w:themeTint="BF"/>
          <w:right w:val="single" w:sz="4" w:space="0" w:color="000000" w:themeColor="accent3" w:themeTint="BF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 w:color="000000" w:sz="4"/>
          <w:insideV w:val="nil" w:color="000000" w:sz="4"/>
        </w:tcBorders>
      </w:tcPr>
    </w:tblStylePr>
    <w:tblStylePr w:type="band2Horz">
      <w:tblPr/>
      <w:tcPr>
        <w:tcBorders>
          <w:insideH w:val="nil" w:color="000000" w:sz="4"/>
          <w:insideV w:val="nil" w:color="000000" w:sz="4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 w:themeColor="accent4" w:themeTint="BF"/>
          <w:left w:val="single" w:sz="4" w:space="0" w:color="000000" w:themeColor="accent4" w:themeTint="BF"/>
          <w:bottom w:val="single" w:sz="4" w:space="0" w:color="000000" w:themeColor="accent4" w:themeTint="BF"/>
          <w:right w:val="single" w:sz="4" w:space="0" w:color="000000" w:themeColor="accent4" w:themeTint="BF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4" w:themeTint="BF"/>
          <w:left w:val="single" w:sz="4" w:space="0" w:color="000000" w:themeColor="accent4" w:themeTint="BF"/>
          <w:bottom w:val="single" w:sz="4" w:space="0" w:color="000000" w:themeColor="accent4" w:themeTint="BF"/>
          <w:right w:val="single" w:sz="4" w:space="0" w:color="000000" w:themeColor="accent4" w:themeTint="BF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 w:color="000000" w:sz="4"/>
          <w:insideV w:val="nil" w:color="000000" w:sz="4"/>
        </w:tcBorders>
      </w:tcPr>
    </w:tblStylePr>
    <w:tblStylePr w:type="band2Horz">
      <w:tblPr/>
      <w:tcPr>
        <w:tcBorders>
          <w:insideH w:val="nil" w:color="000000" w:sz="4"/>
          <w:insideV w:val="nil" w:color="000000" w:sz="4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 w:themeColor="accent5" w:themeTint="BF"/>
          <w:left w:val="single" w:sz="4" w:space="0" w:color="000000" w:themeColor="accent5" w:themeTint="BF"/>
          <w:bottom w:val="single" w:sz="4" w:space="0" w:color="000000" w:themeColor="accent5" w:themeTint="BF"/>
          <w:right w:val="single" w:sz="4" w:space="0" w:color="000000" w:themeColor="accent5" w:themeTint="BF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5" w:themeTint="BF"/>
          <w:left w:val="single" w:sz="4" w:space="0" w:color="000000" w:themeColor="accent5" w:themeTint="BF"/>
          <w:bottom w:val="single" w:sz="4" w:space="0" w:color="000000" w:themeColor="accent5" w:themeTint="BF"/>
          <w:right w:val="single" w:sz="4" w:space="0" w:color="000000" w:themeColor="accent5" w:themeTint="BF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 w:color="000000" w:sz="4"/>
          <w:insideV w:val="nil" w:color="000000" w:sz="4"/>
        </w:tcBorders>
      </w:tcPr>
    </w:tblStylePr>
    <w:tblStylePr w:type="band2Horz">
      <w:tblPr/>
      <w:tcPr>
        <w:tcBorders>
          <w:insideH w:val="nil" w:color="000000" w:sz="4"/>
          <w:insideV w:val="nil" w:color="000000" w:sz="4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 w:themeColor="accent6" w:themeTint="BF"/>
          <w:left w:val="single" w:sz="4" w:space="0" w:color="000000" w:themeColor="accent6" w:themeTint="BF"/>
          <w:bottom w:val="single" w:sz="4" w:space="0" w:color="000000" w:themeColor="accent6" w:themeTint="BF"/>
          <w:right w:val="single" w:sz="4" w:space="0" w:color="000000" w:themeColor="accent6" w:themeTint="BF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4" w:space="0" w:color="000000" w:themeColor="accent6" w:themeTint="BF"/>
          <w:left w:val="single" w:sz="4" w:space="0" w:color="000000" w:themeColor="accent6" w:themeTint="BF"/>
          <w:bottom w:val="single" w:sz="4" w:space="0" w:color="000000" w:themeColor="accent6" w:themeTint="BF"/>
          <w:right w:val="single" w:sz="4" w:space="0" w:color="000000" w:themeColor="accent6" w:themeTint="BF"/>
          <w:insideH w:val="nil" w:color="000000" w:sz="4"/>
          <w:insideV w:val="nil" w:color="000000" w:sz="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 w:color="000000" w:sz="4"/>
          <w:insideV w:val="nil" w:color="000000" w:sz="4"/>
        </w:tcBorders>
      </w:tcPr>
    </w:tblStylePr>
    <w:tblStylePr w:type="band2Horz">
      <w:tblPr/>
      <w:tcPr>
        <w:tcBorders>
          <w:insideH w:val="nil" w:color="000000" w:sz="4"/>
          <w:insideV w:val="nil" w:color="000000" w:sz="4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/>
        <w:bCs/>
        <w:color w:val="000000"/>
      </w:rPr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nwCell">
      <w:rPr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/>
        <w:bCs/>
        <w:color w:val="000000"/>
      </w:rPr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nwCell">
      <w:rPr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/>
        <w:bCs/>
        <w:color w:val="000000"/>
      </w:rPr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nwCell">
      <w:rPr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/>
        <w:bCs/>
        <w:color w:val="000000"/>
      </w:rPr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nwCell">
      <w:rPr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/>
        <w:bCs/>
        <w:color w:val="000000"/>
      </w:rPr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nwCell">
      <w:rPr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/>
        <w:bCs/>
        <w:color w:val="000000"/>
      </w:rPr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nwCell">
      <w:rPr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/>
        <w:bCs/>
        <w:color w:val="000000"/>
      </w:rPr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  <w:tblStylePr w:type="nwCell">
      <w:rPr>
        <w:color w:val="000000"/>
      </w:rPr>
      <w:tblPr/>
      <w:tcPr>
        <w:tcBorders>
          <w:top w:val="single" w:sz="4" w:space="0" w:color="000000"/>
          <w:left w:val="nil" w:color="000000" w:sz="4"/>
          <w:bottom w:val="single" w:sz="4" w:space="0" w:color="000000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 w:sz="4"/>
          <w:bottom w:val="single" w:sz="4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 w:sz="4"/>
          <w:bottom w:val="single" w:sz="4" w:space="0" w:color="000000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accent1"/>
          <w:bottom w:val="single" w:sz="4" w:space="0" w:color="0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4" w:space="0" w:color="000000" w:themeColor="accent1"/>
          <w:bottom w:val="single" w:sz="4" w:space="0" w:color="000000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 w:sz="4"/>
          <w:bottom w:val="single" w:sz="4" w:space="0" w:color="000000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accent2"/>
          <w:bottom w:val="single" w:sz="4" w:space="0" w:color="00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4" w:space="0" w:color="000000" w:themeColor="accent2"/>
          <w:bottom w:val="single" w:sz="4" w:space="0" w:color="000000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 w:sz="4"/>
          <w:bottom w:val="single" w:sz="4" w:space="0" w:color="000000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accent3"/>
          <w:bottom w:val="single" w:sz="4" w:space="0" w:color="0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4" w:space="0" w:color="000000" w:themeColor="accent3"/>
          <w:bottom w:val="single" w:sz="4" w:space="0" w:color="000000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 w:sz="4"/>
          <w:bottom w:val="single" w:sz="4" w:space="0" w:color="000000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accent4"/>
          <w:bottom w:val="single" w:sz="4" w:space="0" w:color="000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4" w:space="0" w:color="000000" w:themeColor="accent4"/>
          <w:bottom w:val="single" w:sz="4" w:space="0" w:color="000000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 w:sz="4"/>
          <w:bottom w:val="single" w:sz="4" w:space="0" w:color="000000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accent5"/>
          <w:bottom w:val="single" w:sz="4" w:space="0" w:color="0000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4" w:space="0" w:color="000000" w:themeColor="accent5"/>
          <w:bottom w:val="single" w:sz="4" w:space="0" w:color="000000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 w:color="000000" w:sz="4"/>
          <w:bottom w:val="single" w:sz="4" w:space="0" w:color="000000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accent6"/>
          <w:bottom w:val="single" w:sz="4" w:space="0" w:color="0000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4" w:space="0" w:color="000000" w:themeColor="accent6"/>
          <w:bottom w:val="single" w:sz="4" w:space="0" w:color="000000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 w:sz="4"/>
          <w:left w:val="nil" w:color="000000" w:sz="4"/>
          <w:bottom w:val="single" w:sz="4" w:space="0" w:color="000000" w:themeColor="text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text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text1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text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bottom w:val="nil" w:color="000000" w:sz="4"/>
          <w:insideH w:val="nil" w:color="000000" w:sz="4"/>
          <w:insideV w:val="nil" w:color="000000" w:sz="4"/>
        </w:tcBorders>
      </w:tcPr>
    </w:tblStylePr>
    <w:tblStylePr w:type="nwCell">
      <w:tblPr/>
      <w:tcPr/>
    </w:tblStylePr>
    <w:tblStylePr w:type="swCell">
      <w:tblPr/>
      <w:tcPr>
        <w:tcBorders>
          <w:top w:val="nil" w:color="000000" w:sz="4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accent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accent1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accent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bottom w:val="nil" w:color="000000" w:sz="4"/>
          <w:insideH w:val="nil" w:color="000000" w:sz="4"/>
          <w:insideV w:val="nil" w:color="000000" w:sz="4"/>
        </w:tcBorders>
      </w:tcPr>
    </w:tblStylePr>
    <w:tblStylePr w:type="nwCell">
      <w:tblPr/>
      <w:tcPr/>
    </w:tblStylePr>
    <w:tblStylePr w:type="swCell">
      <w:tblPr/>
      <w:tcPr>
        <w:tcBorders>
          <w:top w:val="nil" w:color="000000" w:sz="4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2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accent2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accent2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accent2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bottom w:val="nil" w:color="000000" w:sz="4"/>
          <w:insideH w:val="nil" w:color="000000" w:sz="4"/>
          <w:insideV w:val="nil" w:color="000000" w:sz="4"/>
        </w:tcBorders>
      </w:tcPr>
    </w:tblStylePr>
    <w:tblStylePr w:type="nwCell">
      <w:tblPr/>
      <w:tcPr/>
    </w:tblStylePr>
    <w:tblStylePr w:type="swCell">
      <w:tblPr/>
      <w:tcPr>
        <w:tcBorders>
          <w:top w:val="nil" w:color="000000" w:sz="4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3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accent3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accent3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accent3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bottom w:val="nil" w:color="000000" w:sz="4"/>
          <w:insideH w:val="nil" w:color="000000" w:sz="4"/>
          <w:insideV w:val="nil" w:color="000000" w:sz="4"/>
        </w:tcBorders>
      </w:tcPr>
    </w:tblStylePr>
    <w:tblStylePr w:type="nwCell">
      <w:tblPr/>
      <w:tcPr/>
    </w:tblStylePr>
    <w:tblStylePr w:type="swCell">
      <w:tblPr/>
      <w:tcPr>
        <w:tcBorders>
          <w:top w:val="nil" w:color="000000" w:sz="4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4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accent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accent4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accent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bottom w:val="nil" w:color="000000" w:sz="4"/>
          <w:insideH w:val="nil" w:color="000000" w:sz="4"/>
          <w:insideV w:val="nil" w:color="000000" w:sz="4"/>
        </w:tcBorders>
      </w:tcPr>
    </w:tblStylePr>
    <w:tblStylePr w:type="nwCell">
      <w:tblPr/>
      <w:tcPr/>
    </w:tblStylePr>
    <w:tblStylePr w:type="swCell">
      <w:tblPr/>
      <w:tcPr>
        <w:tcBorders>
          <w:top w:val="nil" w:color="000000" w:sz="4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5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accent5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accent5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accent5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bottom w:val="nil" w:color="000000" w:sz="4"/>
          <w:insideH w:val="nil" w:color="000000" w:sz="4"/>
          <w:insideV w:val="nil" w:color="000000" w:sz="4"/>
        </w:tcBorders>
      </w:tcPr>
    </w:tblStylePr>
    <w:tblStylePr w:type="nwCell">
      <w:tblPr/>
      <w:tcPr/>
    </w:tblStylePr>
    <w:tblStylePr w:type="swCell">
      <w:tblPr/>
      <w:tcPr>
        <w:tcBorders>
          <w:top w:val="nil" w:color="000000" w:sz="4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6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accent6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accent6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accent6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left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bottom w:val="nil" w:color="000000" w:sz="4"/>
          <w:insideH w:val="nil" w:color="000000" w:sz="4"/>
          <w:insideV w:val="nil" w:color="000000" w:sz="4"/>
        </w:tcBorders>
      </w:tcPr>
    </w:tblStylePr>
    <w:tblStylePr w:type="nwCell">
      <w:tblPr/>
      <w:tcPr/>
    </w:tblStylePr>
    <w:tblStylePr w:type="swCell">
      <w:tblPr/>
      <w:tcPr>
        <w:tcBorders>
          <w:top w:val="nil" w:color="000000" w:sz="4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00000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00000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00000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00000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00000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00000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00000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4" w:space="0" w:color="000000" w:themeColor="text1"/>
          <w:insideV w:val="single" w:sz="4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4" w:space="0" w:color="000000" w:themeColor="accent1"/>
          <w:insideV w:val="single" w:sz="4" w:space="0" w:color="000000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4" w:space="0" w:color="000000" w:themeColor="accent2"/>
          <w:insideV w:val="single" w:sz="4" w:space="0" w:color="000000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4" w:space="0" w:color="000000" w:themeColor="accent3"/>
          <w:insideV w:val="single" w:sz="4" w:space="0" w:color="000000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4" w:space="0" w:color="000000" w:themeColor="accent4"/>
          <w:insideV w:val="single" w:sz="4" w:space="0" w:color="000000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4" w:space="0" w:color="000000" w:themeColor="accent5"/>
          <w:insideV w:val="single" w:sz="4" w:space="0" w:color="000000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rPr>
        <w:b/>
        <w:bCs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4" w:space="0" w:color="000000" w:themeColor="accent6"/>
          <w:insideV w:val="single" w:sz="4" w:space="0" w:color="000000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single" w:sz="4" w:space="0" w:color="000000" w:themeColor="background1"/>
          <w:insideV w:val="single" w:sz="4" w:space="0" w:color="000000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single" w:sz="4" w:space="0" w:color="000000" w:themeColor="background1"/>
          <w:insideV w:val="single" w:sz="4" w:space="0" w:color="000000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single" w:sz="4" w:space="0" w:color="000000" w:themeColor="background1"/>
          <w:insideV w:val="single" w:sz="4" w:space="0" w:color="000000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single" w:sz="4" w:space="0" w:color="000000" w:themeColor="background1"/>
          <w:insideV w:val="single" w:sz="4" w:space="0" w:color="000000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single" w:sz="4" w:space="0" w:color="000000" w:themeColor="background1"/>
          <w:insideV w:val="single" w:sz="4" w:space="0" w:color="000000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single" w:sz="4" w:space="0" w:color="000000" w:themeColor="background1"/>
          <w:insideV w:val="single" w:sz="4" w:space="0" w:color="000000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single" w:sz="4" w:space="0" w:color="000000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single" w:sz="4" w:space="0" w:color="000000" w:themeColor="background1"/>
          <w:left w:val="single" w:sz="4" w:space="0" w:color="000000" w:themeColor="background1"/>
          <w:bottom w:val="single" w:sz="4" w:space="0" w:color="000000" w:themeColor="background1"/>
          <w:right w:val="single" w:sz="4" w:space="0" w:color="000000" w:themeColor="background1"/>
          <w:insideH w:val="single" w:sz="4" w:space="0" w:color="000000" w:themeColor="background1"/>
          <w:insideV w:val="single" w:sz="4" w:space="0" w:color="000000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background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background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background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background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background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background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background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background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background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background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background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background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background1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tblPr/>
      <w:tcPr>
        <w:tcBorders>
          <w:top w:val="single" w:sz="4" w:space="0" w:color="000000" w:themeColor="background1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firstCol">
      <w:tblPr/>
      <w:tcPr>
        <w:tcBorders>
          <w:top w:val="nil" w:color="000000" w:sz="4"/>
          <w:left w:val="nil" w:color="000000" w:sz="4"/>
          <w:bottom w:val="nil" w:color="000000" w:sz="4"/>
          <w:right w:val="single" w:sz="4" w:space="0" w:color="000000" w:themeColor="background1"/>
          <w:insideH w:val="nil" w:color="000000" w:sz="4"/>
          <w:insideV w:val="nil" w:color="000000" w:sz="4"/>
        </w:tcBorders>
      </w:tcPr>
    </w:tblStylePr>
    <w:tblStylePr w:type="lastCol">
      <w:tblPr/>
      <w:tcPr>
        <w:tcBorders>
          <w:top w:val="nil" w:color="000000" w:sz="4"/>
          <w:left w:val="single" w:sz="4" w:space="0" w:color="000000" w:themeColor="background1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2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background1"/>
        </w:tcBorders>
      </w:tcPr>
    </w:tblStylePr>
    <w:tblStylePr w:type="fir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single" w:sz="4" w:space="0" w:color="000000" w:themeColor="text1" w:themeShade="99"/>
          <w:insideV w:val="nil" w:color="000000" w:sz="4"/>
        </w:tcBorders>
      </w:tcPr>
    </w:tblStylePr>
    <w:tblStylePr w:type="la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2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background1"/>
        </w:tcBorders>
      </w:tcPr>
    </w:tblStylePr>
    <w:tblStylePr w:type="fir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single" w:sz="4" w:space="0" w:color="000000" w:themeColor="accent1" w:themeShade="99"/>
          <w:insideV w:val="nil" w:color="000000" w:sz="4"/>
        </w:tcBorders>
      </w:tcPr>
    </w:tblStylePr>
    <w:tblStylePr w:type="la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2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background1"/>
        </w:tcBorders>
      </w:tcPr>
    </w:tblStylePr>
    <w:tblStylePr w:type="fir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single" w:sz="4" w:space="0" w:color="000000" w:themeColor="accent2" w:themeShade="99"/>
          <w:insideV w:val="nil" w:color="000000" w:sz="4"/>
        </w:tcBorders>
      </w:tcPr>
    </w:tblStylePr>
    <w:tblStylePr w:type="la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4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background1"/>
        </w:tcBorders>
      </w:tcPr>
    </w:tblStylePr>
    <w:tblStylePr w:type="fir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single" w:sz="4" w:space="0" w:color="000000" w:themeColor="accent3" w:themeShade="99"/>
          <w:insideV w:val="nil" w:color="000000" w:sz="4"/>
        </w:tcBorders>
      </w:tcPr>
    </w:tblStylePr>
    <w:tblStylePr w:type="la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3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background1"/>
        </w:tcBorders>
      </w:tcPr>
    </w:tblStylePr>
    <w:tblStylePr w:type="fir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single" w:sz="4" w:space="0" w:color="000000" w:themeColor="accent4" w:themeShade="99"/>
          <w:insideV w:val="nil" w:color="000000" w:sz="4"/>
        </w:tcBorders>
      </w:tcPr>
    </w:tblStylePr>
    <w:tblStylePr w:type="la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6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background1"/>
        </w:tcBorders>
      </w:tcPr>
    </w:tblStylePr>
    <w:tblStylePr w:type="fir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single" w:sz="4" w:space="0" w:color="000000" w:themeColor="accent5" w:themeShade="99"/>
          <w:insideV w:val="nil" w:color="000000" w:sz="4"/>
        </w:tcBorders>
      </w:tcPr>
    </w:tblStylePr>
    <w:tblStylePr w:type="la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 w:color="000000" w:sz="4"/>
          <w:left w:val="nil" w:color="000000" w:sz="4"/>
          <w:bottom w:val="single" w:sz="4" w:space="0" w:color="000000" w:themeColor="accent5"/>
          <w:right w:val="nil" w:color="000000" w:sz="4"/>
          <w:insideH w:val="nil" w:color="000000" w:sz="4"/>
          <w:insideV w:val="nil" w:color="000000" w:sz="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background1"/>
        </w:tcBorders>
      </w:tcPr>
    </w:tblStylePr>
    <w:tblStylePr w:type="fir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single" w:sz="4" w:space="0" w:color="000000" w:themeColor="accent6" w:themeShade="99"/>
          <w:insideV w:val="nil" w:color="000000" w:sz="4"/>
        </w:tcBorders>
      </w:tcPr>
    </w:tblStylePr>
    <w:tblStylePr w:type="lastCol">
      <w:rPr>
        <w:color w:val="000000"/>
      </w:rPr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4" w:space="0" w:color="000000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4" w:space="0" w:color="000000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4" w:space="0" w:color="000000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4" w:space="0" w:color="000000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4" w:space="0" w:color="000000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4" w:space="0" w:color="000000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4" w:space="0" w:color="000000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 w:sz="4"/>
          <w:left w:val="nil" w:color="000000" w:sz="4"/>
          <w:bottom w:val="nil" w:color="000000" w:sz="4"/>
          <w:right w:val="nil" w:color="000000" w:sz="4"/>
          <w:insideH w:val="nil" w:color="000000" w:sz="4"/>
          <w:insideV w:val="nil" w:color="000000" w:sz="4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SmallNote">
    <w:name w:val="Small Note"/>
    <w:basedOn w:val="Normal"/>
    <w:pPr>
      <w:spacing w:after="100"/>
    </w:pPr>
    <w:rPr>
      <w:color w:val="000000"/>
      <w:sz w:val="18"/>
    </w:rPr>
  </w:style>
  <w:style w:type="paragraph" w:customStyle="1" w:styleId="TableText">
    <w:name w:val="Table Text"/>
    <w:basedOn w:val="Normal"/>
    <w:pPr>
      <w:spacing w:after="0" w:line="264" w:lineRule="auto"/>
    </w:pPr>
    <w:rPr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mlab.ie.cuhk.edu.hk/projects/SRCNN.html" TargetMode="External"/><Relationship Id="rId12" Type="http://schemas.openxmlformats.org/officeDocument/2006/relationships/hyperlink" Target="https://github.com/rezaeiii/SRCNN" TargetMode="External"/><Relationship Id="rId13" Type="http://schemas.openxmlformats.org/officeDocument/2006/relationships/hyperlink" Target="https://mmlab.ie.cuhk.edu.hk/projects/FSRCNN.html" TargetMode="External"/><Relationship Id="rId14" Type="http://schemas.openxmlformats.org/officeDocument/2006/relationships/hyperlink" Target="https://github.com/igv/FSRCNN-TensorFlow" TargetMode="External"/><Relationship Id="rId15" Type="http://schemas.openxmlformats.org/officeDocument/2006/relationships/hyperlink" Target="https://openaccess.thecvf.com/content_cvpr_2016/html/Kim_Accurate_Image_Super-Resolution_CVPR_2016_paper.html" TargetMode="External"/><Relationship Id="rId16" Type="http://schemas.openxmlformats.org/officeDocument/2006/relationships/hyperlink" Target="https://github.com/huangzehao/caffe-vdsr" TargetMode="External"/><Relationship Id="rId17" Type="http://schemas.openxmlformats.org/officeDocument/2006/relationships/hyperlink" Target="https://openaccess.thecvf.com/content_cvpr_2016/html/Shi_Real-Time_Single_Image_CVPR_2016_paper.html" TargetMode="External"/><Relationship Id="rId18" Type="http://schemas.openxmlformats.org/officeDocument/2006/relationships/hyperlink" Target="https://github.com/kweisamx/TensorFlow-ESPCN" TargetMode="External"/><Relationship Id="rId19" Type="http://schemas.openxmlformats.org/officeDocument/2006/relationships/hyperlink" Target="https://openaccess.thecvf.com/content_cvpr_2017_workshops/w12/html/Lim_Enhanced_Deep_Residual_CVPR_2017_paper.html" TargetMode="External"/><Relationship Id="rId20" Type="http://schemas.openxmlformats.org/officeDocument/2006/relationships/hyperlink" Target="https://github.com/sanghyun-son/EDSR-PyTorch" TargetMode="External"/><Relationship Id="rId21" Type="http://schemas.openxmlformats.org/officeDocument/2006/relationships/hyperlink" Target="https://openaccess.thecvf.com/content_ECCV_2018/html/Yulun_Zhang_Image_Super-Resolution_Using_ECCV_2018_paper.html" TargetMode="External"/><Relationship Id="rId22" Type="http://schemas.openxmlformats.org/officeDocument/2006/relationships/hyperlink" Target="https://github.com/yulunzhang/RCAN" TargetMode="External"/><Relationship Id="rId23" Type="http://schemas.openxmlformats.org/officeDocument/2006/relationships/hyperlink" Target="https://openaccess.thecvf.com/content_CVPR_2020/html/Yang_Learning_Texture_Transformer_Network_for_Image_Super-Resolution_CVPR_2020_paper.html" TargetMode="External"/><Relationship Id="rId24" Type="http://schemas.openxmlformats.org/officeDocument/2006/relationships/hyperlink" Target="https://github.com/researchmm/TTSR" TargetMode="External"/><Relationship Id="rId25" Type="http://schemas.openxmlformats.org/officeDocument/2006/relationships/hyperlink" Target="https://paperswithcode.com/task/image-super-resol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LinksUpToDate>false</ns0:LinksUpToDate>
  <ns0:CharactersWithSpaces>0</ns0:CharactersWithSpaces>
  <ns0:SharedDoc>false</ns0:SharedDoc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>
  <dc:title>图像超分辨率经典网络论文与项目整理</dc:title>
  <dc:subject>SRCNN FSRCNN VDSR ESPCN EDSR RCAN TTSR 论文和项目阅读指南</dc:subject>
  <ns0:keywords>图像超分辨率;SRCNN;FSRCNN;VDSR;ESPCN;EDSR;RCAN;TTSR</ns0:keywords>
  <dc:description>generated by python-docx</dc:description>
  <ns0:revision>1</ns0:revision>
  <ns0:category/>
</ns0:coreProperties>
</file>