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C18F328" w14:textId="67831C0A" w:rsidR="00531436" w:rsidRDefault="00531436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7F4CB06B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lastRenderedPageBreak/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>0</w:t>
      </w:r>
      <w:r w:rsidR="001D167D">
        <w:rPr>
          <w:rFonts w:cs="Times New Roman"/>
        </w:rPr>
        <w:t>7</w:t>
      </w:r>
      <w:r w:rsidR="001D167D">
        <w:rPr>
          <w:rFonts w:cs="Times New Roman"/>
        </w:rPr>
        <w:t>/01/2</w:t>
      </w:r>
      <w:r w:rsidR="001D167D">
        <w:rPr>
          <w:rFonts w:cs="Times New Roman"/>
        </w:rPr>
        <w:t>3</w:t>
      </w:r>
      <w:r w:rsidR="001D167D">
        <w:rPr>
          <w:rFonts w:cs="Times New Roman"/>
        </w:rPr>
        <w:t xml:space="preserve"> – 0</w:t>
      </w:r>
      <w:r w:rsidR="001D167D">
        <w:rPr>
          <w:rFonts w:cs="Times New Roman"/>
        </w:rPr>
        <w:t>6</w:t>
      </w:r>
      <w:r w:rsidR="001D167D">
        <w:rPr>
          <w:rFonts w:cs="Times New Roman"/>
        </w:rPr>
        <w:t>/3</w:t>
      </w:r>
      <w:r w:rsidR="001D167D">
        <w:rPr>
          <w:rFonts w:cs="Times New Roman"/>
        </w:rPr>
        <w:t>0</w:t>
      </w:r>
      <w:r w:rsidR="001D167D">
        <w:rPr>
          <w:rFonts w:cs="Times New Roman"/>
        </w:rPr>
        <w:t>/2</w:t>
      </w:r>
      <w:r w:rsidR="001D167D">
        <w:rPr>
          <w:rFonts w:cs="Times New Roman"/>
        </w:rPr>
        <w:t>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lastRenderedPageBreak/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lastRenderedPageBreak/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6988" w14:textId="77777777" w:rsidR="00875D1B" w:rsidRDefault="00875D1B">
      <w:pPr>
        <w:spacing w:after="0"/>
      </w:pPr>
      <w:r>
        <w:separator/>
      </w:r>
    </w:p>
  </w:endnote>
  <w:endnote w:type="continuationSeparator" w:id="0">
    <w:p w14:paraId="7B319371" w14:textId="77777777" w:rsidR="00875D1B" w:rsidRDefault="00875D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94602" w14:textId="77777777" w:rsidR="00875D1B" w:rsidRDefault="00875D1B">
      <w:pPr>
        <w:spacing w:after="0"/>
      </w:pPr>
      <w:r>
        <w:separator/>
      </w:r>
    </w:p>
  </w:footnote>
  <w:footnote w:type="continuationSeparator" w:id="0">
    <w:p w14:paraId="1C6863F3" w14:textId="77777777" w:rsidR="00875D1B" w:rsidRDefault="00875D1B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2078</Words>
  <Characters>11849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9</cp:revision>
  <cp:lastPrinted>2023-03-01T16:10:00Z</cp:lastPrinted>
  <dcterms:created xsi:type="dcterms:W3CDTF">2023-03-01T16:10:00Z</dcterms:created>
  <dcterms:modified xsi:type="dcterms:W3CDTF">2023-04-03T18:59:00Z</dcterms:modified>
</cp:coreProperties>
</file>