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814910C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023C52">
        <w:rPr>
          <w:rFonts w:cs="Times New Roman"/>
          <w:i/>
          <w:iCs/>
        </w:rPr>
        <w:t>2</w:t>
      </w:r>
      <w:r w:rsidRPr="008E74DA">
        <w:rPr>
          <w:rFonts w:cs="Times New Roman"/>
          <w:i/>
          <w:iCs/>
        </w:rPr>
        <w:t>/</w:t>
      </w:r>
      <w:r w:rsidR="00023C52">
        <w:rPr>
          <w:rFonts w:cs="Times New Roman"/>
          <w:i/>
          <w:iCs/>
        </w:rPr>
        <w:t>0</w:t>
      </w:r>
      <w:r w:rsidR="00792659">
        <w:rPr>
          <w:rFonts w:cs="Times New Roman"/>
          <w:i/>
          <w:iCs/>
        </w:rPr>
        <w:t>5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Kudenov,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Jia-sen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24707DC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Gangavarapu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The RodentGPOmics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Accepted </w:t>
            </w:r>
            <w:r w:rsidR="00FD6E4A">
              <w:rPr>
                <w:rFonts w:cs="Times New Roman"/>
                <w:color w:val="222222"/>
                <w:shd w:val="clear" w:color="auto" w:fill="FFFFFF"/>
              </w:rPr>
              <w:t>at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Schuemie,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Gangavarapu,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p.btae030.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p.vead051.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Trovão,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p.e1011419.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pp.e01091-22.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Getah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Virome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Henipaviruses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Respirovirus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StatsRef: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(Cornus)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deltacoronavirus.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*equal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Blestsa,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Gryseels,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Vrancken,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teno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lastRenderedPageBreak/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Plasmonics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704C46A6" w:rsidR="00053566" w:rsidRPr="008E74DA" w:rsidRDefault="00770CAB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Brusselmans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Lemey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>reconstruction in TreeAnnotator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7D9DF001" w:rsidR="00DB52EC" w:rsidRPr="008E74DA" w:rsidRDefault="00724753" w:rsidP="004753F7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</w:t>
            </w:r>
            <w:r w:rsidR="005A1297">
              <w:rPr>
                <w:rFonts w:cs="Times New Roman"/>
                <w:i/>
              </w:rPr>
              <w:t>revision</w:t>
            </w:r>
            <w:r>
              <w:rPr>
                <w:rFonts w:cs="Times New Roman"/>
                <w:i/>
              </w:rPr>
              <w:t xml:space="preserve"> </w:t>
            </w:r>
            <w:r w:rsidR="00EF07E6">
              <w:rPr>
                <w:rFonts w:cs="Times New Roman"/>
                <w:i/>
              </w:rPr>
              <w:t>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Redelings,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</w:t>
              </w:r>
              <w:r w:rsidRPr="00F22769">
                <w:rPr>
                  <w:rStyle w:val="Hyperlink"/>
                  <w:rFonts w:cs="Times New Roman"/>
                </w:rPr>
                <w:t>2</w:t>
              </w:r>
              <w:r w:rsidRPr="00F22769">
                <w:rPr>
                  <w:rStyle w:val="Hyperlink"/>
                  <w:rFonts w:cs="Times New Roman"/>
                </w:rPr>
                <w:t>02</w:t>
              </w:r>
              <w:r w:rsidRPr="00F22769">
                <w:rPr>
                  <w:rStyle w:val="Hyperlink"/>
                  <w:rFonts w:cs="Times New Roman"/>
                </w:rPr>
                <w:t>5</w:t>
              </w:r>
              <w:r w:rsidRPr="00F22769">
                <w:rPr>
                  <w:rStyle w:val="Hyperlink"/>
                  <w:rFonts w:cs="Times New Roman"/>
                </w:rPr>
                <w:t>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>
              <w:rPr>
                <w:rStyle w:val="Hyperlink"/>
                <w:rFonts w:cs="Times New Roman"/>
                <w:u w:val="none"/>
              </w:rPr>
              <w:t>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lastRenderedPageBreak/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Sinchita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Pluscht</w:t>
            </w:r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Jiayun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7E1D6479" w14:textId="20BEAB56" w:rsidR="00104F4F" w:rsidRP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(CViSB)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8233C4" w:rsidRPr="008E74DA" w14:paraId="6285EABC" w14:textId="77777777" w:rsidTr="003A2894">
        <w:tc>
          <w:tcPr>
            <w:tcW w:w="4036" w:type="pct"/>
          </w:tcPr>
          <w:p w14:paraId="13FE7D3A" w14:textId="77777777" w:rsidR="008233C4" w:rsidRPr="00D559AA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0F525199" w14:textId="77777777" w:rsidR="00527279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="00527279"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7657025A" w14:textId="7ABEE6D6" w:rsidR="008233C4" w:rsidRPr="008E74DA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="00527279">
              <w:rPr>
                <w:rFonts w:cs="Times New Roman"/>
              </w:rPr>
              <w:t>Marc A. Suchard</w:t>
            </w:r>
          </w:p>
          <w:p w14:paraId="03022704" w14:textId="088EF263" w:rsidR="008233C4" w:rsidRPr="008E74DA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="00527279">
              <w:rPr>
                <w:rFonts w:cs="Times New Roman"/>
              </w:rPr>
              <w:t>Xiang Ji</w:t>
            </w:r>
          </w:p>
          <w:p w14:paraId="049F82B9" w14:textId="77777777" w:rsidR="008233C4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99F849E" w14:textId="7F595565" w:rsidR="00527279" w:rsidRPr="008E74DA" w:rsidRDefault="00527279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7666A482" w14:textId="30FBCE53" w:rsidR="008233C4" w:rsidRPr="008E74DA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E14774">
              <w:rPr>
                <w:rFonts w:cs="Times New Roman"/>
              </w:rPr>
              <w:t xml:space="preserve">In </w:t>
            </w:r>
            <w:r w:rsidR="00803C92">
              <w:rPr>
                <w:rFonts w:cs="Times New Roman"/>
              </w:rPr>
              <w:t>p</w:t>
            </w:r>
            <w:r w:rsidR="00E14774">
              <w:rPr>
                <w:rFonts w:cs="Times New Roman"/>
              </w:rPr>
              <w:t>reparation</w:t>
            </w:r>
          </w:p>
        </w:tc>
        <w:tc>
          <w:tcPr>
            <w:tcW w:w="964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3A2894">
        <w:tc>
          <w:tcPr>
            <w:tcW w:w="4036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Principle Investigator: </w:t>
            </w:r>
            <w:r>
              <w:rPr>
                <w:rFonts w:cs="Times New Roman"/>
                <w:sz w:val="24"/>
                <w:szCs w:val="24"/>
              </w:rPr>
              <w:t>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Co-Investigators: </w:t>
            </w:r>
            <w:r>
              <w:rPr>
                <w:rFonts w:cs="Times New Roman"/>
                <w:sz w:val="24"/>
                <w:szCs w:val="24"/>
              </w:rPr>
              <w:t>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</w:t>
            </w:r>
            <w:r w:rsidR="008233C4">
              <w:rPr>
                <w:rFonts w:cs="Times New Roman"/>
                <w:sz w:val="24"/>
                <w:szCs w:val="24"/>
              </w:rPr>
              <w:t>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4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3A2894">
        <w:tc>
          <w:tcPr>
            <w:tcW w:w="4036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interlocus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4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503112">
        <w:tc>
          <w:tcPr>
            <w:tcW w:w="4036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4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23CEA1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Pengbo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AsiaEvo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Tai’an,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Plos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3E99E189" w14:textId="77777777" w:rsidR="00040F85" w:rsidRDefault="00040F85" w:rsidP="004C0FD6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 10/26/2024</w:t>
            </w:r>
          </w:p>
          <w:p w14:paraId="66C93A5D" w14:textId="61732A16" w:rsidR="005B1AB6" w:rsidRPr="005826DA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lastRenderedPageBreak/>
              <w:t>Volunteer, Boys at Tulane in STEM (BATS), 02/01/2025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586B2" w14:textId="77777777" w:rsidR="00DA7B38" w:rsidRDefault="00DA7B38">
      <w:pPr>
        <w:spacing w:after="0"/>
      </w:pPr>
      <w:r>
        <w:separator/>
      </w:r>
    </w:p>
  </w:endnote>
  <w:endnote w:type="continuationSeparator" w:id="0">
    <w:p w14:paraId="5FDB3F69" w14:textId="77777777" w:rsidR="00DA7B38" w:rsidRDefault="00DA7B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9A848" w14:textId="77777777" w:rsidR="00DA7B38" w:rsidRDefault="00DA7B38">
      <w:pPr>
        <w:spacing w:after="0"/>
      </w:pPr>
      <w:r>
        <w:separator/>
      </w:r>
    </w:p>
  </w:footnote>
  <w:footnote w:type="continuationSeparator" w:id="0">
    <w:p w14:paraId="0CBFD892" w14:textId="77777777" w:rsidR="00DA7B38" w:rsidRDefault="00DA7B38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1FA9"/>
    <w:rsid w:val="000221C4"/>
    <w:rsid w:val="0002301F"/>
    <w:rsid w:val="0002304B"/>
    <w:rsid w:val="00023C52"/>
    <w:rsid w:val="00024222"/>
    <w:rsid w:val="000248EC"/>
    <w:rsid w:val="00024CC7"/>
    <w:rsid w:val="00026611"/>
    <w:rsid w:val="000307E0"/>
    <w:rsid w:val="00030E4A"/>
    <w:rsid w:val="00032660"/>
    <w:rsid w:val="00032D14"/>
    <w:rsid w:val="00040F85"/>
    <w:rsid w:val="000413EB"/>
    <w:rsid w:val="00044C13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1D74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41E3"/>
    <w:rsid w:val="002E4DDB"/>
    <w:rsid w:val="002E6A4A"/>
    <w:rsid w:val="002E76EA"/>
    <w:rsid w:val="002F0119"/>
    <w:rsid w:val="002F1A88"/>
    <w:rsid w:val="002F2D32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37AE3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94174"/>
    <w:rsid w:val="00494179"/>
    <w:rsid w:val="004A0793"/>
    <w:rsid w:val="004A1899"/>
    <w:rsid w:val="004A1E62"/>
    <w:rsid w:val="004A32A9"/>
    <w:rsid w:val="004A3355"/>
    <w:rsid w:val="004A69EC"/>
    <w:rsid w:val="004B0412"/>
    <w:rsid w:val="004B0F87"/>
    <w:rsid w:val="004B1261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E15"/>
    <w:rsid w:val="007625FB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D86"/>
    <w:rsid w:val="007B3E6A"/>
    <w:rsid w:val="007B5B1B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4E89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A7B38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477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18F1"/>
    <w:rsid w:val="00E52C49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4841</Words>
  <Characters>27595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2025-02-05T22:27:00Z</cp:lastPrinted>
  <dcterms:created xsi:type="dcterms:W3CDTF">2025-02-05T22:27:00Z</dcterms:created>
  <dcterms:modified xsi:type="dcterms:W3CDTF">2025-02-05T22:27:00Z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