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3,040 个（27.4%）属 CBS、ICMP、CGMCC 三个有公开机读目录者，可核率因机构覆盖不同而在属间相差约两倍（40.9%–18.6%）。经反向审计修正后，可核号中的号级不一致率为 </w:t>
      </w:r>
      <w:r>
        <w:rPr>
          <w:b/>
        </w:rPr>
        <w:t>13.3%</w:t>
      </w:r>
      <w:r>
        <w:t xml:space="preserve">（另有 974 条号级不一致落在无可机读目录的号上，不进入该率的分母）。三属共 </w:t>
      </w:r>
      <w:r>
        <w:rPr>
          <w:b/>
        </w:rPr>
        <w:t>160</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75.0% 来自 Diaporthe</w:t>
      </w:r>
      <w:r>
        <w:t xml:space="preserve">（120/160），因此「支持 MycoBank」这一方向不能直接外推到另两属。此外另有 </w:t>
      </w:r>
      <w:r>
        <w:rPr>
          <w:b/>
        </w:rPr>
        <w:t>41 条</w:t>
      </w:r>
      <w:r>
        <w:t xml:space="preserve">（不计入上述 160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上，1,505 条不一致中 </w:t>
      </w:r>
      <w:r>
        <w:rPr>
          <w:b/>
        </w:rPr>
        <w:t>668 条（44.4%）的「号」根本不是机构号</w:t>
      </w:r>
      <w:r>
        <w:t>、仅 455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3,040 (27.4%) belong to collections with machine-readable catalogues; verifiability differed two-fold among genera (40.9%–18.6%), driven by collection coverage rather than record quality. After the reverse audit, the number-level discrepancy rate among verifiable numbers was 13.3%;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75.0% of these conflicts (117/153) come from Diaporthe, this direction should not be extrapolated to the other two genera. A further 41 names proved to be spelling or gender-ending variants; 194 names in total point to a different name in MycoBank.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1,505 discrepancies (44.4%) involve numbers that are not institutional accessions at all, and only 455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72.6%）。③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t>先给三个总数的定义与筛选流程（表 3、图 1），再依次回答三问：能核对多少、有多少不一致、这个数可不可信。</w:t>
      </w:r>
    </w:p>
    <w:p>
      <w:pPr>
        <w:ind w:firstLine="0"/>
      </w:pPr>
      <w:r>
        <w:rPr>
          <w:b/>
        </w:rPr>
        <w:t>表 3</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3,040</w:t>
            </w:r>
          </w:p>
        </w:tc>
        <w:tc>
          <w:tcPr>
            <w:tcW w:type="dxa" w:w="2268"/>
          </w:tcPr>
          <w:p>
            <w:pPr>
              <w:jc w:val="center"/>
            </w:pPr>
            <w:r>
              <w:rPr>
                <w:sz w:val="18"/>
              </w:rPr>
            </w:r>
            <w:r>
              <w:rPr>
                <w:sz w:val="18"/>
              </w:rPr>
              <w:t>27.4%</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8,063</w:t>
            </w:r>
          </w:p>
        </w:tc>
        <w:tc>
          <w:tcPr>
            <w:tcW w:type="dxa" w:w="2268"/>
          </w:tcPr>
          <w:p>
            <w:pPr>
              <w:jc w:val="center"/>
            </w:pPr>
            <w:r>
              <w:rPr>
                <w:sz w:val="18"/>
              </w:rPr>
            </w:r>
            <w:r>
              <w:rPr>
                <w:sz w:val="18"/>
              </w:rPr>
              <w:t>72.6%</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三属可核率相差约两倍（40.9% ÷ 18.6% = 2.20；表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不可核」堆叠（绝对数），柱顶为可核率（40.9%、22.5%、18.6%）。</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1,487</w:t>
            </w:r>
          </w:p>
        </w:tc>
        <w:tc>
          <w:tcPr>
            <w:tcW w:type="dxa" w:w="1008"/>
          </w:tcPr>
          <w:p>
            <w:pPr>
              <w:jc w:val="center"/>
            </w:pPr>
            <w:r>
              <w:rPr>
                <w:sz w:val="18"/>
              </w:rPr>
            </w:r>
            <w:r>
              <w:rPr>
                <w:sz w:val="18"/>
              </w:rPr>
              <w:t>604</w:t>
            </w:r>
          </w:p>
        </w:tc>
        <w:tc>
          <w:tcPr>
            <w:tcW w:type="dxa" w:w="1008"/>
          </w:tcPr>
          <w:p>
            <w:pPr>
              <w:jc w:val="center"/>
            </w:pPr>
            <w:r>
              <w:rPr>
                <w:sz w:val="18"/>
              </w:rPr>
            </w:r>
            <w:r>
              <w:rPr>
                <w:sz w:val="18"/>
              </w:rPr>
              <w:t>1,110</w:t>
            </w:r>
          </w:p>
        </w:tc>
        <w:tc>
          <w:tcPr>
            <w:tcW w:type="dxa" w:w="1008"/>
          </w:tcPr>
          <w:p>
            <w:pPr>
              <w:jc w:val="center"/>
            </w:pPr>
            <w:r>
              <w:rPr>
                <w:sz w:val="18"/>
              </w:rPr>
            </w:r>
            <w:r>
              <w:rPr>
                <w:sz w:val="18"/>
              </w:rPr>
              <w:t>85</w:t>
            </w:r>
          </w:p>
        </w:tc>
        <w:tc>
          <w:tcPr>
            <w:tcW w:type="dxa" w:w="1008"/>
          </w:tcPr>
          <w:p>
            <w:pPr>
              <w:jc w:val="center"/>
            </w:pPr>
            <w:r>
              <w:rPr>
                <w:sz w:val="18"/>
              </w:rPr>
            </w:r>
            <w:r>
              <w:rPr>
                <w:sz w:val="18"/>
              </w:rPr>
              <w:t>33</w:t>
            </w:r>
          </w:p>
        </w:tc>
        <w:tc>
          <w:tcPr>
            <w:tcW w:type="dxa" w:w="1008"/>
          </w:tcPr>
          <w:p>
            <w:pPr>
              <w:jc w:val="center"/>
            </w:pPr>
            <w:r>
              <w:rPr>
                <w:sz w:val="18"/>
              </w:rPr>
            </w:r>
            <w:r>
              <w:rPr>
                <w:b/>
                <w:sz w:val="18"/>
              </w:rPr>
              <w:t>1,832</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946</w:t>
            </w:r>
          </w:p>
        </w:tc>
        <w:tc>
          <w:tcPr>
            <w:tcW w:type="dxa" w:w="1008"/>
          </w:tcPr>
          <w:p>
            <w:pPr>
              <w:jc w:val="center"/>
            </w:pPr>
            <w:r>
              <w:rPr>
                <w:sz w:val="18"/>
              </w:rPr>
            </w:r>
            <w:r>
              <w:rPr>
                <w:sz w:val="18"/>
              </w:rPr>
              <w:t>604</w:t>
            </w:r>
          </w:p>
        </w:tc>
        <w:tc>
          <w:tcPr>
            <w:tcW w:type="dxa" w:w="1008"/>
          </w:tcPr>
          <w:p>
            <w:pPr>
              <w:jc w:val="center"/>
            </w:pPr>
            <w:r>
              <w:rPr>
                <w:sz w:val="18"/>
              </w:rPr>
            </w:r>
            <w:r>
              <w:rPr>
                <w:sz w:val="18"/>
              </w:rPr>
              <w:t>1,626</w:t>
            </w:r>
          </w:p>
        </w:tc>
        <w:tc>
          <w:tcPr>
            <w:tcW w:type="dxa" w:w="1008"/>
          </w:tcPr>
          <w:p>
            <w:pPr>
              <w:jc w:val="center"/>
            </w:pPr>
            <w:r>
              <w:rPr>
                <w:sz w:val="18"/>
              </w:rPr>
            </w:r>
            <w:r>
              <w:rPr>
                <w:sz w:val="18"/>
              </w:rPr>
              <w:t>106</w:t>
            </w:r>
          </w:p>
        </w:tc>
        <w:tc>
          <w:tcPr>
            <w:tcW w:type="dxa" w:w="1008"/>
          </w:tcPr>
          <w:p>
            <w:pPr>
              <w:jc w:val="center"/>
            </w:pPr>
            <w:r>
              <w:rPr>
                <w:sz w:val="18"/>
              </w:rPr>
            </w:r>
            <w:r>
              <w:rPr>
                <w:sz w:val="18"/>
              </w:rPr>
              <w:t>7</w:t>
            </w:r>
          </w:p>
        </w:tc>
        <w:tc>
          <w:tcPr>
            <w:tcW w:type="dxa" w:w="1008"/>
          </w:tcPr>
          <w:p>
            <w:pPr>
              <w:jc w:val="center"/>
            </w:pPr>
            <w:r>
              <w:rPr>
                <w:sz w:val="18"/>
              </w:rPr>
            </w:r>
            <w:r>
              <w:rPr>
                <w:b/>
                <w:sz w:val="18"/>
              </w:rPr>
              <w:t>2,343</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607</w:t>
            </w:r>
          </w:p>
        </w:tc>
        <w:tc>
          <w:tcPr>
            <w:tcW w:type="dxa" w:w="1008"/>
          </w:tcPr>
          <w:p>
            <w:pPr>
              <w:jc w:val="center"/>
            </w:pPr>
            <w:r>
              <w:rPr>
                <w:sz w:val="18"/>
              </w:rPr>
            </w:r>
            <w:r>
              <w:rPr>
                <w:sz w:val="18"/>
              </w:rPr>
              <w:t>297</w:t>
            </w:r>
          </w:p>
        </w:tc>
        <w:tc>
          <w:tcPr>
            <w:tcW w:type="dxa" w:w="1008"/>
          </w:tcPr>
          <w:p>
            <w:pPr>
              <w:jc w:val="center"/>
            </w:pPr>
            <w:r>
              <w:rPr>
                <w:sz w:val="18"/>
              </w:rPr>
            </w:r>
            <w:r>
              <w:rPr>
                <w:sz w:val="18"/>
              </w:rPr>
              <w:t>1,131</w:t>
            </w:r>
          </w:p>
        </w:tc>
        <w:tc>
          <w:tcPr>
            <w:tcW w:type="dxa" w:w="1008"/>
          </w:tcPr>
          <w:p>
            <w:pPr>
              <w:jc w:val="center"/>
            </w:pPr>
            <w:r>
              <w:rPr>
                <w:sz w:val="18"/>
              </w:rPr>
            </w:r>
            <w:r>
              <w:rPr>
                <w:sz w:val="18"/>
              </w:rPr>
              <w:t>46</w:t>
            </w:r>
          </w:p>
        </w:tc>
        <w:tc>
          <w:tcPr>
            <w:tcW w:type="dxa" w:w="1008"/>
          </w:tcPr>
          <w:p>
            <w:pPr>
              <w:jc w:val="center"/>
            </w:pPr>
            <w:r>
              <w:rPr>
                <w:sz w:val="18"/>
              </w:rPr>
            </w:r>
            <w:r>
              <w:rPr>
                <w:sz w:val="18"/>
              </w:rPr>
              <w:t>120</w:t>
            </w:r>
          </w:p>
        </w:tc>
        <w:tc>
          <w:tcPr>
            <w:tcW w:type="dxa" w:w="1008"/>
          </w:tcPr>
          <w:p>
            <w:pPr>
              <w:jc w:val="center"/>
            </w:pPr>
            <w:r>
              <w:rPr>
                <w:sz w:val="18"/>
              </w:rPr>
            </w:r>
            <w:r>
              <w:rPr>
                <w:b/>
                <w:sz w:val="18"/>
              </w:rPr>
              <w:t>1,594</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3,040</w:t>
            </w:r>
          </w:p>
        </w:tc>
        <w:tc>
          <w:tcPr>
            <w:tcW w:type="dxa" w:w="1008"/>
          </w:tcPr>
          <w:p>
            <w:pPr>
              <w:jc w:val="center"/>
            </w:pPr>
            <w:r>
              <w:rPr>
                <w:sz w:val="18"/>
              </w:rPr>
            </w:r>
            <w:r>
              <w:rPr>
                <w:b/>
                <w:sz w:val="18"/>
              </w:rPr>
              <w:t>1,505</w:t>
            </w:r>
          </w:p>
        </w:tc>
        <w:tc>
          <w:tcPr>
            <w:tcW w:type="dxa" w:w="1008"/>
          </w:tcPr>
          <w:p>
            <w:pPr>
              <w:jc w:val="center"/>
            </w:pPr>
            <w:r>
              <w:rPr>
                <w:sz w:val="18"/>
              </w:rPr>
            </w:r>
            <w:r>
              <w:rPr>
                <w:b/>
                <w:sz w:val="18"/>
              </w:rPr>
              <w:t>3,867</w:t>
            </w:r>
          </w:p>
        </w:tc>
        <w:tc>
          <w:tcPr>
            <w:tcW w:type="dxa" w:w="1008"/>
          </w:tcPr>
          <w:p>
            <w:pPr>
              <w:jc w:val="center"/>
            </w:pPr>
            <w:r>
              <w:rPr>
                <w:sz w:val="18"/>
              </w:rPr>
            </w:r>
            <w:r>
              <w:rPr>
                <w:b/>
                <w:sz w:val="18"/>
              </w:rPr>
              <w:t>237</w:t>
            </w:r>
          </w:p>
        </w:tc>
        <w:tc>
          <w:tcPr>
            <w:tcW w:type="dxa" w:w="1008"/>
          </w:tcPr>
          <w:p>
            <w:pPr>
              <w:jc w:val="center"/>
            </w:pPr>
            <w:r>
              <w:rPr>
                <w:sz w:val="18"/>
              </w:rPr>
            </w:r>
            <w:r>
              <w:rPr>
                <w:b/>
                <w:sz w:val="18"/>
              </w:rPr>
              <w:t>160</w:t>
            </w:r>
          </w:p>
        </w:tc>
        <w:tc>
          <w:tcPr>
            <w:tcW w:type="dxa" w:w="1008"/>
          </w:tcPr>
          <w:p>
            <w:pPr>
              <w:jc w:val="center"/>
            </w:pPr>
            <w:r>
              <w:rPr>
                <w:sz w:val="18"/>
              </w:rPr>
            </w:r>
            <w:r>
              <w:rPr>
                <w:b/>
                <w:sz w:val="18"/>
              </w:rPr>
              <w:t>5,769</w:t>
            </w:r>
          </w:p>
        </w:tc>
      </w:tr>
    </w:tbl>
    <w:p/>
    <w:p>
      <w:pPr>
        <w:spacing w:after="60"/>
        <w:ind w:left="454"/>
      </w:pPr>
      <w:r>
        <w:rPr>
          <w:color w:val="444444"/>
          <w:sz w:val="19"/>
        </w:rPr>
        <w:t>四类互斥，逐属相加即为「合计发现」。各属可核率见图 2A（40.9% / 22.5% / 18.6%，合计 27.4%）。</w:t>
      </w:r>
    </w:p>
    <w:p>
      <w:pPr>
        <w:ind w:firstLine="0"/>
      </w:pPr>
      <w:r>
        <w:rPr>
          <w:b/>
        </w:rPr>
        <w:t>有多少不一致。</w:t>
      </w:r>
      <w:r>
        <w:t xml:space="preserve"> 5,769 条发现按性质分四类，四者互斥：</w:t>
      </w:r>
    </w:p>
    <w:p>
      <w:pPr>
        <w:pStyle w:val="ListBullet"/>
        <w:spacing w:after="60"/>
      </w:pPr>
      <w:r>
        <w:rPr>
          <w:b/>
        </w:rPr>
        <w:t>号级不一致 1,505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条」不是同一个量，纯属数值巧合）与「号不存在」188 条（此三类合计 1,047 条，余 455 条分散在并名冲突、基名属、别的属等次要类别；后两类各有「看似错、其实不是」的解释，见 4.3 与下文）。</w:t>
      </w:r>
    </w:p>
    <w:p>
      <w:pPr>
        <w:pStyle w:val="ListBullet"/>
        <w:spacing w:after="60"/>
      </w:pPr>
      <w:r>
        <w:rPr>
          <w:b/>
        </w:rPr>
        <w:t>不确定 3,867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237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160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1,505</w:t>
      </w:r>
      <w:r>
        <w:t xml:space="preserve"> 个号级不一致单元格，其中 </w:t>
      </w:r>
      <w:r>
        <w:rPr>
          <w:b/>
        </w:rPr>
        <w:t>559 个落在 3,040 个可核号内</w:t>
      </w:r>
      <w:r>
        <w:t xml:space="preserve">，另 </w:t>
      </w:r>
      <w:r>
        <w:rPr>
          <w:b/>
        </w:rPr>
        <w:t>974 个（63.6%）落在 8,063 个不可核号内</w:t>
      </w:r>
      <w:r>
        <w:t>。后者不进分母，是因为它们的号没有机读目录可比对，只能比较 GenBank 记录名与 NCBI 分类名，与「以机构目录为准」的口径不同。因此全文的号级不一致率只描述可核号这一子集（占全部号级单元格 27.4%），不能外推为三属整体。</w:t>
      </w:r>
    </w:p>
    <w:p>
      <w:pPr>
        <w:ind w:firstLine="0"/>
      </w:pPr>
      <w:r>
        <w:rPr>
          <w:b/>
        </w:rPr>
        <w:t>率是多少。</w:t>
      </w:r>
      <w:r>
        <w:t xml:space="preserve"> 号级不一致里最大的一类「号不存在」（188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188 条中 </w:t>
      </w:r>
      <w:r>
        <w:rPr>
          <w:b/>
        </w:rPr>
        <w:t>156 条（83.0%）实为机构未收录</w:t>
      </w:r>
      <w:r>
        <w:t>；21 条属基因组级大记录、未能核对原文；7 条无引用，3 条种名不符，1 条查询失败。</w:t>
      </w:r>
    </w:p>
    <w:p>
      <w:pPr>
        <w:ind w:firstLine="0"/>
      </w:pPr>
      <w:r>
        <w:t>如 2.2 所述，1,505 个号级不一致中只有 559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21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1,487</w:t>
            </w:r>
          </w:p>
        </w:tc>
        <w:tc>
          <w:tcPr>
            <w:tcW w:type="dxa" w:w="1814"/>
          </w:tcPr>
          <w:p>
            <w:pPr>
              <w:jc w:val="center"/>
            </w:pPr>
            <w:r>
              <w:rPr>
                <w:sz w:val="18"/>
              </w:rPr>
            </w:r>
            <w:r>
              <w:rPr>
                <w:sz w:val="18"/>
              </w:rPr>
              <w:t>299（20.1%）</w:t>
            </w:r>
          </w:p>
        </w:tc>
        <w:tc>
          <w:tcPr>
            <w:tcW w:type="dxa" w:w="1814"/>
          </w:tcPr>
          <w:p>
            <w:pPr>
              <w:jc w:val="center"/>
            </w:pPr>
            <w:r>
              <w:rPr>
                <w:sz w:val="18"/>
              </w:rPr>
            </w:r>
            <w:r>
              <w:rPr>
                <w:sz w:val="18"/>
              </w:rPr>
              <w:t>188（</w:t>
            </w:r>
            <w:r>
              <w:rPr>
                <w:b/>
                <w:sz w:val="18"/>
              </w:rPr>
              <w:t>12.6%</w:t>
            </w:r>
            <w:r>
              <w:rPr>
                <w:sz w:val="18"/>
              </w:rPr>
              <w:t>）</w:t>
            </w:r>
          </w:p>
        </w:tc>
        <w:tc>
          <w:tcPr>
            <w:tcW w:type="dxa" w:w="1814"/>
          </w:tcPr>
          <w:p>
            <w:pPr>
              <w:jc w:val="center"/>
            </w:pPr>
            <w:r>
              <w:rPr>
                <w:sz w:val="18"/>
              </w:rPr>
            </w:r>
            <w:r>
              <w:rPr>
                <w:sz w:val="18"/>
              </w:rPr>
              <w:t>176（11.8%）</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946</w:t>
            </w:r>
          </w:p>
        </w:tc>
        <w:tc>
          <w:tcPr>
            <w:tcW w:type="dxa" w:w="1814"/>
          </w:tcPr>
          <w:p>
            <w:pPr>
              <w:jc w:val="center"/>
            </w:pPr>
            <w:r>
              <w:rPr>
                <w:sz w:val="18"/>
              </w:rPr>
            </w:r>
            <w:r>
              <w:rPr>
                <w:sz w:val="18"/>
              </w:rPr>
              <w:t>173（18.3%）</w:t>
            </w:r>
          </w:p>
        </w:tc>
        <w:tc>
          <w:tcPr>
            <w:tcW w:type="dxa" w:w="1814"/>
          </w:tcPr>
          <w:p>
            <w:pPr>
              <w:jc w:val="center"/>
            </w:pPr>
            <w:r>
              <w:rPr>
                <w:sz w:val="18"/>
              </w:rPr>
            </w:r>
            <w:r>
              <w:rPr>
                <w:sz w:val="18"/>
              </w:rPr>
              <w:t>141（</w:t>
            </w:r>
            <w:r>
              <w:rPr>
                <w:b/>
                <w:sz w:val="18"/>
              </w:rPr>
              <w:t>14.9%</w:t>
            </w:r>
            <w:r>
              <w:rPr>
                <w:sz w:val="18"/>
              </w:rPr>
              <w:t>）</w:t>
            </w:r>
          </w:p>
        </w:tc>
        <w:tc>
          <w:tcPr>
            <w:tcW w:type="dxa" w:w="1814"/>
          </w:tcPr>
          <w:p>
            <w:pPr>
              <w:jc w:val="center"/>
            </w:pPr>
            <w:r>
              <w:rPr>
                <w:sz w:val="18"/>
              </w:rPr>
            </w:r>
            <w:r>
              <w:rPr>
                <w:sz w:val="18"/>
              </w:rPr>
              <w:t>132（14.0%）</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607</w:t>
            </w:r>
          </w:p>
        </w:tc>
        <w:tc>
          <w:tcPr>
            <w:tcW w:type="dxa" w:w="1814"/>
          </w:tcPr>
          <w:p>
            <w:pPr>
              <w:jc w:val="center"/>
            </w:pPr>
            <w:r>
              <w:rPr>
                <w:sz w:val="18"/>
              </w:rPr>
            </w:r>
            <w:r>
              <w:rPr>
                <w:sz w:val="18"/>
              </w:rPr>
              <w:t>87（14.3%）</w:t>
            </w:r>
          </w:p>
        </w:tc>
        <w:tc>
          <w:tcPr>
            <w:tcW w:type="dxa" w:w="1814"/>
          </w:tcPr>
          <w:p>
            <w:pPr>
              <w:jc w:val="center"/>
            </w:pPr>
            <w:r>
              <w:rPr>
                <w:sz w:val="18"/>
              </w:rPr>
            </w:r>
            <w:r>
              <w:rPr>
                <w:sz w:val="18"/>
              </w:rPr>
              <w:t>74（</w:t>
            </w:r>
            <w:r>
              <w:rPr>
                <w:b/>
                <w:sz w:val="18"/>
              </w:rPr>
              <w:t>12.2%</w:t>
            </w:r>
            <w:r>
              <w:rPr>
                <w:sz w:val="18"/>
              </w:rPr>
              <w:t>）</w:t>
            </w:r>
          </w:p>
        </w:tc>
        <w:tc>
          <w:tcPr>
            <w:tcW w:type="dxa" w:w="1814"/>
          </w:tcPr>
          <w:p>
            <w:pPr>
              <w:jc w:val="center"/>
            </w:pPr>
            <w:r>
              <w:rPr>
                <w:sz w:val="18"/>
              </w:rPr>
            </w:r>
            <w:r>
              <w:rPr>
                <w:sz w:val="18"/>
              </w:rPr>
              <w:t>74（12.2%）</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3,040</w:t>
            </w:r>
          </w:p>
        </w:tc>
        <w:tc>
          <w:tcPr>
            <w:tcW w:type="dxa" w:w="1814"/>
          </w:tcPr>
          <w:p>
            <w:pPr>
              <w:jc w:val="center"/>
            </w:pPr>
            <w:r>
              <w:rPr>
                <w:sz w:val="18"/>
              </w:rPr>
            </w:r>
            <w:r>
              <w:rPr>
                <w:b/>
                <w:sz w:val="18"/>
              </w:rPr>
              <w:t>559（18.4%）</w:t>
            </w:r>
          </w:p>
        </w:tc>
        <w:tc>
          <w:tcPr>
            <w:tcW w:type="dxa" w:w="1814"/>
          </w:tcPr>
          <w:p>
            <w:pPr>
              <w:jc w:val="center"/>
            </w:pPr>
            <w:r>
              <w:rPr>
                <w:sz w:val="18"/>
              </w:rPr>
            </w:r>
            <w:r>
              <w:rPr>
                <w:b/>
                <w:sz w:val="18"/>
              </w:rPr>
              <w:t>403（13.3%）</w:t>
            </w:r>
          </w:p>
        </w:tc>
        <w:tc>
          <w:tcPr>
            <w:tcW w:type="dxa" w:w="1814"/>
          </w:tcPr>
          <w:p>
            <w:pPr>
              <w:jc w:val="center"/>
            </w:pPr>
            <w:r>
              <w:rPr>
                <w:sz w:val="18"/>
              </w:rPr>
            </w:r>
            <w:r>
              <w:rPr>
                <w:b/>
                <w:sz w:val="18"/>
              </w:rPr>
              <w:t>382（12.6%）</w:t>
            </w:r>
          </w:p>
        </w:tc>
      </w:tr>
    </w:tbl>
    <w:p/>
    <w:p>
      <w:pPr>
        <w:ind w:firstLine="0"/>
      </w:pPr>
      <w:r>
        <w:t>本文以</w:t>
      </w:r>
      <w:r>
        <w:rPr>
          <w:b/>
        </w:rPr>
        <w:t>保守口径 13.3%</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13.3% 的 95% 置信区间为 12.1–14.5%（图 3；Wilson 法，见 2.4）；修正前 18.4% 为 17.1–19.8%，乐观口径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559 条中 27.9% 是假阳性</w:t>
      </w:r>
      <w:r>
        <w:t>（156/559；乐观口径 31.5%），</w:t>
      </w:r>
      <w:r>
        <w:rPr>
          <w:b/>
        </w:rPr>
        <w:t>单以机构目录为真值会把率报成修正值的 1.39 倍</w:t>
      </w:r>
      <w:r>
        <w:t>（18.4% ÷ 13.3%；乐观口径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13.3%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13.3%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18.4%），蓝色实心点为修正后保守口径（合计 13.3%）；分母为各属可核号数（1,487 / 946 / 607）。</w:t>
      </w:r>
    </w:p>
    <w:p>
      <w:pPr>
        <w:ind w:firstLine="0"/>
      </w:pPr>
      <w:r>
        <w:rPr>
          <w:i/>
        </w:rPr>
        <w:t>Figure 3.</w:t>
      </w:r>
      <w:r>
        <w:t xml:space="preserve"> Genus-level discrepancy rates with Wilson 95% confidence intervals; dashed lines are the pooled rates. Open grey symbols, before reverse auditing (pooled 18.4%); filled blue symbols, conservative post-correction values (pooled 13.3%). Denominators: 1,487 / 946 / 607 verifiable accessions.</w:t>
      </w:r>
    </w:p>
    <w:p>
      <w:pPr>
        <w:pStyle w:val="Heading3"/>
      </w:pPr>
      <w:r>
        <w:t>3.2 种级同理：两库不是一正一误</w:t>
      </w:r>
    </w:p>
    <w:p>
      <w:pPr>
        <w:ind w:firstLine="0"/>
      </w:pPr>
      <w:r>
        <w:t xml:space="preserve">三属合计 </w:t>
      </w:r>
      <w:r>
        <w:rPr>
          <w:b/>
        </w:rPr>
        <w:t>160</w:t>
      </w:r>
      <w:r>
        <w:t xml:space="preserve"> 条种级分歧：Diaporthe 120 条（占该属物种的 22.5%、占全部分歧的 75.0%）、Colletotrichum 31 条、Trichoderma 5 条。</w:t>
      </w:r>
      <w:r>
        <w:rPr>
          <w:b/>
        </w:rPr>
        <w:t>全部逐条核查</w:t>
      </w:r>
      <w:r>
        <w:t>，结果如表 7：</w:t>
      </w:r>
    </w:p>
    <w:p>
      <w:pPr>
        <w:ind w:firstLine="0"/>
      </w:pPr>
      <w:r>
        <w:rPr>
          <w:b/>
        </w:rPr>
        <w:t>表 7</w:t>
      </w:r>
      <w:r>
        <w:t xml:space="preserve">　三属 160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同名异物（已对号）</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H 同名异物（无法对号）</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b/>
                <w:sz w:val="18"/>
              </w:rPr>
              <w:t>6</w:t>
            </w:r>
          </w:p>
        </w:tc>
        <w:tc>
          <w:tcPr>
            <w:tcW w:type="dxa" w:w="1512"/>
          </w:tcPr>
          <w:p>
            <w:pPr>
              <w:jc w:val="center"/>
            </w:pPr>
            <w:r>
              <w:rPr>
                <w:sz w:val="18"/>
              </w:rPr>
            </w:r>
            <w:r>
              <w:rPr>
                <w:sz w:val="18"/>
              </w:rPr>
              <w:t>同一学名对应两行、指向不同物种；该库未登记命名人，无法判定取哪一行</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sz w:val="18"/>
              </w:rPr>
              <w:t>T 类型冲突</w:t>
            </w:r>
          </w:p>
        </w:tc>
        <w:tc>
          <w:tcPr>
            <w:tcW w:type="dxa" w:w="1512"/>
          </w:tcPr>
          <w:p>
            <w:pPr>
              <w:jc w:val="center"/>
            </w:pPr>
            <w:r>
              <w:rPr>
                <w:sz w:val="18"/>
              </w:rPr>
            </w:r>
            <w:r>
              <w:rPr>
                <w:sz w:val="18"/>
              </w:rPr>
              <w:t>1</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1</w:t>
            </w:r>
          </w:p>
        </w:tc>
        <w:tc>
          <w:tcPr>
            <w:tcW w:type="dxa" w:w="1512"/>
          </w:tcPr>
          <w:p>
            <w:pPr>
              <w:jc w:val="center"/>
            </w:pPr>
            <w:r>
              <w:rPr>
                <w:sz w:val="18"/>
              </w:rPr>
            </w:r>
            <w:r>
              <w:rPr>
                <w:sz w:val="18"/>
              </w:rPr>
              <w:t>一方标模式、另一方标非模式，正面对撞</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120</w:t>
            </w:r>
          </w:p>
        </w:tc>
        <w:tc>
          <w:tcPr>
            <w:tcW w:type="dxa" w:w="1512"/>
          </w:tcPr>
          <w:p>
            <w:pPr>
              <w:jc w:val="center"/>
            </w:pPr>
            <w:r>
              <w:rPr>
                <w:sz w:val="18"/>
              </w:rPr>
            </w:r>
            <w:r>
              <w:rPr>
                <w:b/>
                <w:sz w:val="18"/>
              </w:rPr>
              <w:t>33</w:t>
            </w:r>
          </w:p>
        </w:tc>
        <w:tc>
          <w:tcPr>
            <w:tcW w:type="dxa" w:w="1512"/>
          </w:tcPr>
          <w:p>
            <w:pPr>
              <w:jc w:val="center"/>
            </w:pPr>
            <w:r>
              <w:rPr>
                <w:sz w:val="18"/>
              </w:rPr>
            </w:r>
            <w:r>
              <w:rPr>
                <w:b/>
                <w:sz w:val="18"/>
              </w:rPr>
              <w:t>7</w:t>
            </w:r>
          </w:p>
        </w:tc>
        <w:tc>
          <w:tcPr>
            <w:tcW w:type="dxa" w:w="1512"/>
          </w:tcPr>
          <w:p>
            <w:pPr>
              <w:jc w:val="center"/>
            </w:pPr>
            <w:r>
              <w:rPr>
                <w:sz w:val="18"/>
              </w:rPr>
            </w:r>
            <w:r>
              <w:rPr>
                <w:b/>
                <w:sz w:val="18"/>
              </w:rPr>
              <w:t>160</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160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75.0%，其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72.6%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72.6%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27.4%。这意味着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83.0%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三个属。三者可核率相差约两倍（40.9% ÷ 18.6% = 2.20），而这一差异来自机构覆盖而非属本身的记录质量，因此本文的率不能套到别的属上。</w:t>
      </w:r>
    </w:p>
    <w:p>
      <w:pPr>
        <w:pStyle w:val="ListNumber"/>
        <w:spacing w:after="60"/>
      </w:pPr>
      <w:r>
        <w:rPr>
          <w:b/>
        </w:rPr>
        <w:t>72.6%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160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1,505 条号级不一致中，</w:t>
      </w:r>
      <w:r>
        <w:rPr>
          <w:b/>
        </w:rPr>
        <w:t>668 条（44.4%）的「号」根本不是机构号</w:t>
      </w:r>
      <w:r>
        <w:t>、而是研究者工作编号；194 条（12.9%）申报为模式材料而机构目录无记录；188 条（12.5%）在机构目录中查不到；</w:t>
      </w:r>
      <w:r>
        <w:rPr>
          <w:b/>
        </w:rPr>
        <w:t>仅 455 条（30.2%）涉及名称冲突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160 虚报成 201（</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条（＝160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27.4%</w:t>
      </w:r>
      <w:r>
        <w:t xml:space="preserve"> 的号可核，可核号内不一致率 </w:t>
      </w:r>
      <w:r>
        <w:rPr>
          <w:b/>
        </w:rPr>
        <w:t>13.3%</w:t>
      </w:r>
      <w:r>
        <w:t xml:space="preserve">；以单一目录为真值会把率报高 </w:t>
      </w:r>
      <w:r>
        <w:rPr>
          <w:b/>
        </w:rPr>
        <w:t>1.39 倍</w:t>
      </w:r>
      <w:r>
        <w:t>（18.4% vs 13.3%），并把占「号不存在」</w:t>
      </w:r>
      <w:r>
        <w:rPr>
          <w:b/>
        </w:rPr>
        <w:t>83.0%</w:t>
      </w:r>
      <w:r>
        <w:t xml:space="preserve"> 的 156 个真实号（156/188）冤枉成编造——被误伤的是保藏中心，被高估的是率本身。因此任何「错误率」都必须与可核率、分母同时报告，且读作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DOI：10.5281/zenodo.23595593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v1.2.0（10.5281/zenodo.23595593）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160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名字关系五种情形｜表 2 证据分级｜表 3 三个总数｜表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