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上，1,532 条不一致中 </w:t>
      </w:r>
      <w:r>
        <w:rPr>
          <w:b/>
        </w:rPr>
        <w:t>668 条（43.6%）的「号」根本不是机构号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1,532 discrepancies (43.6%)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三属的「种级 taxon → 规范双名」转化率分别为 17.9%（408/2,277）、17.3%（445/2,574）、31.7%（507/1,600），提示各属在 NCBI 中的记录规范程度不同，因此不能用统一比例从一个属外推另一个属。全部核验由一条流水线分步执行，可用单条命令复现（见「数据与代码可用性」）。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三个总数，只有一个适合当分母。</w:t>
      </w:r>
      <w:r>
        <w:t xml:space="preserve"> 全部号级单元格 11,103 个；其中只有 3,192 个（28.7%）能在 CBS、ICMP、CGMCC 这三家保藏中心的公开机读目录里核对；余下 7,911 个（71.3%）所在的机构没有可机读目录，或只是研究者自己的工作编号。三家中心的身份是：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表 1</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比例怎么算。</w:t>
      </w:r>
      <w:r>
        <w:t xml:space="preserve"> 全文的「号级不一致率」一律是：号级不一致的单元格数 ÷ 能核对的 3,192 个。核对不了的那些既不进分子、也不进分母——若把它们算进分母，率会被稀释到没有意义；若把「查不了」当成「没问题」，又等于默认这部分零错误。这样取分母的理由见 4.3。</w:t>
      </w:r>
    </w:p>
    <w:p>
      <w:pPr>
        <w:ind w:firstLine="0"/>
      </w:pPr>
      <w:r>
        <w:rPr>
          <w:b/>
        </w:rPr>
        <w:t>可核号只承载了部分发现。</w:t>
      </w:r>
      <w:r>
        <w:t xml:space="preserve"> 全文共判出 </w:t>
      </w:r>
      <w:r>
        <w:rPr>
          <w:b/>
        </w:rPr>
        <w:t>1,532</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 xml:space="preserve">——该号是研究者工作编号而非机构编号、被申报为模式材料而机构目录无记录、或在该机构目录中根本查不到。1,532 条中 </w:t>
      </w:r>
      <w:r>
        <w:rPr>
          <w:b/>
        </w:rPr>
        <w:t>1,047 条（68.3%）属第 ② 类</w:t>
      </w:r>
      <w:r>
        <w:t>，其余 485 条属第 ① 类，</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 153 条 NCBI–MycoBank 分歧做了这种裁决（占全部发现的 2.6%）。因此全文的比例都读作「号级不一致率」，不是「错误率」。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：三个属的可核号来自不同机构（ICMP 在 Colletotrichum 的可核号中占 18.4%，在另两属仅 2.2% 与 5.4%），即便差异显著，它反映的也可能是这两个子集的机构构成不同，而非记录质量更差。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2）。其中换属（种加词不变、只换属名）占 21.6%，真异名（并入别的种）只占 14.1%——若把换属一并算作异名，Diaporthe 的异名数会虚增 44.8%。因此本文的判据是：</w:t>
      </w:r>
      <w:r>
        <w:rPr>
          <w:b/>
        </w:rPr>
        <w:t>种加词相同即同一物种改名，种加词不同才是物种被合并。</w:t>
      </w:r>
    </w:p>
    <w:p>
      <w:pPr>
        <w:ind w:firstLine="0"/>
      </w:pPr>
      <w:r>
        <w:rPr>
          <w:b/>
        </w:rPr>
        <w:t>表 2</w:t>
      </w:r>
      <w:r>
        <w:t xml:space="preserve">　名字关系的五种情形（含基线行；MycoBank 全表 426,834 行）</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关系</w:t>
            </w:r>
          </w:p>
        </w:tc>
        <w:tc>
          <w:tcPr>
            <w:tcW w:type="dxa" w:w="1814"/>
          </w:tcPr>
          <w:p>
            <w:pPr>
              <w:jc w:val="center"/>
            </w:pPr>
            <w:r>
              <w:rPr>
                <w:b/>
                <w:sz w:val="18"/>
              </w:rPr>
            </w:r>
            <w:r>
              <w:rPr>
                <w:b/>
                <w:sz w:val="18"/>
              </w:rPr>
              <w:t>判据</w:t>
            </w:r>
          </w:p>
        </w:tc>
        <w:tc>
          <w:tcPr>
            <w:tcW w:type="dxa" w:w="1814"/>
          </w:tcPr>
          <w:p>
            <w:pPr>
              <w:jc w:val="center"/>
            </w:pPr>
            <w:r>
              <w:rPr>
                <w:b/>
                <w:sz w:val="18"/>
              </w:rPr>
            </w:r>
            <w:r>
              <w:rPr>
                <w:b/>
                <w:sz w:val="18"/>
              </w:rPr>
              <w:t>行数</w:t>
            </w:r>
          </w:p>
        </w:tc>
        <w:tc>
          <w:tcPr>
            <w:tcW w:type="dxa" w:w="1814"/>
          </w:tcPr>
          <w:p>
            <w:pPr>
              <w:jc w:val="center"/>
            </w:pPr>
            <w:r>
              <w:rPr>
                <w:b/>
                <w:sz w:val="18"/>
              </w:rPr>
            </w:r>
            <w:r>
              <w:rPr>
                <w:b/>
                <w:sz w:val="18"/>
              </w:rPr>
              <w:t>占比</w:t>
            </w:r>
          </w:p>
        </w:tc>
        <w:tc>
          <w:tcPr>
            <w:tcW w:type="dxa" w:w="1814"/>
          </w:tcPr>
          <w:p>
            <w:pPr>
              <w:jc w:val="center"/>
            </w:pPr>
            <w:r>
              <w:rPr>
                <w:b/>
                <w:sz w:val="18"/>
              </w:rPr>
            </w:r>
            <w:r>
              <w:rPr>
                <w:b/>
                <w:sz w:val="18"/>
              </w:rPr>
              <w:t>是否同一物种</w:t>
            </w:r>
          </w:p>
        </w:tc>
      </w:tr>
      <w:tr>
        <w:tc>
          <w:tcPr>
            <w:tcW w:type="dxa" w:w="1814"/>
          </w:tcPr>
          <w:p>
            <w:pPr>
              <w:jc w:val="center"/>
            </w:pPr>
            <w:r>
              <w:rPr>
                <w:sz w:val="18"/>
              </w:rPr>
            </w:r>
            <w:r>
              <w:rPr>
                <w:sz w:val="18"/>
              </w:rPr>
              <w:t>自己即接受名</w:t>
            </w:r>
          </w:p>
        </w:tc>
        <w:tc>
          <w:tcPr>
            <w:tcW w:type="dxa" w:w="1814"/>
          </w:tcPr>
          <w:p>
            <w:pPr>
              <w:jc w:val="center"/>
            </w:pPr>
            <w:r>
              <w:rPr>
                <w:sz w:val="18"/>
              </w:rPr>
            </w:r>
            <w:r>
              <w:rPr>
                <w:sz w:val="18"/>
              </w:rPr>
              <w:t>两者相同</w:t>
            </w:r>
          </w:p>
        </w:tc>
        <w:tc>
          <w:tcPr>
            <w:tcW w:type="dxa" w:w="1814"/>
          </w:tcPr>
          <w:p>
            <w:pPr>
              <w:jc w:val="center"/>
            </w:pPr>
            <w:r>
              <w:rPr>
                <w:sz w:val="18"/>
              </w:rPr>
            </w:r>
            <w:r>
              <w:rPr>
                <w:sz w:val="18"/>
              </w:rPr>
              <w:t>247,077</w:t>
            </w:r>
          </w:p>
        </w:tc>
        <w:tc>
          <w:tcPr>
            <w:tcW w:type="dxa" w:w="1814"/>
          </w:tcPr>
          <w:p>
            <w:pPr>
              <w:jc w:val="center"/>
            </w:pPr>
            <w:r>
              <w:rPr>
                <w:sz w:val="18"/>
              </w:rPr>
            </w:r>
            <w:r>
              <w:rPr>
                <w:sz w:val="18"/>
              </w:rPr>
              <w:t>57.9%</w:t>
            </w:r>
          </w:p>
        </w:tc>
        <w:tc>
          <w:tcPr>
            <w:tcW w:type="dxa" w:w="1814"/>
          </w:tcPr>
          <w:p>
            <w:pPr>
              <w:jc w:val="center"/>
            </w:pPr>
            <w:r>
              <w:rPr>
                <w:sz w:val="18"/>
              </w:rPr>
            </w:r>
            <w:r>
              <w:rPr>
                <w:sz w:val="18"/>
              </w:rPr>
              <w:t>—</w:t>
            </w:r>
          </w:p>
        </w:tc>
      </w:tr>
      <w:tr>
        <w:tc>
          <w:tcPr>
            <w:tcW w:type="dxa" w:w="1814"/>
          </w:tcPr>
          <w:p>
            <w:pPr>
              <w:jc w:val="center"/>
            </w:pPr>
            <w:r>
              <w:rPr>
                <w:sz w:val="18"/>
              </w:rPr>
            </w:r>
            <w:r>
              <w:rPr>
                <w:b/>
                <w:sz w:val="18"/>
              </w:rPr>
              <w:t>换属（新组合）</w:t>
            </w:r>
          </w:p>
        </w:tc>
        <w:tc>
          <w:tcPr>
            <w:tcW w:type="dxa" w:w="1814"/>
          </w:tcPr>
          <w:p>
            <w:pPr>
              <w:jc w:val="center"/>
            </w:pPr>
            <w:r>
              <w:rPr>
                <w:sz w:val="18"/>
              </w:rPr>
            </w:r>
            <w:r>
              <w:rPr>
                <w:sz w:val="18"/>
              </w:rPr>
              <w:t>种加词相同、属名不同</w:t>
            </w:r>
          </w:p>
        </w:tc>
        <w:tc>
          <w:tcPr>
            <w:tcW w:type="dxa" w:w="1814"/>
          </w:tcPr>
          <w:p>
            <w:pPr>
              <w:jc w:val="center"/>
            </w:pPr>
            <w:r>
              <w:rPr>
                <w:sz w:val="18"/>
              </w:rPr>
            </w:r>
            <w:r>
              <w:rPr>
                <w:sz w:val="18"/>
              </w:rPr>
              <w:t>92,314</w:t>
            </w:r>
          </w:p>
        </w:tc>
        <w:tc>
          <w:tcPr>
            <w:tcW w:type="dxa" w:w="1814"/>
          </w:tcPr>
          <w:p>
            <w:pPr>
              <w:jc w:val="center"/>
            </w:pPr>
            <w:r>
              <w:rPr>
                <w:sz w:val="18"/>
              </w:rPr>
            </w:r>
            <w:r>
              <w:rPr>
                <w:sz w:val="18"/>
              </w:rPr>
              <w:t>21.6%</w:t>
            </w:r>
          </w:p>
        </w:tc>
        <w:tc>
          <w:tcPr>
            <w:tcW w:type="dxa" w:w="1814"/>
          </w:tcPr>
          <w:p>
            <w:pPr>
              <w:jc w:val="center"/>
            </w:pPr>
            <w:r>
              <w:rPr>
                <w:sz w:val="18"/>
              </w:rPr>
            </w:r>
            <w:r>
              <w:rPr>
                <w:b/>
                <w:sz w:val="18"/>
              </w:rPr>
              <w:t>是</w:t>
            </w:r>
          </w:p>
        </w:tc>
      </w:tr>
      <w:tr>
        <w:tc>
          <w:tcPr>
            <w:tcW w:type="dxa" w:w="1814"/>
          </w:tcPr>
          <w:p>
            <w:pPr>
              <w:jc w:val="center"/>
            </w:pPr>
            <w:r>
              <w:rPr>
                <w:sz w:val="18"/>
              </w:rPr>
            </w:r>
            <w:r>
              <w:rPr>
                <w:b/>
                <w:sz w:val="18"/>
              </w:rPr>
              <w:t>并入别的种（真异名）</w:t>
            </w:r>
          </w:p>
        </w:tc>
        <w:tc>
          <w:tcPr>
            <w:tcW w:type="dxa" w:w="1814"/>
          </w:tcPr>
          <w:p>
            <w:pPr>
              <w:jc w:val="center"/>
            </w:pPr>
            <w:r>
              <w:rPr>
                <w:sz w:val="18"/>
              </w:rPr>
            </w:r>
            <w:r>
              <w:rPr>
                <w:sz w:val="18"/>
              </w:rPr>
              <w:t>种加词不同</w:t>
            </w:r>
          </w:p>
        </w:tc>
        <w:tc>
          <w:tcPr>
            <w:tcW w:type="dxa" w:w="1814"/>
          </w:tcPr>
          <w:p>
            <w:pPr>
              <w:jc w:val="center"/>
            </w:pPr>
            <w:r>
              <w:rPr>
                <w:sz w:val="18"/>
              </w:rPr>
            </w:r>
            <w:r>
              <w:rPr>
                <w:sz w:val="18"/>
              </w:rPr>
              <w:t>60,330</w:t>
            </w:r>
          </w:p>
        </w:tc>
        <w:tc>
          <w:tcPr>
            <w:tcW w:type="dxa" w:w="1814"/>
          </w:tcPr>
          <w:p>
            <w:pPr>
              <w:jc w:val="center"/>
            </w:pPr>
            <w:r>
              <w:rPr>
                <w:sz w:val="18"/>
              </w:rPr>
            </w:r>
            <w:r>
              <w:rPr>
                <w:sz w:val="18"/>
              </w:rPr>
              <w:t>14.1%</w:t>
            </w:r>
          </w:p>
        </w:tc>
        <w:tc>
          <w:tcPr>
            <w:tcW w:type="dxa" w:w="1814"/>
          </w:tcPr>
          <w:p>
            <w:pPr>
              <w:jc w:val="center"/>
            </w:pPr>
            <w:r>
              <w:rPr>
                <w:sz w:val="18"/>
              </w:rPr>
            </w:r>
            <w:r>
              <w:rPr>
                <w:b/>
                <w:sz w:val="18"/>
              </w:rPr>
              <w:t>否</w:t>
            </w:r>
          </w:p>
        </w:tc>
      </w:tr>
      <w:tr>
        <w:tc>
          <w:tcPr>
            <w:tcW w:type="dxa" w:w="1814"/>
          </w:tcPr>
          <w:p>
            <w:pPr>
              <w:jc w:val="center"/>
            </w:pPr>
            <w:r>
              <w:rPr>
                <w:sz w:val="18"/>
              </w:rPr>
            </w:r>
            <w:r>
              <w:rPr>
                <w:sz w:val="18"/>
              </w:rPr>
              <w:t>拼写/性别更正</w:t>
            </w:r>
          </w:p>
        </w:tc>
        <w:tc>
          <w:tcPr>
            <w:tcW w:type="dxa" w:w="1814"/>
          </w:tcPr>
          <w:p>
            <w:pPr>
              <w:jc w:val="center"/>
            </w:pPr>
            <w:r>
              <w:rPr>
                <w:sz w:val="18"/>
              </w:rPr>
            </w:r>
            <w:r>
              <w:rPr>
                <w:sz w:val="18"/>
              </w:rPr>
              <w:t>词干相同、词尾不同</w:t>
            </w:r>
          </w:p>
        </w:tc>
        <w:tc>
          <w:tcPr>
            <w:tcW w:type="dxa" w:w="1814"/>
          </w:tcPr>
          <w:p>
            <w:pPr>
              <w:jc w:val="center"/>
            </w:pPr>
            <w:r>
              <w:rPr>
                <w:sz w:val="18"/>
              </w:rPr>
            </w:r>
            <w:r>
              <w:rPr>
                <w:sz w:val="18"/>
              </w:rPr>
              <w:t>27,061</w:t>
            </w:r>
          </w:p>
        </w:tc>
        <w:tc>
          <w:tcPr>
            <w:tcW w:type="dxa" w:w="1814"/>
          </w:tcPr>
          <w:p>
            <w:pPr>
              <w:jc w:val="center"/>
            </w:pPr>
            <w:r>
              <w:rPr>
                <w:sz w:val="18"/>
              </w:rPr>
            </w:r>
            <w:r>
              <w:rPr>
                <w:sz w:val="18"/>
              </w:rPr>
              <w:t>6.3%</w:t>
            </w:r>
          </w:p>
        </w:tc>
        <w:tc>
          <w:tcPr>
            <w:tcW w:type="dxa" w:w="1814"/>
          </w:tcPr>
          <w:p>
            <w:pPr>
              <w:jc w:val="center"/>
            </w:pPr>
            <w:r>
              <w:rPr>
                <w:sz w:val="18"/>
              </w:rPr>
            </w:r>
            <w:r>
              <w:rPr>
                <w:b/>
                <w:sz w:val="18"/>
              </w:rPr>
              <w:t>是</w:t>
            </w:r>
          </w:p>
        </w:tc>
      </w:tr>
      <w:tr>
        <w:tc>
          <w:tcPr>
            <w:tcW w:type="dxa" w:w="1814"/>
          </w:tcPr>
          <w:p>
            <w:pPr>
              <w:jc w:val="center"/>
            </w:pPr>
            <w:r>
              <w:rPr>
                <w:sz w:val="18"/>
              </w:rPr>
            </w:r>
            <w:r>
              <w:rPr>
                <w:sz w:val="18"/>
              </w:rPr>
              <w:t>同名不同写法</w:t>
            </w:r>
          </w:p>
        </w:tc>
        <w:tc>
          <w:tcPr>
            <w:tcW w:type="dxa" w:w="1814"/>
          </w:tcPr>
          <w:p>
            <w:pPr>
              <w:jc w:val="center"/>
            </w:pPr>
            <w:r>
              <w:rPr>
                <w:sz w:val="18"/>
              </w:rPr>
            </w:r>
            <w:r>
              <w:rPr>
                <w:sz w:val="18"/>
              </w:rPr>
              <w:t>仅标点/连字符差异</w:t>
            </w:r>
          </w:p>
        </w:tc>
        <w:tc>
          <w:tcPr>
            <w:tcW w:type="dxa" w:w="1814"/>
          </w:tcPr>
          <w:p>
            <w:pPr>
              <w:jc w:val="center"/>
            </w:pPr>
            <w:r>
              <w:rPr>
                <w:sz w:val="18"/>
              </w:rPr>
            </w:r>
            <w:r>
              <w:rPr>
                <w:sz w:val="18"/>
              </w:rPr>
              <w:t>52</w:t>
            </w:r>
          </w:p>
        </w:tc>
        <w:tc>
          <w:tcPr>
            <w:tcW w:type="dxa" w:w="1814"/>
          </w:tcPr>
          <w:p>
            <w:pPr>
              <w:jc w:val="center"/>
            </w:pPr>
            <w:r>
              <w:rPr>
                <w:sz w:val="18"/>
              </w:rPr>
            </w:r>
            <w:r>
              <w:rPr>
                <w:sz w:val="18"/>
              </w:rPr>
              <w:t>&lt;0.1%</w:t>
            </w:r>
          </w:p>
        </w:tc>
        <w:tc>
          <w:tcPr>
            <w:tcW w:type="dxa" w:w="1814"/>
          </w:tcPr>
          <w:p>
            <w:pPr>
              <w:jc w:val="center"/>
            </w:pPr>
            <w:r>
              <w:rPr>
                <w:sz w:val="18"/>
              </w:rPr>
            </w:r>
            <w:r>
              <w:rPr>
                <w:b/>
                <w:sz w:val="18"/>
              </w:rPr>
              <w:t>是</w:t>
            </w:r>
          </w:p>
        </w:tc>
      </w:tr>
    </w:tbl>
    <w:p/>
    <w:p>
      <w:pPr>
        <w:ind w:firstLine="0"/>
      </w:pPr>
      <w:r>
        <w:t>当 NCBI 保留独立 taxon 而 MycoBank 并入他名时，按证据强度分四级（表 3）：A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3</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 xml:space="preserve">，而 NCBI 只对应其中一个 taxon。本研究的 MycoBank 快照（2026-10-10）为 </w:t>
      </w:r>
      <w:r>
        <w:rPr>
          <w:b/>
        </w:rPr>
        <w:t>426,834 行</w:t>
      </w:r>
      <w:r>
        <w:t>导出记录，</w:t>
      </w:r>
      <w:r>
        <w:rPr>
          <w:b/>
        </w:rPr>
        <w:t>去重后为 406,521 个学名</w:t>
      </w:r>
      <w:r>
        <w:t>（差 20,313 为同名的重复行）；其中</w:t>
      </w:r>
      <w:r>
        <w:rPr>
          <w:b/>
        </w:rPr>
        <w:t>17,404 个学名出现多行（4.3%）</w:t>
      </w:r>
      <w:r>
        <w:t>。</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，据此可为多行学名自动列出候选（本研究 17,404 个多行学名共 37,718 条候选行，其中 73.7% 只有一个 Legitimate 行）；但 </w:t>
      </w:r>
      <w:r>
        <w:rPr>
          <w:b/>
        </w:rPr>
        <w:t>NCBI Taxonomy 对这些种未登记命名人</w:t>
      </w:r>
      <w:r>
        <w:t xml:space="preserve">（随机抽 20 个种查 </w:t>
      </w:r>
      <w:r>
        <w:rPr>
          <w:rFonts w:ascii="Consolas" w:hAnsi="Consolas"/>
          <w:sz w:val="19"/>
        </w:rPr>
        <w:t>&lt;Authority&gt;</w:t>
      </w:r>
      <w:r>
        <w:t xml:space="preserve"> 字段，0 个有值），因此「哪一行才对应该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 xml:space="preserve">：对判为「号不存在」的号，回查 GenBank 是否有记录引用它；检索式须写成 </w:t>
      </w:r>
      <w:r>
        <w:rPr>
          <w:rFonts w:ascii="Consolas" w:hAnsi="Consolas"/>
          <w:sz w:val="19"/>
        </w:rPr>
        <w:t>CBS:126514</w:t>
      </w:r>
      <w:r>
        <w:t xml:space="preserve">（冒号、不加引号），写成 </w:t>
      </w:r>
      <w:r>
        <w:rPr>
          <w:rFonts w:ascii="Consolas" w:hAnsi="Consolas"/>
          <w:sz w:val="19"/>
        </w:rPr>
        <w:t>CBS 126514</w:t>
      </w:r>
      <w:r>
        <w:t xml:space="preserve"> 会被分词为 </w:t>
      </w:r>
      <w:r>
        <w:rPr>
          <w:rFonts w:ascii="Consolas" w:hAnsi="Consolas"/>
          <w:sz w:val="19"/>
        </w:rPr>
        <w:t>CBS</w:t>
      </w:r>
      <w:r>
        <w:t xml:space="preserve"> AND </w:t>
      </w:r>
      <w:r>
        <w:rPr>
          <w:rFonts w:ascii="Consolas" w:hAnsi="Consolas"/>
          <w:sz w:val="19"/>
        </w:rPr>
        <w:t>126514</w:t>
      </w:r>
      <w:r>
        <w:t>，实测返回两万余条无关记录。其三，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条，受影响物种由程序逐一写入各属的「覆盖声明」，三属合计 71 个（Colletotrichum 45、Trichoderma 19、Diaporthe 7）。流程另以 32 例既有判定作回归测试，改版后判据与人工复核结果 32/32 一致；但这 32 例本身即由同一流程早期产出，故它证明的是改版没有破坏既有判断，不构成独立验证。</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610</w:t>
            </w:r>
          </w:p>
        </w:tc>
        <w:tc>
          <w:tcPr>
            <w:tcW w:type="dxa" w:w="1008"/>
          </w:tcPr>
          <w:p>
            <w:pPr>
              <w:jc w:val="center"/>
            </w:pPr>
            <w:r>
              <w:rPr>
                <w:sz w:val="18"/>
              </w:rPr>
            </w:r>
            <w:r>
              <w:rPr>
                <w:sz w:val="18"/>
              </w:rPr>
              <w:t>1,128</w:t>
            </w:r>
          </w:p>
        </w:tc>
        <w:tc>
          <w:tcPr>
            <w:tcW w:type="dxa" w:w="1008"/>
          </w:tcPr>
          <w:p>
            <w:pPr>
              <w:jc w:val="center"/>
            </w:pPr>
            <w:r>
              <w:rPr>
                <w:sz w:val="18"/>
              </w:rPr>
            </w:r>
            <w:r>
              <w:rPr>
                <w:sz w:val="18"/>
              </w:rPr>
              <w:t>75</w:t>
            </w:r>
          </w:p>
        </w:tc>
        <w:tc>
          <w:tcPr>
            <w:tcW w:type="dxa" w:w="1008"/>
          </w:tcPr>
          <w:p>
            <w:pPr>
              <w:jc w:val="center"/>
            </w:pPr>
            <w:r>
              <w:rPr>
                <w:sz w:val="18"/>
              </w:rPr>
            </w:r>
            <w:r>
              <w:rPr>
                <w:sz w:val="18"/>
              </w:rPr>
              <w:t>31</w:t>
            </w:r>
          </w:p>
        </w:tc>
        <w:tc>
          <w:tcPr>
            <w:tcW w:type="dxa" w:w="1008"/>
          </w:tcPr>
          <w:p>
            <w:pPr>
              <w:jc w:val="center"/>
            </w:pPr>
            <w:r>
              <w:rPr>
                <w:sz w:val="18"/>
              </w:rPr>
            </w:r>
            <w:r>
              <w:rPr>
                <w:b/>
                <w:sz w:val="18"/>
              </w:rPr>
              <w:t>1,844</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624</w:t>
            </w:r>
          </w:p>
        </w:tc>
        <w:tc>
          <w:tcPr>
            <w:tcW w:type="dxa" w:w="1008"/>
          </w:tcPr>
          <w:p>
            <w:pPr>
              <w:jc w:val="center"/>
            </w:pPr>
            <w:r>
              <w:rPr>
                <w:sz w:val="18"/>
              </w:rPr>
            </w:r>
            <w:r>
              <w:rPr>
                <w:sz w:val="18"/>
              </w:rPr>
              <w:t>1,621</w:t>
            </w:r>
          </w:p>
        </w:tc>
        <w:tc>
          <w:tcPr>
            <w:tcW w:type="dxa" w:w="1008"/>
          </w:tcPr>
          <w:p>
            <w:pPr>
              <w:jc w:val="center"/>
            </w:pPr>
            <w:r>
              <w:rPr>
                <w:sz w:val="18"/>
              </w:rPr>
            </w:r>
            <w:r>
              <w:rPr>
                <w:sz w:val="18"/>
              </w:rPr>
              <w:t>91</w:t>
            </w:r>
          </w:p>
        </w:tc>
        <w:tc>
          <w:tcPr>
            <w:tcW w:type="dxa" w:w="1008"/>
          </w:tcPr>
          <w:p>
            <w:pPr>
              <w:jc w:val="center"/>
            </w:pPr>
            <w:r>
              <w:rPr>
                <w:sz w:val="18"/>
              </w:rPr>
            </w:r>
            <w:r>
              <w:rPr>
                <w:sz w:val="18"/>
              </w:rPr>
              <w:t>5</w:t>
            </w:r>
          </w:p>
        </w:tc>
        <w:tc>
          <w:tcPr>
            <w:tcW w:type="dxa" w:w="1008"/>
          </w:tcPr>
          <w:p>
            <w:pPr>
              <w:jc w:val="center"/>
            </w:pPr>
            <w:r>
              <w:rPr>
                <w:sz w:val="18"/>
              </w:rPr>
            </w:r>
            <w:r>
              <w:rPr>
                <w:b/>
                <w:sz w:val="18"/>
              </w:rPr>
              <w:t>2,341</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298</w:t>
            </w:r>
          </w:p>
        </w:tc>
        <w:tc>
          <w:tcPr>
            <w:tcW w:type="dxa" w:w="1008"/>
          </w:tcPr>
          <w:p>
            <w:pPr>
              <w:jc w:val="center"/>
            </w:pPr>
            <w:r>
              <w:rPr>
                <w:sz w:val="18"/>
              </w:rPr>
            </w:r>
            <w:r>
              <w:rPr>
                <w:sz w:val="18"/>
              </w:rPr>
              <w:t>1,142</w:t>
            </w:r>
          </w:p>
        </w:tc>
        <w:tc>
          <w:tcPr>
            <w:tcW w:type="dxa" w:w="1008"/>
          </w:tcPr>
          <w:p>
            <w:pPr>
              <w:jc w:val="center"/>
            </w:pPr>
            <w:r>
              <w:rPr>
                <w:sz w:val="18"/>
              </w:rPr>
            </w:r>
            <w:r>
              <w:rPr>
                <w:sz w:val="18"/>
              </w:rPr>
              <w:t>39</w:t>
            </w:r>
          </w:p>
        </w:tc>
        <w:tc>
          <w:tcPr>
            <w:tcW w:type="dxa" w:w="1008"/>
          </w:tcPr>
          <w:p>
            <w:pPr>
              <w:jc w:val="center"/>
            </w:pPr>
            <w:r>
              <w:rPr>
                <w:sz w:val="18"/>
              </w:rPr>
            </w:r>
            <w:r>
              <w:rPr>
                <w:sz w:val="18"/>
              </w:rPr>
              <w:t>117</w:t>
            </w:r>
          </w:p>
        </w:tc>
        <w:tc>
          <w:tcPr>
            <w:tcW w:type="dxa" w:w="1008"/>
          </w:tcPr>
          <w:p>
            <w:pPr>
              <w:jc w:val="center"/>
            </w:pPr>
            <w:r>
              <w:rPr>
                <w:sz w:val="18"/>
              </w:rPr>
            </w:r>
            <w:r>
              <w:rPr>
                <w:b/>
                <w:sz w:val="18"/>
              </w:rPr>
              <w:t>1,596</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1,532</w:t>
            </w:r>
          </w:p>
        </w:tc>
        <w:tc>
          <w:tcPr>
            <w:tcW w:type="dxa" w:w="1008"/>
          </w:tcPr>
          <w:p>
            <w:pPr>
              <w:jc w:val="center"/>
            </w:pPr>
            <w:r>
              <w:rPr>
                <w:sz w:val="18"/>
              </w:rPr>
            </w:r>
            <w:r>
              <w:rPr>
                <w:b/>
                <w:sz w:val="18"/>
              </w:rPr>
              <w:t>3,891</w:t>
            </w:r>
          </w:p>
        </w:tc>
        <w:tc>
          <w:tcPr>
            <w:tcW w:type="dxa" w:w="1008"/>
          </w:tcPr>
          <w:p>
            <w:pPr>
              <w:jc w:val="center"/>
            </w:pPr>
            <w:r>
              <w:rPr>
                <w:sz w:val="18"/>
              </w:rPr>
            </w:r>
            <w:r>
              <w:rPr>
                <w:b/>
                <w:sz w:val="18"/>
              </w:rPr>
              <w:t>205</w:t>
            </w:r>
          </w:p>
        </w:tc>
        <w:tc>
          <w:tcPr>
            <w:tcW w:type="dxa" w:w="1008"/>
          </w:tcPr>
          <w:p>
            <w:pPr>
              <w:jc w:val="center"/>
            </w:pPr>
            <w:r>
              <w:rPr>
                <w:sz w:val="18"/>
              </w:rPr>
            </w:r>
            <w:r>
              <w:rPr>
                <w:b/>
                <w:sz w:val="18"/>
              </w:rPr>
              <w:t>153</w:t>
            </w:r>
          </w:p>
        </w:tc>
        <w:tc>
          <w:tcPr>
            <w:tcW w:type="dxa" w:w="1008"/>
          </w:tcPr>
          <w:p>
            <w:pPr>
              <w:jc w:val="center"/>
            </w:pPr>
            <w:r>
              <w:rPr>
                <w:sz w:val="18"/>
              </w:rPr>
            </w:r>
            <w:r>
              <w:rPr>
                <w:b/>
                <w:sz w:val="18"/>
              </w:rPr>
              <w:t>5,781</w:t>
            </w:r>
          </w:p>
        </w:tc>
      </w:tr>
    </w:tbl>
    <w:p/>
    <w:p>
      <w:pPr>
        <w:spacing w:after="60"/>
        <w:ind w:left="454"/>
      </w:pPr>
      <w:r>
        <w:rPr>
          <w:color w:val="444444"/>
          <w:sz w:val="19"/>
        </w:rPr>
        <w:t>四类互斥，逐属相加即为「合计发现」。各属可核率见图 2A（42.7% / 23.1% / 20.5%，合计 28.7%）。</w:t>
      </w:r>
    </w:p>
    <w:p>
      <w:pPr>
        <w:ind w:firstLine="0"/>
      </w:pPr>
      <w:r>
        <w:rPr>
          <w:b/>
        </w:rPr>
        <w:t>有多少不一致。</w:t>
      </w:r>
      <w:r>
        <w:t xml:space="preserve"> 5,781 条发现按性质分四类，四者互斥：</w:t>
      </w:r>
    </w:p>
    <w:p>
      <w:pPr>
        <w:pStyle w:val="ListBullet"/>
        <w:spacing w:after="60"/>
      </w:pPr>
      <w:r>
        <w:rPr>
          <w:b/>
        </w:rPr>
        <w:t>号级不一致 1,532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3,891 条</w:t>
      </w:r>
      <w:r>
        <w:t>——号没有可机读的目录、或记录未核，</w:t>
      </w:r>
      <w:r>
        <w:rPr>
          <w:b/>
        </w:rPr>
        <w:t>根本无从判断对错</w:t>
      </w:r>
      <w:r>
        <w:t>。其中「无公开数据库」3,122 条占全部发现的 54.0%，成因即上文的可核率限制。</w:t>
      </w:r>
    </w:p>
    <w:p>
      <w:pPr>
        <w:pStyle w:val="ListBullet"/>
        <w:spacing w:after="60"/>
      </w:pPr>
      <w:r>
        <w:rPr>
          <w:b/>
        </w:rPr>
        <w:t>非错 205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所述，1,532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法，一种在小样本下比正态近似更稳的比例区间算法）；修正前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估计。若按各层池大小加权（185 / 146 / 244），合并后约为 43%，但层内样本各仅 10 条、区间宽达 10–83%（如模式地位层 6/10 的 95% CI 为 31–83%），故</w:t>
      </w:r>
      <w:r>
        <w:rPr>
          <w:b/>
        </w:rPr>
        <w:t>不作为总体率的点估计</w:t>
      </w:r>
      <w:r>
        <w:t>（理由见 2.4）。</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54.0%，可核率仅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1,532 条号级不一致中，</w:t>
      </w:r>
      <w:r>
        <w:rPr>
          <w:b/>
        </w:rPr>
        <w:t>668 条（43.6%）的「号」根本不是机构号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三个总数｜表 2 名字关系五种情形｜表 3 证据分级｜表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