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属级元数据审计：三个真菌属的保藏号、模式地位与名称一致性</w:t>
      </w:r>
    </w:p>
    <w:p>
      <w:pPr>
        <w:ind w:firstLine="0"/>
      </w:pPr>
      <w:r>
        <w:rPr>
          <w:b/>
        </w:rPr>
        <w:t>A genus-level metadata audit of three fungal genera: culture numbers, type status and name consistency</w:t>
      </w:r>
    </w:p>
    <w:p>
      <w:pPr>
        <w:ind w:firstLine="0"/>
      </w:pPr>
      <w:r>
        <w:t>（草稿 v1.3 ｜ 2026-10-23）</w:t>
      </w:r>
    </w:p>
    <w:p>
      <w:pPr>
        <w:pStyle w:val="Heading2"/>
      </w:pPr>
      <w:r>
        <w:t>摘要</w:t>
      </w:r>
    </w:p>
    <w:p>
      <w:pPr>
        <w:ind w:firstLine="0"/>
      </w:pPr>
      <w:r>
        <w:rPr>
          <w:b/>
        </w:rPr>
        <w:t>背景</w:t>
      </w:r>
      <w:r>
        <w:t xml:space="preserve">　公共数据库中的菌株保藏号、模式地位与名称是分类学与流行病学研究的共同基础，但其准确性长期缺乏系统性检验。同一批菌株在 GenBank（作者申报）、NCBI Taxonomy、MycoBank 与各保藏中心目录（人工维护）之间可能给出彼此矛盾的记录，此类标识混乱已在生物多样性信息学的标本三元组层面被量化</w:t>
      </w:r>
      <w:r>
        <w:rPr>
          <w:vertAlign w:val="superscript"/>
        </w:rPr>
        <w:t>[1]</w:t>
      </w:r>
      <w:r>
        <w:t>，模式衍生序列的策展也已在原核与真菌层面系统推进</w:t>
      </w:r>
      <w:r>
        <w:rPr>
          <w:vertAlign w:val="superscript"/>
        </w:rPr>
        <w:t>[2,3]</w:t>
      </w:r>
      <w:r>
        <w:t>；但在真菌命名学语境下，尚无「属级 × 跨库 × 带分母口径」的量化，种级分歧的方向与机制亦未被检验。</w:t>
      </w:r>
    </w:p>
    <w:p>
      <w:pPr>
        <w:ind w:firstLine="0"/>
      </w:pPr>
      <w:r>
        <w:rPr>
          <w:b/>
        </w:rPr>
        <w:t>方法</w:t>
      </w:r>
      <w:r>
        <w:t xml:space="preserve">　以 Colletotrichum、Trichoderma、Diaporthe 三个属为对象，取 NCBI 分类库中全部规范双名（408、445、507 种，合计 1,360 种），对每个出现的保藏号做四层核验：号层（机构目录是否存在、登记名与模式地位是否相符）、名字层（NCBI 分类名、MycoBank 接受名、机构登记名、GenBank 记录名四方交叉）、序列层（同一保藏号在 GenBank 中被标注成几个不同种）、分类层（同一号被多个种登记为正模）；另设反向审计（对判为"号不存在"者回查 GenBank 是否另有引用）。对 NCBI 与 MycoBank 相互矛盾者按证据强度分级，并对同名异物按命名人与模式材料逐条对号。</w:t>
      </w:r>
    </w:p>
    <w:p>
      <w:pPr>
        <w:ind w:firstLine="0"/>
      </w:pPr>
      <w:r>
        <w:rPr>
          <w:b/>
        </w:rPr>
        <w:t>结果</w:t>
      </w:r>
      <w:r>
        <w:t xml:space="preserve">　三属合计 11,103 个号级单元格，其中 3,192 个（28.7%）属 CBS、ICMP、CGMCC 三个有公开机读目录者，可核率因机构覆盖不同而在属间相差约两倍（42.7%–20.5%）。经反向审计修正后，可核号中的号级不一致率为 </w:t>
      </w:r>
      <w:r>
        <w:rPr>
          <w:b/>
        </w:rPr>
        <w:t>12.6%</w:t>
      </w:r>
      <w:r>
        <w:t xml:space="preserve">（另有 974 条号级不一致落在无可机读目录的号上，不进入该率的分母）。三属共 </w:t>
      </w:r>
      <w:r>
        <w:rPr>
          <w:b/>
        </w:rPr>
        <w:t>153</w:t>
      </w:r>
      <w:r>
        <w:t xml:space="preserve"> 条 NCBI–MycoBank 种级分歧，</w:t>
      </w:r>
      <w:r>
        <w:rPr>
          <w:b/>
        </w:rPr>
        <w:t>已全部逐条核查</w:t>
      </w:r>
      <w:r>
        <w:t xml:space="preserve">，其中 123 条可定性，其中 </w:t>
      </w:r>
      <w:r>
        <w:rPr>
          <w:b/>
        </w:rPr>
        <w:t>114 条支持 MycoBank</w:t>
      </w:r>
      <w:r>
        <w:t xml:space="preserve">、8 条提示 MycoBank 过度合并、1 条两库均无误。需注意这批分歧的 </w:t>
      </w:r>
      <w:r>
        <w:rPr>
          <w:b/>
        </w:rPr>
        <w:t>76.5% 来自 Diaporthe</w:t>
      </w:r>
      <w:r>
        <w:t xml:space="preserve">（117/153），因此「支持 MycoBank」这一方向不能直接外推到另两属。此外另有 </w:t>
      </w:r>
      <w:r>
        <w:rPr>
          <w:b/>
        </w:rPr>
        <w:t>41 条</w:t>
      </w:r>
      <w:r>
        <w:t xml:space="preserve">（不计入上述 153 条）经核查为拼写或词尾变体，不构成分歧——即「在 MycoBank 中指向别的名」共 </w:t>
      </w:r>
      <w:r>
        <w:rPr>
          <w:b/>
        </w:rPr>
        <w:t>194</w:t>
      </w:r>
      <w:r>
        <w:t xml:space="preserve"> 条（153 ＋ 41）。以 30 条分层子样本按原始发表复核，12 条需修正、其中 9 条为机构目录记名与原始发表不符，说明“以机构目录为真值”这一隐含假设不成立。</w:t>
      </w:r>
    </w:p>
    <w:p>
      <w:pPr>
        <w:ind w:firstLine="0"/>
      </w:pPr>
      <w:r>
        <w:rPr>
          <w:b/>
        </w:rPr>
        <w:t>结论</w:t>
      </w:r>
      <w:r>
        <w:t xml:space="preserve">　没有任何单一来源可以充当真值。</w:t>
      </w:r>
      <w:r>
        <w:rPr>
          <w:b/>
        </w:rPr>
        <w:t>号级</w:t>
      </w:r>
      <w:r>
        <w:t xml:space="preserve">上，1,505 条不一致中 </w:t>
      </w:r>
      <w:r>
        <w:rPr>
          <w:b/>
        </w:rPr>
        <w:t>668 条（44.4%）的「号」根本不是机构号</w:t>
      </w:r>
      <w:r>
        <w:t>、仅 485 条涉及名称冲突，另有 147 条「一株多名」（同一保藏号被标成两个种）——问题主体是「号不可核查」而非「名字写错」。机构目录与 GenBank 也会互相矛盾，而「目录查不到」多数是机构未收录、并非号不存在——单以目录为真值会把不一致率报成修正值的 1.39 倍。</w:t>
      </w:r>
      <w:r>
        <w:rPr>
          <w:b/>
        </w:rPr>
        <w:t>种级</w:t>
      </w:r>
      <w:r>
        <w:t>上，两库分歧并非「一正一误」，而是</w:t>
      </w:r>
      <w:r>
        <w:rPr>
          <w:b/>
        </w:rPr>
        <w:t>在不同策展对象上分工不同</w:t>
      </w:r>
      <w:r>
        <w:t>：NCBI 主动策展模式地位与菌株—序列关联，但对命名学异名合并保守；MycoBank 主动跟进文献做异名合并，但存在过度合并风险。因此按学名跨库匹配必须辅以命名人与模式材料核对，否则同名异物会造成静默错误。</w:t>
      </w:r>
    </w:p>
    <w:p>
      <w:pPr>
        <w:ind w:firstLine="0"/>
      </w:pPr>
      <w:r>
        <w:rPr>
          <w:b/>
        </w:rPr>
        <w:t>关键词</w:t>
      </w:r>
      <w:r>
        <w:t xml:space="preserve">　元数据审计；保藏号；模式材料；NCBI Taxonomy；MycoBank；同名异物；有性型属名（teleomorph）</w:t>
      </w:r>
    </w:p>
    <w:p>
      <w:pPr>
        <w:pStyle w:val="Heading2"/>
      </w:pPr>
      <w:r>
        <w:t>Abstract</w:t>
      </w:r>
    </w:p>
    <w:p>
      <w:pPr>
        <w:ind w:firstLine="0"/>
      </w:pPr>
      <w:r>
        <w:rPr>
          <w:b/>
        </w:rPr>
        <w:t>Background</w:t>
      </w:r>
      <w:r>
        <w:t xml:space="preserve"> Culture collection numbers, type status and names underpin taxonomic and epidemiological research, yet their accuracy has rarely been tested systematically. The same strain may carry contradictory records in GenBank, NCBI Taxonomy, MycoBank and institutional catalogues. Identifier irregularity of this kind has been quantified for Darwin Core triplets [1], and curation of type-derived sequences is well advanced for prokaryotes and Fungi [2,3]; however, no genus-scale cross-database quantification with an explicit denominator has been reported for fungal nomenclature, and the direction and mechanism of the species-level conflicts remain untested.</w:t>
      </w:r>
    </w:p>
    <w:p>
      <w:pPr>
        <w:ind w:firstLine="0"/>
      </w:pPr>
      <w:r>
        <w:rPr>
          <w:b/>
        </w:rPr>
        <w:t>Methods</w:t>
      </w:r>
      <w:r>
        <w:t xml:space="preserve"> We audited all accepted binomials of three fungal genera in NCBI Taxonomy (Colletotrichum 408, Trichoderma 445, Diaporthe 507; 1,360 species) with a four-tier scheme—number level, name level (four-way cross-check), sequence level (one number annotated under two species), catalogue level (one number registered as type of several species)—plus a reverse audit (re-querying GenBank for numbers judged absent). NCBI–MycoBank species-level conflicts were graded by evidence strength and, for homonyms, resolved by author citation and type material.</w:t>
      </w:r>
    </w:p>
    <w:p>
      <w:pPr>
        <w:ind w:firstLine="0"/>
      </w:pPr>
      <w:r>
        <w:rPr>
          <w:b/>
        </w:rPr>
        <w:t>Results</w:t>
      </w:r>
      <w:r>
        <w:t xml:space="preserve"> Among 11,103 number-level cells, 3,192 (28.7%) belong to collections with machine-readable catalogues; verifiability differed two-fold among genera (42.7%–20.5%), driven by collection coverage rather than record quality. After the reverse audit, the number-level discrepancy rate among verifiable numbers was 12.6%; a further 974 discrepancies fell on numbers without any machine-readable catalogue and therefore enter neither numerator nor denominator. Of the 153 NCBI–MycoBank species-level conflicts, all were individually examined; 123 could be resolved, 114 in favour of MycoBank, 8 suggesting over-merging by MycoBank, and one showing no conflict; because 76.5% of these conflicts (117/153) come from Diaporthe, this direction should not be extrapolated to the other two genera. A further 41 names, not counted among the 153, proved to be spelling or gender-ending variants (194 name-level mismatches = 153 conflicts + 41 variants). A stratified subsample of 30 findings checked against the protologue required correction in 12 cases (9 of which were catalogue names conflicting with the original publication), showing that the "catalogue as ground truth" assumption does not hold.</w:t>
      </w:r>
    </w:p>
    <w:p>
      <w:pPr>
        <w:ind w:firstLine="0"/>
      </w:pPr>
      <w:r>
        <w:rPr>
          <w:b/>
        </w:rPr>
        <w:t>Conclusions</w:t>
      </w:r>
      <w:r>
        <w:t xml:space="preserve"> No single source can serve as ground truth. At the number level, 668 of 1,505 discrepancies (44.4%) involve numbers that are not institutional accessions at all, and only 485 involve name conflicts; a further 147 show one accession assigned to two different species. Institutional catalogues and GenBank also contradict each other, and "absent from the catalogue" usually means the collection did not register the number rather than that the number is fictitious—treating the catalogue as ground truth inflates the rate 1.39-fold. At the species level, the two databases differ not in correctness but in what is curated: NCBI actively curates type status and strain–sequence links while remaining conservative about nomenclatural synonymy, whereas MycoBank follows the literature and risks over-merging. Name-based cross-database matching must be accompanied by author and type-material verification.</w:t>
      </w:r>
    </w:p>
    <w:p>
      <w:pPr>
        <w:ind w:firstLine="0"/>
      </w:pPr>
      <w:r>
        <w:rPr>
          <w:b/>
        </w:rPr>
        <w:t>Keywords</w:t>
      </w:r>
      <w:r>
        <w:t xml:space="preserve"> metadata audit; culture collection numbers; type material; NCBI Taxonomy; MycoBank; homonym; teleomorph</w:t>
      </w:r>
    </w:p>
    <w:p>
      <w:pPr>
        <w:pStyle w:val="Heading2"/>
      </w:pPr>
      <w:r>
        <w:t>1 引言</w:t>
      </w:r>
    </w:p>
    <w:p>
      <w:pPr>
        <w:ind w:firstLine="0"/>
      </w:pPr>
      <w:r>
        <w:t>分类学研究与植物病理诊断都建立在少数几个"硬标识"上：菌株从哪来（保藏号）、凭什么定名（模式材料）、叫什么（学名）。这三项一旦出错，下游后果是具体的——流行病学研究会把不同菌株当成同一株，检疫鉴定会依据错误的名字下结论，而系统发育研究可能把一个被错误标注的序列当成新的种。</w:t>
      </w:r>
    </w:p>
    <w:p>
      <w:pPr>
        <w:ind w:firstLine="0"/>
      </w:pPr>
      <w:r>
        <w:t>然而，这三项信息分布在</w:t>
      </w:r>
      <w:r>
        <w:rPr>
          <w:b/>
        </w:rPr>
        <w:t>性质不同</w:t>
      </w:r>
      <w:r>
        <w:t>的数据库中：</w:t>
      </w:r>
    </w:p>
    <w:p>
      <w:pPr>
        <w:pStyle w:val="ListBullet"/>
        <w:spacing w:after="60"/>
      </w:pPr>
      <w:r>
        <w:rPr>
          <w:b/>
        </w:rPr>
        <w:t>GenBank</w:t>
      </w:r>
      <w:r>
        <w:t xml:space="preserve"> 的记录是</w:t>
      </w:r>
      <w:r>
        <w:rPr>
          <w:b/>
        </w:rPr>
        <w:t>作者申报</w:t>
      </w:r>
      <w:r>
        <w:t>的，与论文同源，但从未被独立核对；</w:t>
      </w:r>
    </w:p>
    <w:p>
      <w:pPr>
        <w:pStyle w:val="ListBullet"/>
        <w:spacing w:after="60"/>
      </w:pPr>
      <w:r>
        <w:rPr>
          <w:b/>
        </w:rPr>
        <w:t>NCBI Taxonomy</w:t>
      </w:r>
      <w:r>
        <w:t xml:space="preserve"> 由策展人维护，但其策展是</w:t>
      </w:r>
      <w:r>
        <w:rPr>
          <w:b/>
        </w:rPr>
        <w:t>分工的</w:t>
      </w:r>
      <w:r>
        <w:t>：对模式地位与菌株—序列关联主动策展，对名称的</w:t>
      </w:r>
      <w:r>
        <w:rPr>
          <w:b/>
        </w:rPr>
        <w:t>合并则非常谨慎</w:t>
      </w:r>
      <w:r>
        <w:t>——一个 taxon 一旦建立，通常只有在有人主动提交合并请求时才会被并入他名；</w:t>
      </w:r>
    </w:p>
    <w:p>
      <w:pPr>
        <w:pStyle w:val="ListBullet"/>
        <w:spacing w:after="60"/>
      </w:pPr>
      <w:r>
        <w:rPr>
          <w:b/>
        </w:rPr>
        <w:t>MycoBank</w:t>
      </w:r>
      <w:r>
        <w:t xml:space="preserve"> 同样由策展人维护，但</w:t>
      </w:r>
      <w:r>
        <w:rPr>
          <w:b/>
        </w:rPr>
        <w:t>主动跟进分类学文献</w:t>
      </w:r>
      <w:r>
        <w:t>，新发表的异名处理往往较快反映；</w:t>
      </w:r>
    </w:p>
    <w:p>
      <w:pPr>
        <w:pStyle w:val="ListBullet"/>
        <w:spacing w:after="60"/>
      </w:pPr>
      <w:r>
        <w:rPr>
          <w:b/>
        </w:rPr>
        <w:t>各保藏中心目录</w:t>
      </w:r>
      <w:r>
        <w:t>（CBS、ICMP、CGMCC 等）才是菌株实体的登记方，但公开程度与可机读性差别极大。</w:t>
      </w:r>
    </w:p>
    <w:p>
      <w:pPr>
        <w:ind w:firstLine="0"/>
      </w:pPr>
      <w:r>
        <w:t>四者各说一套时，</w:t>
      </w:r>
      <w:r>
        <w:rPr>
          <w:b/>
        </w:rPr>
        <w:t>没有默认的裁决者</w:t>
      </w:r>
      <w:r>
        <w:t>。</w:t>
      </w:r>
    </w:p>
    <w:p>
      <w:pPr>
        <w:pStyle w:val="Heading3"/>
      </w:pPr>
      <w:r>
        <w:t>1.1 相关工作：三条各自成熟、但彼此未对接的线</w:t>
      </w:r>
    </w:p>
    <w:p>
      <w:pPr>
        <w:ind w:firstLine="0"/>
      </w:pPr>
      <w:r>
        <w:rPr>
          <w:b/>
        </w:rPr>
        <w:t>第一条线：保藏号本身就不是可靠的主键。</w:t>
      </w:r>
      <w:r>
        <w:t xml:space="preserve"> 生物多样性信息学界用"三元组"（Darwin Core Triplet，即机构代码 + 收藏代码 + 目录号的拼接）作为标本记录与序列记录之间的联系键。Guralnick 等</w:t>
      </w:r>
      <w:r>
        <w:rPr>
          <w:vertAlign w:val="superscript"/>
        </w:rPr>
        <w:t>[1]</w:t>
      </w:r>
      <w:r>
        <w:t>（Table 2）量化过这一做法的实际效果，结论是三元组在 GenBank 与 BOLD 中「格式合规者少得惊人」。以他们的 GenBank 样本为例：仅语法有问题的 1,984 条，仅缺信息的 93,947 条，</w:t>
      </w:r>
      <w:r>
        <w:rPr>
          <w:b/>
        </w:rPr>
        <w:t>语法与语义同时有问题的 186,128 条</w:t>
      </w:r>
      <w:r>
        <w:t xml:space="preserve">。因此，未经策展的三元组并不足以承担跨库关联的角色。本文所审的"保藏号"，本质上就是真菌材料上的三元组；本文 2.4 反向审计中"必须写成 </w:t>
      </w:r>
      <w:r>
        <w:rPr>
          <w:rFonts w:ascii="Consolas" w:hAnsi="Consolas"/>
          <w:sz w:val="19"/>
        </w:rPr>
        <w:t>CBS:126514</w:t>
      </w:r>
      <w:r>
        <w:t xml:space="preserve"> 而不能写成 </w:t>
      </w:r>
      <w:r>
        <w:rPr>
          <w:rFonts w:ascii="Consolas" w:hAnsi="Consolas"/>
          <w:sz w:val="19"/>
        </w:rPr>
        <w:t>CBS 126514</w:t>
      </w:r>
      <w:r>
        <w:t>"这一条，正是该问题在检索层面的直接后果。</w:t>
      </w:r>
    </w:p>
    <w:p>
      <w:pPr>
        <w:ind w:firstLine="0"/>
      </w:pPr>
      <w:r>
        <w:rPr>
          <w:b/>
        </w:rPr>
        <w:t>第二条线：模式材料一侧的策展已推进很多，但与"名字对不对"分开走。</w:t>
      </w:r>
      <w:r>
        <w:t xml:space="preserve"> 原核方面，NCBI 用模式菌株基因组的平均核苷酸一致性（ANI，即两基因组间的平均相似度，用于判断是否同种）做质控。目前已策展 18,281 个模式菌株组装体，据此核实了 110 万以上 GenBank 基因组的分类，并使 1,800 个以上已有基因组被重新归种</w:t>
      </w:r>
      <w:r>
        <w:rPr>
          <w:vertAlign w:val="superscript"/>
        </w:rPr>
        <w:t>[2]</w:t>
      </w:r>
      <w:r>
        <w:t>。真菌方面，截至 2023 年 3 月 6 日，已有 21,607 个物种具备模式衍生序列，主要来自培养物、多为 ITS</w:t>
      </w:r>
      <w:r>
        <w:rPr>
          <w:vertAlign w:val="superscript"/>
        </w:rPr>
        <w:t>[3]</w:t>
      </w:r>
      <w:r>
        <w:t>。</w:t>
      </w:r>
      <w:r>
        <w:rPr>
          <w:rFonts w:ascii="Consolas" w:hAnsi="Consolas"/>
          <w:sz w:val="19"/>
        </w:rPr>
        <w:t>/type_material</w:t>
      </w:r>
      <w:r>
        <w:t xml:space="preserve"> 字段</w:t>
      </w:r>
      <w:r>
        <w:rPr>
          <w:b/>
        </w:rPr>
        <w:t>并非作者提交</w:t>
      </w:r>
      <w:r>
        <w:t>，而是经 NCBI 策展人核实文献后才自动写入</w:t>
      </w:r>
      <w:r>
        <w:rPr>
          <w:vertAlign w:val="superscript"/>
        </w:rPr>
        <w:t>[3]</w:t>
      </w:r>
      <w:r>
        <w:t>。这一点直接决定本文把该字段用作「模式地位」证据时的分量。与之配套的，是 2023 年 3 月 INSDC 对标本元数据的提交要求收紧，以及自 2019 年起真菌新模式指定必须登记并引用登记号</w:t>
      </w:r>
      <w:r>
        <w:rPr>
          <w:vertAlign w:val="superscript"/>
        </w:rPr>
        <w:t>[3]</w:t>
      </w:r>
      <w:r>
        <w:t>。</w:t>
      </w:r>
    </w:p>
    <w:p>
      <w:pPr>
        <w:ind w:firstLine="0"/>
      </w:pPr>
      <w:r>
        <w:rPr>
          <w:b/>
        </w:rPr>
        <w:t>第三条线：在真菌里，"名字"比在别处更复杂。</w:t>
      </w:r>
      <w:r>
        <w:t xml:space="preserve"> 2011 年"一菌一名"改革（One Fungus = One Name）之后，有性世代属名并入无性世代属名</w:t>
      </w:r>
      <w:r>
        <w:rPr>
          <w:vertAlign w:val="superscript"/>
        </w:rPr>
        <w:t>[4,5]</w:t>
      </w:r>
      <w:r>
        <w:t>，同一种在不同库中可能分别以两个属名出现。这种混乱的后果可以实验证实。Réblová 等</w:t>
      </w:r>
      <w:r>
        <w:rPr>
          <w:vertAlign w:val="superscript"/>
        </w:rPr>
        <w:t>[6]</w:t>
      </w:r>
      <w:r>
        <w:t xml:space="preserve"> 复核了 7 株都以 </w:t>
      </w:r>
      <w:r>
        <w:rPr>
          <w:i/>
        </w:rPr>
        <w:t>Pleurophragmium parvisporum</w:t>
      </w:r>
      <w:r>
        <w:t xml:space="preserve"> 之名（含同义登记）保藏的菌株，发现它们分属 </w:t>
      </w:r>
      <w:r>
        <w:rPr>
          <w:b/>
        </w:rPr>
        <w:t>3 个纲、4 个不同的目或科</w:t>
      </w:r>
      <w:r>
        <w:t>，只有 1 株符合该种概念——</w:t>
      </w:r>
      <w:r>
        <w:rPr>
          <w:b/>
        </w:rPr>
        <w:t>材料归错名，错误可以一直错到纲一级</w:t>
      </w:r>
      <w:r>
        <w:t xml:space="preserve">。就本文涉及的 </w:t>
      </w:r>
      <w:r>
        <w:rPr>
          <w:i/>
        </w:rPr>
        <w:t>Colletotrichum</w:t>
      </w:r>
      <w:r>
        <w:t xml:space="preserve"> 而言，RefSeq Targeted Loci 项目已为 238 个种更新了 GenBank 分类、为 226 个种提供策展 ITS。它还核实了该属标注记录中约 97% 确实来自 </w:t>
      </w:r>
      <w:r>
        <w:rPr>
          <w:i/>
        </w:rPr>
        <w:t>Colletotrichum</w:t>
      </w:r>
      <w:r>
        <w:rPr>
          <w:vertAlign w:val="superscript"/>
        </w:rPr>
        <w:t>[7]</w:t>
      </w:r>
      <w:r>
        <w:t>，为本文提供了一个可用的外部参照。</w:t>
      </w:r>
    </w:p>
    <w:p>
      <w:pPr>
        <w:ind w:firstLine="0"/>
      </w:pPr>
      <w:r>
        <w:rPr>
          <w:b/>
        </w:rPr>
        <w:t>本文相对 Guralnick 等的三处推进。</w:t>
      </w:r>
      <w:r>
        <w:t xml:space="preserve"> 上述三条线各自成熟，但</w:t>
      </w:r>
      <w:r>
        <w:rPr>
          <w:b/>
        </w:rPr>
        <w:t>在真菌命名学语境下，尚无"属级 × 跨库（分类库 / 名称登记库 / 机构目录）× 显式分母"的量化</w:t>
      </w:r>
      <w:r>
        <w:t>，种级分歧的</w:t>
      </w:r>
      <w:r>
        <w:rPr>
          <w:b/>
        </w:rPr>
        <w:t>方向与机制</w:t>
      </w:r>
      <w:r>
        <w:t>也未被检验。本文沿用 Guralnick 等对标识符可靠性的诊断框架</w:t>
      </w:r>
      <w:r>
        <w:rPr>
          <w:vertAlign w:val="superscript"/>
        </w:rPr>
        <w:t>[1]</w:t>
      </w:r>
      <w:r>
        <w:t>，但在三处推进。① 引入</w:t>
      </w:r>
      <w:r>
        <w:rPr>
          <w:b/>
        </w:rPr>
        <w:t>模式地位与命名学</w:t>
      </w:r>
      <w:r>
        <w:t>维度（异名、同名异物、有性型属名）——这是真菌材料特有的问题，动物标本体系中并无对应物。② 提出</w:t>
      </w:r>
      <w:r>
        <w:rPr>
          <w:b/>
        </w:rPr>
        <w:t>可核率与分母口径</w:t>
      </w:r>
      <w:r>
        <w:t>，处理「多数记录根本无从核对」这一他们未面对的情形（本文占 71.3%）。③ 比较</w:t>
      </w:r>
      <w:r>
        <w:rPr>
          <w:b/>
        </w:rPr>
        <w:t>两个名称登记库</w:t>
      </w:r>
      <w:r>
        <w:t>之间的分歧方向与机制，并加入</w:t>
      </w:r>
      <w:r>
        <w:rPr>
          <w:b/>
        </w:rPr>
        <w:t>反向审计</w:t>
      </w:r>
      <w:r>
        <w:t>，以纠正「目录查无即号不存在」的系统性误判。此外，本文另设 30 条分层验证子样本，以原始发表为准复核自身判定（见 2.4 与 3.1），直接回应「凭什么认为机构目录是对的」——结果显示机构目录本身也会错。</w:t>
      </w:r>
    </w:p>
    <w:p>
      <w:pPr>
        <w:ind w:firstLine="0"/>
      </w:pPr>
      <w:r>
        <w:t>本文以三个真菌属为对象回答三个问题：</w:t>
      </w:r>
    </w:p>
    <w:p>
      <w:pPr>
        <w:pStyle w:val="ListNumber"/>
        <w:spacing w:after="60"/>
      </w:pPr>
      <w:r>
        <w:t>在属级尺度上，保藏号与名称记录之间号级不一致的频率是多少？</w:t>
      </w:r>
      <w:r>
        <w:rPr>
          <w:b/>
        </w:rPr>
        <w:t>分母应当怎么取？</w:t>
      </w:r>
    </w:p>
    <w:p>
      <w:pPr>
        <w:pStyle w:val="ListNumber"/>
        <w:spacing w:after="60"/>
      </w:pPr>
      <w:r>
        <w:t>当两个维护型数据库（NCBI Taxonomy 与 MycoBank）给出相反答案时，</w:t>
      </w:r>
      <w:r>
        <w:rPr>
          <w:b/>
        </w:rPr>
        <w:t>谁更可能对？</w:t>
      </w:r>
    </w:p>
    <w:p>
      <w:pPr>
        <w:pStyle w:val="ListNumber"/>
        <w:spacing w:after="60"/>
      </w:pPr>
      <w:r>
        <w:t>按学名做跨库匹配，会在哪些地方</w:t>
      </w:r>
      <w:r>
        <w:rPr>
          <w:b/>
        </w:rPr>
        <w:t>静默出错</w:t>
      </w:r>
      <w:r>
        <w:t>？</w:t>
      </w:r>
    </w:p>
    <w:p>
      <w:pPr>
        <w:ind w:firstLine="0"/>
      </w:pPr>
      <w:r>
        <w:t>选择 Colletotrichum、Trichoderma、Diaporthe 的依据是：三者在 NCBI 分类库中有足够的种级记录（分别 2,277、2,574、1,600 个种级 taxon），过滤为规范双名后规模可比（408、445、507 种），且分属不同生态类群——植物病原（Colletotrichum）、生防与土壤真菌（Trichoderma）、内生与致病兼性（Diaporthe）。这样属间差异可以被观察，而不只是单属的偶然状况。其中 Diaporthe 近二十年大量拆种，且被证明为并系属（paraphyletic，即该属并不包含其共同祖先的全部后代）</w:t>
      </w:r>
      <w:r>
        <w:rPr>
          <w:vertAlign w:val="superscript"/>
        </w:rPr>
        <w:t>[12]</w:t>
      </w:r>
      <w:r>
        <w:t>，理论上正是种级分歧最可能集中的地方——这一点在结果中得到验证（见 3.2）。</w:t>
      </w:r>
    </w:p>
    <w:p>
      <w:pPr>
        <w:pStyle w:val="Heading2"/>
      </w:pPr>
      <w:r>
        <w:t>2 材料与方法</w:t>
      </w:r>
    </w:p>
    <w:p>
      <w:pPr>
        <w:pStyle w:val="Heading3"/>
      </w:pPr>
      <w:r>
        <w:t>2.1 数据来源与物种清单</w:t>
      </w:r>
    </w:p>
    <w:p>
      <w:pPr>
        <w:ind w:firstLine="0"/>
      </w:pPr>
      <w:r>
        <w:t xml:space="preserve">以 NCBI Taxonomy 的检索式为起点，取三属内全部种级 taxon，再过滤为规范双名（两词、种加词小写；剔除 </w:t>
      </w:r>
      <w:r>
        <w:rPr>
          <w:rFonts w:ascii="Consolas" w:hAnsi="Consolas"/>
          <w:sz w:val="19"/>
        </w:rPr>
        <w:t>sp.</w:t>
      </w:r>
      <w:r>
        <w:t>、</w:t>
      </w:r>
      <w:r>
        <w:rPr>
          <w:rFonts w:ascii="Consolas" w:hAnsi="Consolas"/>
          <w:sz w:val="19"/>
        </w:rPr>
        <w:t>cf.</w:t>
      </w:r>
      <w:r>
        <w:t>、</w:t>
      </w:r>
      <w:r>
        <w:rPr>
          <w:rFonts w:ascii="Consolas" w:hAnsi="Consolas"/>
          <w:sz w:val="19"/>
        </w:rPr>
        <w:t>aff.</w:t>
      </w:r>
      <w:r>
        <w:t xml:space="preserve"> 及仅到属名者），得到 Colletotrichum 408、Trichoderma 445、Diaporthe 507 种，合计 1,360 种。</w:t>
      </w:r>
    </w:p>
    <w:p>
      <w:pPr>
        <w:ind w:firstLine="0"/>
      </w:pPr>
      <w:r>
        <w:t xml:space="preserve">物种清单、命名人与模式材料取自 NCBI Taxonomy，序列与记录字段取自 NCBI Nucleotide，名字关系取自 MycoBank 本地导出（426,834 行），机构侧对照依据 CBS / ICMP / CGMCC 公开目录，分歧裁决依据 PubMed / PMC。全部查询完成于 </w:t>
      </w:r>
      <w:r>
        <w:rPr>
          <w:b/>
        </w:rPr>
        <w:t>2026 年 10 月 10 日</w:t>
      </w:r>
      <w:r>
        <w:t>；分类库与机构目录持续更新，本文的计数与结论仅对应这一天。</w:t>
      </w:r>
    </w:p>
    <w:p>
      <w:pPr>
        <w:ind w:firstLine="0"/>
      </w:pPr>
      <w:r>
        <w:t>各属「种级 taxon → 规范双名」的保留比例并不相同（数值见 3.1），提示记录规范程度因属而异，因此不能用统一比例从一个属外推另一个属。全部核验由一条流水线分步执行，可用单条命令复现（见「数据与代码可用性」）。</w:t>
      </w:r>
    </w:p>
    <w:p>
      <w:pPr>
        <w:pStyle w:val="Heading3"/>
      </w:pPr>
      <w:r>
        <w:t>2.2 统计单位与比例的分母</w:t>
      </w:r>
    </w:p>
    <w:p>
      <w:pPr>
        <w:ind w:firstLine="0"/>
      </w:pPr>
      <w:r>
        <w:rPr>
          <w:b/>
        </w:rPr>
        <w:t>统计单位。</w:t>
      </w:r>
      <w:r>
        <w:t xml:space="preserve"> 我们数的是「一个保藏号在一个种下的一次出现」，本文称为一个</w:t>
      </w:r>
      <w:r>
        <w:rPr>
          <w:b/>
        </w:rPr>
        <w:t>号级单元格</w:t>
      </w:r>
      <w:r>
        <w:t xml:space="preserve">。例如 CBS 126514 若同时出现在 </w:t>
      </w:r>
      <w:r>
        <w:rPr>
          <w:i/>
        </w:rPr>
        <w:t>Diaporthe arecae</w:t>
      </w:r>
      <w:r>
        <w:t xml:space="preserve"> 与 </w:t>
      </w:r>
      <w:r>
        <w:rPr>
          <w:i/>
        </w:rPr>
        <w:t>D. citri</w:t>
      </w:r>
      <w:r>
        <w:t xml:space="preserve"> 两个种下，就算 2 个号级单元格。</w:t>
      </w:r>
    </w:p>
    <w:p>
      <w:pPr>
        <w:ind w:firstLine="0"/>
      </w:pPr>
      <w:r>
        <w:rPr>
          <w:b/>
        </w:rPr>
        <w:t>分母只取可核号。</w:t>
      </w:r>
      <w:r>
        <w:t xml:space="preserve"> 只有在 CBS、ICMP、CGMCC 三家保藏中心的公开机读目录里能核对到的号，才进入分母；其余号的所在机构没有可机读目录、或只是研究者自己的工作编号，既不进分子也不进分母（取此口径的理由见 4.3）。三个总数的具体数值与筛选流程见 3.1 与图 1。三家中心的身份是：</w:t>
      </w:r>
      <w:r>
        <w:rPr>
          <w:b/>
        </w:rPr>
        <w:t>CBS</w:t>
      </w:r>
      <w:r>
        <w:t>（荷兰威斯特代克真菌生物多样性研究所）、</w:t>
      </w:r>
      <w:r>
        <w:rPr>
          <w:b/>
        </w:rPr>
        <w:t>ICMP</w:t>
      </w:r>
      <w:r>
        <w:t>（新西兰国际植物标本馆的菌物保藏）、</w:t>
      </w:r>
      <w:r>
        <w:rPr>
          <w:b/>
        </w:rPr>
        <w:t>CGMCC</w:t>
      </w:r>
      <w:r>
        <w:t>（中国普通微生物菌种保藏管理中心）。</w:t>
      </w:r>
    </w:p>
    <w:p>
      <w:pPr>
        <w:ind w:firstLine="0"/>
      </w:pPr>
      <w:r>
        <w:rPr>
          <w:b/>
        </w:rPr>
        <w:t>比例怎么算。</w:t>
      </w:r>
      <w:r>
        <w:t xml:space="preserve"> 分母与分子的规模已在 3.1 给出（表 3、图 1）；这里只定义口径： 全文的「号级不一致率」一律是：号级不一致的单元格数 ÷ 可核号数（数值见 3.1）。核对不了的那些既不进分子、也不进分母——若把它们算进分母，率会被稀释到没有意义；若把「查不了」当成「没问题」，又等于默认这部分零错误。这样取分母的理由见 4.3。</w:t>
      </w:r>
    </w:p>
    <w:p>
      <w:pPr>
        <w:ind w:firstLine="0"/>
      </w:pPr>
      <w:r>
        <w:rPr>
          <w:b/>
        </w:rPr>
        <w:t>「号级不一致」与「种级分歧」是两个不同层级的统计对象。</w:t>
      </w:r>
      <w:r>
        <w:t xml:space="preserve"> 「号级不一致」指</w:t>
      </w:r>
      <w:r>
        <w:rPr>
          <w:b/>
        </w:rPr>
        <w:t>同一个保藏号在「名称」或「号本身」上与机构目录对不上</w:t>
      </w:r>
      <w:r>
        <w:t xml:space="preserve">，含两个子类：① </w:t>
      </w:r>
      <w:r>
        <w:rPr>
          <w:b/>
        </w:rPr>
        <w:t>名称不符</w:t>
      </w:r>
      <w:r>
        <w:t xml:space="preserve">——GenBank 记录名与机构目录登记名不同（GenBank 说 X、目录说 Y）；② </w:t>
      </w:r>
      <w:r>
        <w:rPr>
          <w:b/>
        </w:rPr>
        <w:t>号本身有问题</w:t>
      </w:r>
      <w:r>
        <w:t>——该号是研究者工作编号而非机构编号、被申报为模式材料而机构目录无记录、或在该机构目录中根本查不到。两类之中</w:t>
      </w:r>
      <w:r>
        <w:rPr>
          <w:b/>
        </w:rPr>
        <w:t>以第 ② 类的数量占多</w:t>
      </w:r>
      <w:r>
        <w:t>（构成见 3.1），</w:t>
      </w:r>
      <w:r>
        <w:rPr>
          <w:b/>
        </w:rPr>
        <w:t>因此不能把「号级不一致」等同于「名字写错」</w:t>
      </w:r>
      <w:r>
        <w:t>。种级层面的名称归并分歧——NCBI 保留独立 taxon 而 MycoBank 已并入他名、不涉及具体保藏号——另立一类，本文称</w:t>
      </w:r>
      <w:r>
        <w:rPr>
          <w:b/>
        </w:rPr>
        <w:t>「种级分歧」</w:t>
      </w:r>
      <w:r>
        <w:t>。两者比较的对象不同，不混算。</w:t>
      </w:r>
    </w:p>
    <w:p>
      <w:pPr>
        <w:ind w:firstLine="0"/>
      </w:pPr>
      <w:r>
        <w:rPr>
          <w:b/>
        </w:rPr>
        <w:t>「号级不一致」也不等于「错误」。</w:t>
      </w:r>
      <w:r>
        <w:t xml:space="preserve"> 「错误」要有原始发表或模式材料支持、能判明哪一方错了，本文只对种级分歧做了这种裁决（条数见 3.2）。因此全文的比例都读作「号级不一致率」，不是「错误率」。</w:t>
      </w:r>
    </w:p>
    <w:p>
      <w:pPr>
        <w:ind w:firstLine="0"/>
      </w:pPr>
      <w:r>
        <w:rPr>
          <w:b/>
        </w:rPr>
        <w:t>本文不作属间排名。</w:t>
      </w:r>
      <w:r>
        <w:t xml:space="preserve"> 可核率与号级不一致率都只按属报告，不做排序。理由有二。其一，两个置信区间重叠并不能推出「两者没有差异」——区间重叠只是偏保守的目视判据，即便某一对的差异在检验上显著，也不由此得到三属的优劣序。其二，更根本的是</w:t>
      </w:r>
      <w:r>
        <w:rPr>
          <w:b/>
        </w:rPr>
        <w:t>分母不同质</w:t>
      </w:r>
      <w:r>
        <w:t>：三个属的可核号来自不同机构（三属的可核号来自不同机构，构成见图 2B），即便差异显著，它反映的也可能是这两个子集的机构构成不同，而非记录质量更差。</w:t>
      </w:r>
    </w:p>
    <w:p>
      <w:pPr>
        <w:pStyle w:val="Heading3"/>
      </w:pPr>
      <w:r>
        <w:t>2.3 判断规则</w:t>
      </w:r>
    </w:p>
    <w:p>
      <w:pPr>
        <w:ind w:firstLine="0"/>
      </w:pPr>
      <w:r>
        <w:t>判断所依据的证据由强到弱有四档：</w:t>
      </w:r>
      <w:r>
        <w:rPr>
          <w:b/>
        </w:rPr>
        <w:t>原始发表</w:t>
      </w:r>
      <w:r>
        <w:t>（作者当年指定模式与编号，是真值）＞ 模式材料记录（二手转录，可能出错）＞ 保藏中心目录（实体登记方，但公开程度不一）＞ GenBank 记录（作者申报，未经独立核对）。本文多数判断比较的是后两档，都非真值（见 4.4 第 3 条）；为此另设 30 条验证子样本，以原始发表为准逐条核对（设计见 2.4，结果见 3.1）。</w:t>
      </w:r>
    </w:p>
    <w:p>
      <w:pPr>
        <w:ind w:firstLine="0"/>
      </w:pPr>
      <w:r>
        <w:t>核验分四层：</w:t>
      </w:r>
      <w:r>
        <w:rPr>
          <w:b/>
        </w:rPr>
        <w:t>号层</w:t>
      </w:r>
      <w:r>
        <w:t>（目录中是否有该号、登记名与模式地位是否相符）、</w:t>
      </w:r>
      <w:r>
        <w:rPr>
          <w:b/>
        </w:rPr>
        <w:t>名字层</w:t>
      </w:r>
      <w:r>
        <w:t>（NCBI 分类名、MycoBank 接受名、机构登记名与 GenBank 记录名四方交叉）、</w:t>
      </w:r>
      <w:r>
        <w:rPr>
          <w:b/>
        </w:rPr>
        <w:t>序列层</w:t>
      </w:r>
      <w:r>
        <w:t>（同一号是否被 GenBank 标成不同种）、</w:t>
      </w:r>
      <w:r>
        <w:rPr>
          <w:b/>
        </w:rPr>
        <w:t>分类层</w:t>
      </w:r>
      <w:r>
        <w:t>（同一号是否被多个种登记为正模）。另设</w:t>
      </w:r>
      <w:r>
        <w:rPr>
          <w:b/>
        </w:rPr>
        <w:t>反向审计</w:t>
      </w:r>
      <w:r>
        <w:t>一项（对判为「号不存在」者回查 GenBank，见下文）。</w:t>
      </w:r>
    </w:p>
    <w:p>
      <w:pPr>
        <w:ind w:firstLine="0"/>
      </w:pPr>
      <w:r>
        <w:t>跨库匹配最常见的错误，是把「学名不同」直接当成「异名」。实际上「学名与当前接受名不同」涵盖四种性质完全不同的关系，加上「两者本来就相同」这一基线，共五种（表 1）。其中换属（种加词不变、只换属名）与真异名（并入别的种）性质完全不同——若把换属一并算作异名，异名数会明显虚高（比例与影响见 3.2 与 4.3）。因此本文的判据是：</w:t>
      </w:r>
      <w:r>
        <w:rPr>
          <w:b/>
        </w:rPr>
        <w:t>种加词相同即同一物种改名，种加词不同才是物种被合并。</w:t>
      </w:r>
    </w:p>
    <w:p>
      <w:pPr>
        <w:ind w:firstLine="0"/>
      </w:pPr>
      <w:r>
        <w:rPr>
          <w:b/>
        </w:rPr>
        <w:t>表 1</w:t>
      </w:r>
      <w:r>
        <w:t xml:space="preserve">　名字关系的五种情形（判据表；各行在 MycoBank 中的实际占比见 3.2）</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r>
            <w:r>
              <w:rPr>
                <w:b/>
                <w:sz w:val="18"/>
              </w:rPr>
              <w:t>关系</w:t>
            </w:r>
          </w:p>
        </w:tc>
        <w:tc>
          <w:tcPr>
            <w:tcW w:type="dxa" w:w="3024"/>
          </w:tcPr>
          <w:p>
            <w:pPr>
              <w:jc w:val="center"/>
            </w:pPr>
            <w:r>
              <w:rPr>
                <w:b/>
                <w:sz w:val="18"/>
              </w:rPr>
            </w:r>
            <w:r>
              <w:rPr>
                <w:b/>
                <w:sz w:val="18"/>
              </w:rPr>
              <w:t>判据</w:t>
            </w:r>
          </w:p>
        </w:tc>
        <w:tc>
          <w:tcPr>
            <w:tcW w:type="dxa" w:w="3024"/>
          </w:tcPr>
          <w:p>
            <w:pPr>
              <w:jc w:val="center"/>
            </w:pPr>
            <w:r>
              <w:rPr>
                <w:b/>
                <w:sz w:val="18"/>
              </w:rPr>
            </w:r>
            <w:r>
              <w:rPr>
                <w:b/>
                <w:sz w:val="18"/>
              </w:rPr>
              <w:t>是否同一物种</w:t>
            </w:r>
          </w:p>
        </w:tc>
      </w:tr>
      <w:tr>
        <w:tc>
          <w:tcPr>
            <w:tcW w:type="dxa" w:w="3024"/>
          </w:tcPr>
          <w:p>
            <w:pPr>
              <w:jc w:val="center"/>
            </w:pPr>
            <w:r>
              <w:rPr>
                <w:sz w:val="18"/>
              </w:rPr>
            </w:r>
            <w:r>
              <w:rPr>
                <w:sz w:val="18"/>
              </w:rPr>
              <w:t>自己即接受名</w:t>
            </w:r>
          </w:p>
        </w:tc>
        <w:tc>
          <w:tcPr>
            <w:tcW w:type="dxa" w:w="3024"/>
          </w:tcPr>
          <w:p>
            <w:pPr>
              <w:jc w:val="center"/>
            </w:pPr>
            <w:r>
              <w:rPr>
                <w:sz w:val="18"/>
              </w:rPr>
            </w:r>
            <w:r>
              <w:rPr>
                <w:sz w:val="18"/>
              </w:rPr>
              <w:t>两者相同</w:t>
            </w:r>
          </w:p>
        </w:tc>
        <w:tc>
          <w:tcPr>
            <w:tcW w:type="dxa" w:w="3024"/>
          </w:tcPr>
          <w:p>
            <w:pPr>
              <w:jc w:val="center"/>
            </w:pPr>
            <w:r>
              <w:rPr>
                <w:sz w:val="18"/>
              </w:rPr>
            </w:r>
            <w:r>
              <w:rPr>
                <w:sz w:val="18"/>
              </w:rPr>
              <w:t>—</w:t>
            </w:r>
          </w:p>
        </w:tc>
      </w:tr>
      <w:tr>
        <w:tc>
          <w:tcPr>
            <w:tcW w:type="dxa" w:w="3024"/>
          </w:tcPr>
          <w:p>
            <w:pPr>
              <w:jc w:val="center"/>
            </w:pPr>
            <w:r>
              <w:rPr>
                <w:sz w:val="18"/>
              </w:rPr>
            </w:r>
            <w:r>
              <w:rPr>
                <w:b/>
                <w:sz w:val="18"/>
              </w:rPr>
              <w:t>换属（新组合）</w:t>
            </w:r>
          </w:p>
        </w:tc>
        <w:tc>
          <w:tcPr>
            <w:tcW w:type="dxa" w:w="3024"/>
          </w:tcPr>
          <w:p>
            <w:pPr>
              <w:jc w:val="center"/>
            </w:pPr>
            <w:r>
              <w:rPr>
                <w:sz w:val="18"/>
              </w:rPr>
            </w:r>
            <w:r>
              <w:rPr>
                <w:sz w:val="18"/>
              </w:rPr>
              <w:t>种加词相同、属名不同</w:t>
            </w:r>
          </w:p>
        </w:tc>
        <w:tc>
          <w:tcPr>
            <w:tcW w:type="dxa" w:w="3024"/>
          </w:tcPr>
          <w:p>
            <w:pPr>
              <w:jc w:val="center"/>
            </w:pPr>
            <w:r>
              <w:rPr>
                <w:sz w:val="18"/>
              </w:rPr>
            </w:r>
            <w:r>
              <w:rPr>
                <w:b/>
                <w:sz w:val="18"/>
              </w:rPr>
              <w:t>是</w:t>
            </w:r>
          </w:p>
        </w:tc>
      </w:tr>
      <w:tr>
        <w:tc>
          <w:tcPr>
            <w:tcW w:type="dxa" w:w="3024"/>
          </w:tcPr>
          <w:p>
            <w:pPr>
              <w:jc w:val="center"/>
            </w:pPr>
            <w:r>
              <w:rPr>
                <w:sz w:val="18"/>
              </w:rPr>
            </w:r>
            <w:r>
              <w:rPr>
                <w:b/>
                <w:sz w:val="18"/>
              </w:rPr>
              <w:t>并入别的种（真异名）</w:t>
            </w:r>
          </w:p>
        </w:tc>
        <w:tc>
          <w:tcPr>
            <w:tcW w:type="dxa" w:w="3024"/>
          </w:tcPr>
          <w:p>
            <w:pPr>
              <w:jc w:val="center"/>
            </w:pPr>
            <w:r>
              <w:rPr>
                <w:sz w:val="18"/>
              </w:rPr>
            </w:r>
            <w:r>
              <w:rPr>
                <w:sz w:val="18"/>
              </w:rPr>
              <w:t>种加词不同</w:t>
            </w:r>
          </w:p>
        </w:tc>
        <w:tc>
          <w:tcPr>
            <w:tcW w:type="dxa" w:w="3024"/>
          </w:tcPr>
          <w:p>
            <w:pPr>
              <w:jc w:val="center"/>
            </w:pPr>
            <w:r>
              <w:rPr>
                <w:sz w:val="18"/>
              </w:rPr>
            </w:r>
            <w:r>
              <w:rPr>
                <w:b/>
                <w:sz w:val="18"/>
              </w:rPr>
              <w:t>否</w:t>
            </w:r>
          </w:p>
        </w:tc>
      </w:tr>
      <w:tr>
        <w:tc>
          <w:tcPr>
            <w:tcW w:type="dxa" w:w="3024"/>
          </w:tcPr>
          <w:p>
            <w:pPr>
              <w:jc w:val="center"/>
            </w:pPr>
            <w:r>
              <w:rPr>
                <w:sz w:val="18"/>
              </w:rPr>
            </w:r>
            <w:r>
              <w:rPr>
                <w:sz w:val="18"/>
              </w:rPr>
              <w:t>拼写/性别更正</w:t>
            </w:r>
          </w:p>
        </w:tc>
        <w:tc>
          <w:tcPr>
            <w:tcW w:type="dxa" w:w="3024"/>
          </w:tcPr>
          <w:p>
            <w:pPr>
              <w:jc w:val="center"/>
            </w:pPr>
            <w:r>
              <w:rPr>
                <w:sz w:val="18"/>
              </w:rPr>
            </w:r>
            <w:r>
              <w:rPr>
                <w:sz w:val="18"/>
              </w:rPr>
              <w:t>词干相同、词尾不同</w:t>
            </w:r>
          </w:p>
        </w:tc>
        <w:tc>
          <w:tcPr>
            <w:tcW w:type="dxa" w:w="3024"/>
          </w:tcPr>
          <w:p>
            <w:pPr>
              <w:jc w:val="center"/>
            </w:pPr>
            <w:r>
              <w:rPr>
                <w:sz w:val="18"/>
              </w:rPr>
            </w:r>
            <w:r>
              <w:rPr>
                <w:b/>
                <w:sz w:val="18"/>
              </w:rPr>
              <w:t>是</w:t>
            </w:r>
          </w:p>
        </w:tc>
      </w:tr>
      <w:tr>
        <w:tc>
          <w:tcPr>
            <w:tcW w:type="dxa" w:w="3024"/>
          </w:tcPr>
          <w:p>
            <w:pPr>
              <w:jc w:val="center"/>
            </w:pPr>
            <w:r>
              <w:rPr>
                <w:sz w:val="18"/>
              </w:rPr>
            </w:r>
            <w:r>
              <w:rPr>
                <w:sz w:val="18"/>
              </w:rPr>
              <w:t>同名不同写法</w:t>
            </w:r>
          </w:p>
        </w:tc>
        <w:tc>
          <w:tcPr>
            <w:tcW w:type="dxa" w:w="3024"/>
          </w:tcPr>
          <w:p>
            <w:pPr>
              <w:jc w:val="center"/>
            </w:pPr>
            <w:r>
              <w:rPr>
                <w:sz w:val="18"/>
              </w:rPr>
            </w:r>
            <w:r>
              <w:rPr>
                <w:sz w:val="18"/>
              </w:rPr>
              <w:t>仅标点/连字符差异</w:t>
            </w:r>
          </w:p>
        </w:tc>
        <w:tc>
          <w:tcPr>
            <w:tcW w:type="dxa" w:w="3024"/>
          </w:tcPr>
          <w:p>
            <w:pPr>
              <w:jc w:val="center"/>
            </w:pPr>
            <w:r>
              <w:rPr>
                <w:sz w:val="18"/>
              </w:rPr>
            </w:r>
            <w:r>
              <w:rPr>
                <w:b/>
                <w:sz w:val="18"/>
              </w:rPr>
              <w:t>是</w:t>
            </w:r>
          </w:p>
        </w:tc>
      </w:tr>
    </w:tbl>
    <w:p/>
    <w:p>
      <w:pPr>
        <w:ind w:firstLine="0"/>
      </w:pPr>
      <w:r>
        <w:t>当 NCBI 保留独立 taxon 而 MycoBank 并入他名时，按证据强度分四级（表 2）：A 级是同行评议论文正式列入异名表，可作结论；B 级是论文论证应合并但未做命名学处理，只能说「学界倾向」；C 级是未检索到修订文献，不可作结论；D 级是 MycoBank 的合并缺乏文献支持，标为候选。同名异物（homonym，同一双名为不同作者所描述）不属证据强度序列，须按命名人与模式材料对号后单独定案（见 3.2 表 7）。</w:t>
      </w:r>
    </w:p>
    <w:p>
      <w:pPr>
        <w:ind w:firstLine="0"/>
      </w:pPr>
      <w:r>
        <w:rPr>
          <w:b/>
        </w:rPr>
        <w:t>表 2</w:t>
      </w:r>
      <w:r>
        <w:t xml:space="preserve">　分歧裁决的证据分级</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r>
            <w:r>
              <w:rPr>
                <w:b/>
                <w:sz w:val="18"/>
              </w:rPr>
              <w:t>级别</w:t>
            </w:r>
          </w:p>
        </w:tc>
        <w:tc>
          <w:tcPr>
            <w:tcW w:type="dxa" w:w="3024"/>
          </w:tcPr>
          <w:p>
            <w:pPr>
              <w:jc w:val="center"/>
            </w:pPr>
            <w:r>
              <w:rPr>
                <w:b/>
                <w:sz w:val="18"/>
              </w:rPr>
            </w:r>
            <w:r>
              <w:rPr>
                <w:b/>
                <w:sz w:val="18"/>
              </w:rPr>
              <w:t>判据</w:t>
            </w:r>
          </w:p>
        </w:tc>
        <w:tc>
          <w:tcPr>
            <w:tcW w:type="dxa" w:w="3024"/>
          </w:tcPr>
          <w:p>
            <w:pPr>
              <w:jc w:val="center"/>
            </w:pPr>
            <w:r>
              <w:rPr>
                <w:b/>
                <w:sz w:val="18"/>
              </w:rPr>
            </w:r>
            <w:r>
              <w:rPr>
                <w:b/>
                <w:sz w:val="18"/>
              </w:rPr>
              <w:t>可否作为结论引用</w:t>
            </w:r>
          </w:p>
        </w:tc>
      </w:tr>
      <w:tr>
        <w:tc>
          <w:tcPr>
            <w:tcW w:type="dxa" w:w="3024"/>
          </w:tcPr>
          <w:p>
            <w:pPr>
              <w:jc w:val="center"/>
            </w:pPr>
            <w:r>
              <w:rPr>
                <w:sz w:val="18"/>
              </w:rPr>
            </w:r>
            <w:r>
              <w:rPr>
                <w:sz w:val="18"/>
              </w:rPr>
              <w:t>A 决定性</w:t>
            </w:r>
          </w:p>
        </w:tc>
        <w:tc>
          <w:tcPr>
            <w:tcW w:type="dxa" w:w="3024"/>
          </w:tcPr>
          <w:p>
            <w:pPr>
              <w:jc w:val="center"/>
            </w:pPr>
            <w:r>
              <w:rPr>
                <w:sz w:val="18"/>
              </w:rPr>
            </w:r>
            <w:r>
              <w:rPr>
                <w:sz w:val="18"/>
              </w:rPr>
              <w:t>同行评议论文</w:t>
            </w:r>
            <w:r>
              <w:rPr>
                <w:b/>
                <w:sz w:val="18"/>
              </w:rPr>
              <w:t>正式列入异名表</w:t>
            </w:r>
          </w:p>
        </w:tc>
        <w:tc>
          <w:tcPr>
            <w:tcW w:type="dxa" w:w="3024"/>
          </w:tcPr>
          <w:p>
            <w:pPr>
              <w:jc w:val="center"/>
            </w:pPr>
            <w:r>
              <w:rPr>
                <w:sz w:val="18"/>
              </w:rPr>
            </w:r>
            <w:r>
              <w:rPr>
                <w:sz w:val="18"/>
              </w:rPr>
              <w:t>可以，须注明文献</w:t>
            </w:r>
          </w:p>
        </w:tc>
      </w:tr>
      <w:tr>
        <w:tc>
          <w:tcPr>
            <w:tcW w:type="dxa" w:w="3024"/>
          </w:tcPr>
          <w:p>
            <w:pPr>
              <w:jc w:val="center"/>
            </w:pPr>
            <w:r>
              <w:rPr>
                <w:sz w:val="18"/>
              </w:rPr>
            </w:r>
            <w:r>
              <w:rPr>
                <w:sz w:val="18"/>
              </w:rPr>
              <w:t>B 倾向性</w:t>
            </w:r>
          </w:p>
        </w:tc>
        <w:tc>
          <w:tcPr>
            <w:tcW w:type="dxa" w:w="3024"/>
          </w:tcPr>
          <w:p>
            <w:pPr>
              <w:jc w:val="center"/>
            </w:pPr>
            <w:r>
              <w:rPr>
                <w:sz w:val="18"/>
              </w:rPr>
            </w:r>
            <w:r>
              <w:rPr>
                <w:sz w:val="18"/>
              </w:rPr>
              <w:t>论文</w:t>
            </w:r>
            <w:r>
              <w:rPr>
                <w:b/>
                <w:sz w:val="18"/>
              </w:rPr>
              <w:t>论证应合并</w:t>
            </w:r>
            <w:r>
              <w:rPr>
                <w:sz w:val="18"/>
              </w:rPr>
              <w:t>但未做正式命名学处理</w:t>
            </w:r>
          </w:p>
        </w:tc>
        <w:tc>
          <w:tcPr>
            <w:tcW w:type="dxa" w:w="3024"/>
          </w:tcPr>
          <w:p>
            <w:pPr>
              <w:jc w:val="center"/>
            </w:pPr>
            <w:r>
              <w:rPr>
                <w:sz w:val="18"/>
              </w:rPr>
            </w:r>
            <w:r>
              <w:rPr>
                <w:sz w:val="18"/>
              </w:rPr>
              <w:t>只能说"学界倾向"</w:t>
            </w:r>
          </w:p>
        </w:tc>
      </w:tr>
      <w:tr>
        <w:tc>
          <w:tcPr>
            <w:tcW w:type="dxa" w:w="3024"/>
          </w:tcPr>
          <w:p>
            <w:pPr>
              <w:jc w:val="center"/>
            </w:pPr>
            <w:r>
              <w:rPr>
                <w:sz w:val="18"/>
              </w:rPr>
            </w:r>
            <w:r>
              <w:rPr>
                <w:sz w:val="18"/>
              </w:rPr>
              <w:t>C 待查</w:t>
            </w:r>
          </w:p>
        </w:tc>
        <w:tc>
          <w:tcPr>
            <w:tcW w:type="dxa" w:w="3024"/>
          </w:tcPr>
          <w:p>
            <w:pPr>
              <w:jc w:val="center"/>
            </w:pPr>
            <w:r>
              <w:rPr>
                <w:sz w:val="18"/>
              </w:rPr>
            </w:r>
            <w:r>
              <w:rPr>
                <w:sz w:val="18"/>
              </w:rPr>
              <w:t>未检索到对应修订文献</w:t>
            </w:r>
          </w:p>
        </w:tc>
        <w:tc>
          <w:tcPr>
            <w:tcW w:type="dxa" w:w="3024"/>
          </w:tcPr>
          <w:p>
            <w:pPr>
              <w:jc w:val="center"/>
            </w:pPr>
            <w:r>
              <w:rPr>
                <w:sz w:val="18"/>
              </w:rPr>
            </w:r>
            <w:r>
              <w:rPr>
                <w:sz w:val="18"/>
              </w:rPr>
              <w:t>不可作结论</w:t>
            </w:r>
          </w:p>
        </w:tc>
      </w:tr>
      <w:tr>
        <w:tc>
          <w:tcPr>
            <w:tcW w:type="dxa" w:w="3024"/>
          </w:tcPr>
          <w:p>
            <w:pPr>
              <w:jc w:val="center"/>
            </w:pPr>
            <w:r>
              <w:rPr>
                <w:sz w:val="18"/>
              </w:rPr>
            </w:r>
            <w:r>
              <w:rPr>
                <w:sz w:val="18"/>
              </w:rPr>
              <w:t>D 反向候选</w:t>
            </w:r>
          </w:p>
        </w:tc>
        <w:tc>
          <w:tcPr>
            <w:tcW w:type="dxa" w:w="3024"/>
          </w:tcPr>
          <w:p>
            <w:pPr>
              <w:jc w:val="center"/>
            </w:pPr>
            <w:r>
              <w:rPr>
                <w:sz w:val="18"/>
              </w:rPr>
            </w:r>
            <w:r>
              <w:rPr>
                <w:sz w:val="18"/>
              </w:rPr>
              <w:t>MycoBank 的合并缺乏可查文献支持</w:t>
            </w:r>
          </w:p>
        </w:tc>
        <w:tc>
          <w:tcPr>
            <w:tcW w:type="dxa" w:w="3024"/>
          </w:tcPr>
          <w:p>
            <w:pPr>
              <w:jc w:val="center"/>
            </w:pPr>
            <w:r>
              <w:rPr>
                <w:sz w:val="18"/>
              </w:rPr>
            </w:r>
            <w:r>
              <w:rPr>
                <w:sz w:val="18"/>
              </w:rPr>
              <w:t>标为候选</w:t>
            </w:r>
          </w:p>
        </w:tc>
      </w:tr>
    </w:tbl>
    <w:p/>
    <w:p>
      <w:pPr>
        <w:ind w:firstLine="0"/>
      </w:pPr>
      <w:r>
        <w:t>四条具体规则需要说明。其一，</w:t>
      </w:r>
      <w:r>
        <w:rPr>
          <w:b/>
        </w:rPr>
        <w:t>同名异物</w:t>
      </w:r>
      <w:r>
        <w:t xml:space="preserve">：同一双名可被不同作者在不同年份各描述一次，MycoBank 如实登记多行，晚出者标 </w:t>
      </w:r>
      <w:r>
        <w:rPr>
          <w:rFonts w:ascii="Consolas" w:hAnsi="Consolas"/>
          <w:sz w:val="19"/>
        </w:rPr>
        <w:t>Illegitimate</w:t>
      </w:r>
      <w:r>
        <w:t>，而 NCBI 只对应其中一个 taxon。本研究 MycoBank 快照中此类多行学名的规模见 3.2。</w:t>
      </w:r>
    </w:p>
    <w:p>
      <w:pPr>
        <w:ind w:firstLine="0"/>
      </w:pPr>
      <w:r>
        <w:rPr>
          <w:b/>
        </w:rPr>
        <w:t>这类条目能做到「机器列候选、人指认」，但不能全自动。</w:t>
      </w:r>
      <w:r>
        <w:t xml:space="preserve"> MycoBank 的完整导出含 </w:t>
      </w:r>
      <w:r>
        <w:rPr>
          <w:rFonts w:ascii="Consolas" w:hAnsi="Consolas"/>
          <w:sz w:val="19"/>
        </w:rPr>
        <w:t>Authors</w:t>
      </w:r>
      <w:r>
        <w:t xml:space="preserve"> 与 </w:t>
      </w:r>
      <w:r>
        <w:rPr>
          <w:rFonts w:ascii="Consolas" w:hAnsi="Consolas"/>
          <w:sz w:val="19"/>
        </w:rPr>
        <w:t>Year of effective publication</w:t>
      </w:r>
      <w:r>
        <w:t xml:space="preserve">，据此可为多行学名自动列出候选（规模见 3.2）；但 </w:t>
      </w:r>
      <w:r>
        <w:rPr>
          <w:b/>
        </w:rPr>
        <w:t>NCBI Taxonomy 对这些种未登记命名人</w:t>
      </w:r>
      <w:r>
        <w:t>（检验方式与结果见 3.2），因此「哪一行才对应该 taxon」无法由作者自动匹配。流程的处理是：不选取任何一行，置空并标「待消歧」，同时输出候选行供人判断。本研究涉及 4 条（</w:t>
      </w:r>
      <w:r>
        <w:rPr>
          <w:i/>
        </w:rPr>
        <w:t>D. biguttulata</w:t>
      </w:r>
      <w:r>
        <w:t>、</w:t>
      </w:r>
      <w:r>
        <w:rPr>
          <w:i/>
        </w:rPr>
        <w:t>D. longispora</w:t>
      </w:r>
      <w:r>
        <w:t>、</w:t>
      </w:r>
      <w:r>
        <w:rPr>
          <w:i/>
        </w:rPr>
        <w:t>D. salinicola</w:t>
      </w:r>
      <w:r>
        <w:t>、</w:t>
      </w:r>
      <w:r>
        <w:rPr>
          <w:i/>
        </w:rPr>
        <w:t>D. chinensis</w:t>
      </w:r>
      <w:r>
        <w:t>），均由此定案。</w:t>
      </w:r>
    </w:p>
    <w:p>
      <w:pPr>
        <w:ind w:firstLine="0"/>
      </w:pPr>
      <w:r>
        <w:rPr>
          <w:b/>
        </w:rPr>
        <w:t>这一判断依赖导出时点。</w:t>
      </w:r>
      <w:r>
        <w:t xml:space="preserve"> 同名行数与接受名会随 MycoBank 更新而变化，因此引用时应连同快照日期一起给出。其二，</w:t>
      </w:r>
      <w:r>
        <w:rPr>
          <w:b/>
        </w:rPr>
        <w:t>反向审计</w:t>
      </w:r>
      <w:r>
        <w:t>：对判为「号不存在」的号，回查 GenBank 是否有记录引用它；检索式写法见 2.3（规则四）。其三，</w:t>
      </w:r>
      <w:r>
        <w:rPr>
          <w:b/>
        </w:rPr>
        <w:t>有性型属名</w:t>
      </w:r>
      <w:r>
        <w:t xml:space="preserve">：「一菌一名」改革后有性世代属名并入无性世代属名（如 </w:t>
      </w:r>
      <w:r>
        <w:rPr>
          <w:i/>
        </w:rPr>
        <w:t>Hypocrea</w:t>
      </w:r>
      <w:r>
        <w:t xml:space="preserve"> → </w:t>
      </w:r>
      <w:r>
        <w:rPr>
          <w:i/>
        </w:rPr>
        <w:t>Trichoderma</w:t>
      </w:r>
      <w:r>
        <w:t>），判定时按种加词词干比对——</w:t>
      </w:r>
      <w:r>
        <w:rPr>
          <w:rFonts w:ascii="Consolas" w:hAnsi="Consolas"/>
          <w:sz w:val="19"/>
        </w:rPr>
        <w:t>cerace-a</w:t>
      </w:r>
      <w:r>
        <w:t xml:space="preserve"> 与 </w:t>
      </w:r>
      <w:r>
        <w:rPr>
          <w:rFonts w:ascii="Consolas" w:hAnsi="Consolas"/>
          <w:sz w:val="19"/>
        </w:rPr>
        <w:t>cerace-um</w:t>
      </w:r>
      <w:r>
        <w:t xml:space="preserve"> 为同一物种，仅因属名语法性别而词尾不同。</w:t>
      </w:r>
    </w:p>
    <w:p>
      <w:pPr>
        <w:ind w:firstLine="0"/>
      </w:pPr>
      <w:r>
        <w:t>其四，</w:t>
      </w:r>
      <w:r>
        <w:rPr>
          <w:b/>
        </w:rPr>
        <w:t>拼写变体</w:t>
      </w:r>
      <w:r>
        <w:t xml:space="preserve">：MycoBank 在 </w:t>
      </w:r>
      <w:r>
        <w:rPr>
          <w:rFonts w:ascii="Consolas" w:hAnsi="Consolas"/>
          <w:sz w:val="19"/>
        </w:rPr>
        <w:t>Name status</w:t>
      </w:r>
      <w:r>
        <w:t xml:space="preserve"> 列标为 </w:t>
      </w:r>
      <w:r>
        <w:rPr>
          <w:rFonts w:ascii="Consolas" w:hAnsi="Consolas"/>
          <w:sz w:val="19"/>
        </w:rPr>
        <w:t>Orthographic variant</w:t>
      </w:r>
      <w:r>
        <w:t xml:space="preserve"> 的条目，是同一个名字的两种拼写（如 </w:t>
      </w:r>
      <w:r>
        <w:rPr>
          <w:i/>
        </w:rPr>
        <w:t>C. acidae</w:t>
      </w:r>
      <w:r>
        <w:t xml:space="preserve"> ↔ </w:t>
      </w:r>
      <w:r>
        <w:rPr>
          <w:i/>
        </w:rPr>
        <w:t>C. acidi</w:t>
      </w:r>
      <w:r>
        <w:t>、</w:t>
      </w:r>
      <w:r>
        <w:rPr>
          <w:i/>
        </w:rPr>
        <w:t>D. multigutullata</w:t>
      </w:r>
      <w:r>
        <w:t xml:space="preserve"> ↔ </w:t>
      </w:r>
      <w:r>
        <w:rPr>
          <w:i/>
        </w:rPr>
        <w:t>D. multiguttulata</w:t>
      </w:r>
      <w:r>
        <w:t>），</w:t>
      </w:r>
      <w:r>
        <w:rPr>
          <w:b/>
        </w:rPr>
        <w:t>不计入种级分歧</w:t>
      </w:r>
      <w:r>
        <w:t>。</w:t>
      </w:r>
    </w:p>
    <w:p>
      <w:pPr>
        <w:pStyle w:val="Heading3"/>
      </w:pPr>
      <w:r>
        <w:t>2.4 质量保证与统计</w:t>
      </w:r>
    </w:p>
    <w:p>
      <w:pPr>
        <w:ind w:firstLine="0"/>
      </w:pPr>
      <w:r>
        <w:t>两种限制被显式记录，而不是静默丢弃。单种记录数超过 1,500 条者只扫描前 1,500 条，受影响物种由程序逐一写入各属的「覆盖声明」（数目见 4.4）。流程另以既有判定作回归测试（批次与一致性见 4.4）；须说明的是，这批用例本身由同一流程早期产出，故它证明的只是改版没有破坏既有判断，</w:t>
      </w:r>
      <w:r>
        <w:rPr>
          <w:b/>
        </w:rPr>
        <w:t>不构成独立验证</w:t>
      </w:r>
      <w:r>
        <w:t>。</w:t>
      </w:r>
    </w:p>
    <w:p>
      <w:pPr>
        <w:ind w:firstLine="0"/>
      </w:pPr>
      <w:r>
        <w:t>为评估判定本身的可信度，另设 30 条验证子样本：按三类判定各取 10 条，用确定性等距抽样（池内按固定步长取，可复现），以原始发表（protologue）为准逐条核对。三个池按单元格口径构造（201 / 189 / 291 条），去重到「层 × 种 × 号」后分别为 185 / 146 / 244 条；3.1 所引「号不存在 185」是去重后的值，而抽样是在 201 条中进行的。只采信正文出现该号的上下文（仅命中检索计数不算），无上下文者记「待核」。</w:t>
      </w:r>
    </w:p>
    <w:p>
      <w:pPr>
        <w:ind w:firstLine="0"/>
      </w:pPr>
      <w:r>
        <w:rPr>
          <w:b/>
        </w:rPr>
        <w:t>这 30 条用来回答什么、不回答什么。</w:t>
      </w:r>
      <w:r>
        <w:t xml:space="preserve"> 它是</w:t>
      </w:r>
      <w:r>
        <w:rPr>
          <w:b/>
        </w:rPr>
        <w:t>质性检验</w:t>
      </w:r>
      <w:r>
        <w:t>，回答两个问题：① 机构目录会不会错；② 本文的判定偏严还是偏松。它</w:t>
      </w:r>
      <w:r>
        <w:rPr>
          <w:b/>
        </w:rPr>
        <w:t>不用于估计总体率</w:t>
      </w:r>
      <w:r>
        <w:t>——三层按层等额各取 10 条，而三层的真实池大小为 185 / 146 / 244（占 32% / 25% / 42%），等额分配会压低大层、抬高小层，</w:t>
      </w:r>
      <w:r>
        <w:rPr>
          <w:b/>
        </w:rPr>
        <w:t>合并后的比例不能代表总体</w:t>
      </w:r>
      <w:r>
        <w:t>；层内又各只有 10 条，区间宽达 10–83%。因此 3.1 只报告</w:t>
      </w:r>
      <w:r>
        <w:rPr>
          <w:b/>
        </w:rPr>
        <w:t>层内计数与方向一致性</w:t>
      </w:r>
      <w:r>
        <w:t>，不据此推算「总体需修正率」。</w:t>
      </w:r>
    </w:p>
    <w:p>
      <w:pPr>
        <w:ind w:firstLine="0"/>
      </w:pPr>
      <w:r>
        <w:t>比例均给出 Wilson 95% 置信区间，组间比较用 Fisher 精确检验。</w:t>
      </w:r>
    </w:p>
    <w:p>
      <w:pPr>
        <w:pStyle w:val="Heading2"/>
      </w:pPr>
      <w:r>
        <w:t>3 结果</w:t>
      </w:r>
    </w:p>
    <w:p>
      <w:pPr>
        <w:ind w:firstLine="0"/>
      </w:pPr>
      <w:r>
        <w:t>本节分两层回答。</w:t>
      </w:r>
      <w:r>
        <w:rPr>
          <w:b/>
        </w:rPr>
        <w:t>号级</w:t>
      </w:r>
      <w:r>
        <w:t>（3.1）：保藏号与名称记录有多一致——能核对多少（分母）、有多少不一致（规模）、率是多少，以及这个数可不可信。</w:t>
      </w:r>
      <w:r>
        <w:rPr>
          <w:b/>
        </w:rPr>
        <w:t>种级</w:t>
      </w:r>
      <w:r>
        <w:t>（3.2）：两个分类库对「这个种该不该独立」的分歧，是一方错还是各有分工？</w:t>
      </w:r>
    </w:p>
    <w:p>
      <w:pPr>
        <w:ind w:firstLine="0"/>
      </w:pPr>
      <w:r>
        <w:t>两层合起来支持一个结论：</w:t>
      </w:r>
      <w:r>
        <w:rPr>
          <w:b/>
        </w:rPr>
        <w:t>没有任何单一来源可以作为真值</w:t>
      </w:r>
      <w:r>
        <w:t>。</w:t>
      </w:r>
    </w:p>
    <w:p>
      <w:pPr>
        <w:pStyle w:val="Heading3"/>
      </w:pPr>
      <w:r>
        <w:t>3.1 号级：能核对多少、有多少不一致、这个数可信吗</w:t>
      </w:r>
    </w:p>
    <w:p>
      <w:pPr>
        <w:ind w:firstLine="0"/>
      </w:pPr>
      <w:r>
        <w:t>先给三个总数的定义与筛选流程（表 3、图 1），再依次回答三问：能核对多少、有多少不一致、这个数可不可信。</w:t>
      </w:r>
    </w:p>
    <w:p>
      <w:pPr>
        <w:ind w:firstLine="0"/>
      </w:pPr>
      <w:r>
        <w:rPr>
          <w:b/>
        </w:rPr>
        <w:t>表 3</w:t>
      </w:r>
      <w:r>
        <w:t xml:space="preserve">　三个总数：全部号、可核号与不可核号</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r>
            <w:r>
              <w:rPr>
                <w:b/>
                <w:sz w:val="18"/>
              </w:rPr>
              <w:t>总数</w:t>
            </w:r>
          </w:p>
        </w:tc>
        <w:tc>
          <w:tcPr>
            <w:tcW w:type="dxa" w:w="2268"/>
          </w:tcPr>
          <w:p>
            <w:pPr>
              <w:jc w:val="center"/>
            </w:pPr>
            <w:r>
              <w:rPr>
                <w:b/>
                <w:sz w:val="18"/>
              </w:rPr>
            </w:r>
            <w:r>
              <w:rPr>
                <w:b/>
                <w:sz w:val="18"/>
              </w:rPr>
              <w:t>含义</w:t>
            </w:r>
          </w:p>
        </w:tc>
        <w:tc>
          <w:tcPr>
            <w:tcW w:type="dxa" w:w="2268"/>
          </w:tcPr>
          <w:p>
            <w:pPr>
              <w:jc w:val="center"/>
            </w:pPr>
            <w:r>
              <w:rPr>
                <w:b/>
                <w:sz w:val="18"/>
              </w:rPr>
            </w:r>
            <w:r>
              <w:rPr>
                <w:b/>
                <w:sz w:val="18"/>
              </w:rPr>
              <w:t>数量</w:t>
            </w:r>
          </w:p>
        </w:tc>
        <w:tc>
          <w:tcPr>
            <w:tcW w:type="dxa" w:w="2268"/>
          </w:tcPr>
          <w:p>
            <w:pPr>
              <w:jc w:val="center"/>
            </w:pPr>
            <w:r>
              <w:rPr>
                <w:b/>
                <w:sz w:val="18"/>
              </w:rPr>
            </w:r>
            <w:r>
              <w:rPr>
                <w:b/>
                <w:sz w:val="18"/>
              </w:rPr>
              <w:t>占全部</w:t>
            </w:r>
          </w:p>
        </w:tc>
      </w:tr>
      <w:tr>
        <w:tc>
          <w:tcPr>
            <w:tcW w:type="dxa" w:w="2268"/>
          </w:tcPr>
          <w:p>
            <w:pPr>
              <w:jc w:val="center"/>
            </w:pPr>
            <w:r>
              <w:rPr>
                <w:sz w:val="18"/>
              </w:rPr>
            </w:r>
            <w:r>
              <w:rPr>
                <w:sz w:val="18"/>
              </w:rPr>
              <w:t>全部号</w:t>
            </w:r>
          </w:p>
        </w:tc>
        <w:tc>
          <w:tcPr>
            <w:tcW w:type="dxa" w:w="2268"/>
          </w:tcPr>
          <w:p>
            <w:pPr>
              <w:jc w:val="center"/>
            </w:pPr>
            <w:r>
              <w:rPr>
                <w:sz w:val="18"/>
              </w:rPr>
            </w:r>
            <w:r>
              <w:rPr>
                <w:sz w:val="18"/>
              </w:rPr>
              <w:t>三属全部号级单元格</w:t>
            </w:r>
          </w:p>
        </w:tc>
        <w:tc>
          <w:tcPr>
            <w:tcW w:type="dxa" w:w="2268"/>
          </w:tcPr>
          <w:p>
            <w:pPr>
              <w:jc w:val="center"/>
            </w:pPr>
            <w:r>
              <w:rPr>
                <w:sz w:val="18"/>
              </w:rPr>
            </w:r>
            <w:r>
              <w:rPr>
                <w:sz w:val="18"/>
              </w:rPr>
              <w:t>11,103</w:t>
            </w:r>
          </w:p>
        </w:tc>
        <w:tc>
          <w:tcPr>
            <w:tcW w:type="dxa" w:w="2268"/>
          </w:tcPr>
          <w:p>
            <w:pPr>
              <w:jc w:val="center"/>
            </w:pPr>
            <w:r>
              <w:rPr>
                <w:sz w:val="18"/>
              </w:rPr>
            </w:r>
            <w:r>
              <w:rPr>
                <w:sz w:val="18"/>
              </w:rPr>
              <w:t>100%</w:t>
            </w:r>
          </w:p>
        </w:tc>
      </w:tr>
      <w:tr>
        <w:tc>
          <w:tcPr>
            <w:tcW w:type="dxa" w:w="2268"/>
          </w:tcPr>
          <w:p>
            <w:pPr>
              <w:jc w:val="center"/>
            </w:pPr>
            <w:r>
              <w:rPr>
                <w:sz w:val="18"/>
              </w:rPr>
            </w:r>
            <w:r>
              <w:rPr>
                <w:sz w:val="18"/>
              </w:rPr>
              <w:t>可核号</w:t>
            </w:r>
          </w:p>
        </w:tc>
        <w:tc>
          <w:tcPr>
            <w:tcW w:type="dxa" w:w="2268"/>
          </w:tcPr>
          <w:p>
            <w:pPr>
              <w:jc w:val="center"/>
            </w:pPr>
            <w:r>
              <w:rPr>
                <w:sz w:val="18"/>
              </w:rPr>
            </w:r>
            <w:r>
              <w:rPr>
                <w:sz w:val="18"/>
              </w:rPr>
              <w:t>所在机构有公开机读目录（CBS / ICMP / CGMCC）</w:t>
            </w:r>
          </w:p>
        </w:tc>
        <w:tc>
          <w:tcPr>
            <w:tcW w:type="dxa" w:w="2268"/>
          </w:tcPr>
          <w:p>
            <w:pPr>
              <w:jc w:val="center"/>
            </w:pPr>
            <w:r>
              <w:rPr>
                <w:sz w:val="18"/>
              </w:rPr>
            </w:r>
            <w:r>
              <w:rPr>
                <w:sz w:val="18"/>
              </w:rPr>
              <w:t>3,192</w:t>
            </w:r>
          </w:p>
        </w:tc>
        <w:tc>
          <w:tcPr>
            <w:tcW w:type="dxa" w:w="2268"/>
          </w:tcPr>
          <w:p>
            <w:pPr>
              <w:jc w:val="center"/>
            </w:pPr>
            <w:r>
              <w:rPr>
                <w:sz w:val="18"/>
              </w:rPr>
            </w:r>
            <w:r>
              <w:rPr>
                <w:sz w:val="18"/>
              </w:rPr>
              <w:t>28.7%</w:t>
            </w:r>
          </w:p>
        </w:tc>
      </w:tr>
      <w:tr>
        <w:tc>
          <w:tcPr>
            <w:tcW w:type="dxa" w:w="2268"/>
          </w:tcPr>
          <w:p>
            <w:pPr>
              <w:jc w:val="center"/>
            </w:pPr>
            <w:r>
              <w:rPr>
                <w:sz w:val="18"/>
              </w:rPr>
            </w:r>
            <w:r>
              <w:rPr>
                <w:sz w:val="18"/>
              </w:rPr>
              <w:t>不可核号</w:t>
            </w:r>
          </w:p>
        </w:tc>
        <w:tc>
          <w:tcPr>
            <w:tcW w:type="dxa" w:w="2268"/>
          </w:tcPr>
          <w:p>
            <w:pPr>
              <w:jc w:val="center"/>
            </w:pPr>
            <w:r>
              <w:rPr>
                <w:sz w:val="18"/>
              </w:rPr>
            </w:r>
            <w:r>
              <w:rPr>
                <w:sz w:val="18"/>
              </w:rPr>
              <w:t>机构无可机读目录（NRRL、DAOM、HMAS、BRIP、CPC、MFLUCC 等），或为研究者工作编号</w:t>
            </w:r>
          </w:p>
        </w:tc>
        <w:tc>
          <w:tcPr>
            <w:tcW w:type="dxa" w:w="2268"/>
          </w:tcPr>
          <w:p>
            <w:pPr>
              <w:jc w:val="center"/>
            </w:pPr>
            <w:r>
              <w:rPr>
                <w:sz w:val="18"/>
              </w:rPr>
            </w:r>
            <w:r>
              <w:rPr>
                <w:sz w:val="18"/>
              </w:rPr>
              <w:t>7,911</w:t>
            </w:r>
          </w:p>
        </w:tc>
        <w:tc>
          <w:tcPr>
            <w:tcW w:type="dxa" w:w="2268"/>
          </w:tcPr>
          <w:p>
            <w:pPr>
              <w:jc w:val="center"/>
            </w:pPr>
            <w:r>
              <w:rPr>
                <w:sz w:val="18"/>
              </w:rPr>
            </w:r>
            <w:r>
              <w:rPr>
                <w:sz w:val="18"/>
              </w:rPr>
              <w:t>71.3%</w:t>
            </w:r>
          </w:p>
        </w:tc>
      </w:tr>
    </w:tbl>
    <w:p/>
    <w:p>
      <w:pPr>
        <w:ind w:firstLine="0"/>
      </w:pPr>
      <w:r>
        <w:t>三个总数的关系见图 1。</w:t>
      </w:r>
    </w:p>
    <w:p>
      <w:pPr>
        <w:spacing w:before="120" w:after="40"/>
        <w:jc w:val="center"/>
      </w:pPr>
      <w:r>
        <w:drawing>
          <wp:inline xmlns:a="http://schemas.openxmlformats.org/drawingml/2006/main" xmlns:pic="http://schemas.openxmlformats.org/drawingml/2006/picture">
            <wp:extent cx="5760000" cy="3783942"/>
            <wp:docPr id="1" name="Picture 1"/>
            <wp:cNvGraphicFramePr>
              <a:graphicFrameLocks noChangeAspect="1"/>
            </wp:cNvGraphicFramePr>
            <a:graphic>
              <a:graphicData uri="http://schemas.openxmlformats.org/drawingml/2006/picture">
                <pic:pic>
                  <pic:nvPicPr>
                    <pic:cNvPr id="0" name="Fig1_audit_flow.png"/>
                    <pic:cNvPicPr/>
                  </pic:nvPicPr>
                  <pic:blipFill>
                    <a:blip r:embed="rId9"/>
                    <a:stretch>
                      <a:fillRect/>
                    </a:stretch>
                  </pic:blipFill>
                  <pic:spPr>
                    <a:xfrm>
                      <a:off x="0" y="0"/>
                      <a:ext cx="5760000" cy="3783942"/>
                    </a:xfrm>
                    <a:prstGeom prst="rect"/>
                  </pic:spPr>
                </pic:pic>
              </a:graphicData>
            </a:graphic>
          </wp:inline>
        </w:drawing>
      </w:r>
    </w:p>
    <w:p>
      <w:pPr>
        <w:ind w:firstLine="0"/>
      </w:pPr>
      <w:r>
        <w:rPr>
          <w:b/>
        </w:rPr>
        <w:t>图 1</w:t>
      </w:r>
      <w:r>
        <w:t xml:space="preserve">　审计流程与三个分母。从三属全部 11,103 个号级单元格出发，逐级筛选至最终的不一致数；右侧虚线引出每一步排除的数量与原因。百分比分别以「全部号」（前两级）与「可核号」（后两级）为分母。</w:t>
      </w:r>
    </w:p>
    <w:p>
      <w:pPr>
        <w:ind w:firstLine="0"/>
      </w:pPr>
      <w:r>
        <w:rPr>
          <w:i/>
        </w:rPr>
        <w:t>Figure 1.</w:t>
      </w:r>
      <w:r>
        <w:t xml:space="preserve"> Flow of the audit from 11,103 number-level cells to the final discrepancy count. Each exclusion and its size are shown at the side. Denominators differ by level: all numbers (steps 1–2) and verifiable numbers (steps 3–4).</w:t>
      </w:r>
    </w:p>
    <w:p>
      <w:pPr>
        <w:ind w:firstLine="0"/>
      </w:pPr>
      <w:r>
        <w:rPr>
          <w:b/>
        </w:rPr>
        <w:t>能核对多少。</w:t>
      </w:r>
      <w:r>
        <w:t xml:space="preserve"> 三属可核率相差约两倍（42.7% ÷ 20.5% = 2.08；表 4、图 2），但原因不在记录质量：</w:t>
      </w:r>
      <w:r>
        <w:rPr>
          <w:b/>
        </w:rPr>
        <w:t>ICMP 在 Colletotrichum 的可核号中占 286 个（18.4%），而在另两属占比很低</w:t>
      </w:r>
      <w:r>
        <w:t>（2.2% 与 5.4%，见图 2B）。Colletotrichum 为植物病原菌，菌株大量存于植物病理保藏中心；Trichoderma 以生防与土壤来源为主，Diaporthe 以内生与致病兼性为主，均少存于 ICMP。更重要的是</w:t>
      </w:r>
      <w:r>
        <w:rPr>
          <w:b/>
        </w:rPr>
        <w:t>工作编号</w:t>
      </w:r>
      <w:r>
        <w:t>：Trichoderma 的「疑似非机构编号」中，G.J.S.、C.P.K. 等人名缩写占 223/396（56.3%），来自少数实验室的私人工作收藏。因此</w:t>
      </w:r>
      <w:r>
        <w:rPr>
          <w:b/>
        </w:rPr>
        <w:t>可核率反映的是「我们恰好有哪些机构的数据」，而非物种本身的记录质量</w:t>
      </w:r>
      <w:r>
        <w:t>，属间不可直接比较。</w:t>
      </w:r>
    </w:p>
    <w:p>
      <w:pPr>
        <w:spacing w:before="120" w:after="40"/>
        <w:jc w:val="center"/>
      </w:pPr>
      <w:r>
        <w:drawing>
          <wp:inline xmlns:a="http://schemas.openxmlformats.org/drawingml/2006/main" xmlns:pic="http://schemas.openxmlformats.org/drawingml/2006/picture">
            <wp:extent cx="5760000" cy="2583529"/>
            <wp:docPr id="2" name="Picture 2"/>
            <wp:cNvGraphicFramePr>
              <a:graphicFrameLocks noChangeAspect="1"/>
            </wp:cNvGraphicFramePr>
            <a:graphic>
              <a:graphicData uri="http://schemas.openxmlformats.org/drawingml/2006/picture">
                <pic:pic>
                  <pic:nvPicPr>
                    <pic:cNvPr id="0" name="Fig2_verifiability_composition.png"/>
                    <pic:cNvPicPr/>
                  </pic:nvPicPr>
                  <pic:blipFill>
                    <a:blip r:embed="rId10"/>
                    <a:stretch>
                      <a:fillRect/>
                    </a:stretch>
                  </pic:blipFill>
                  <pic:spPr>
                    <a:xfrm>
                      <a:off x="0" y="0"/>
                      <a:ext cx="5760000" cy="2583529"/>
                    </a:xfrm>
                    <a:prstGeom prst="rect"/>
                  </pic:spPr>
                </pic:pic>
              </a:graphicData>
            </a:graphic>
          </wp:inline>
        </w:drawing>
      </w:r>
    </w:p>
    <w:p>
      <w:pPr>
        <w:ind w:firstLine="0"/>
      </w:pPr>
      <w:r>
        <w:rPr>
          <w:b/>
        </w:rPr>
        <w:t>图 2</w:t>
      </w:r>
      <w:r>
        <w:t xml:space="preserve">　三属的可核率与机构构成。</w:t>
      </w:r>
      <w:r>
        <w:rPr>
          <w:b/>
        </w:rPr>
        <w:t>A</w:t>
      </w:r>
      <w:r>
        <w:t xml:space="preserve"> 各属号级单元格按「可核 / 不可核」堆叠（绝对数），柱顶为可核率（42.7%、23.1%、20.5%）。</w:t>
      </w:r>
      <w:r>
        <w:rPr>
          <w:b/>
        </w:rPr>
        <w:t>B</w:t>
      </w:r>
      <w:r>
        <w:t xml:space="preserve"> 仅在可核号内，按保藏机构构成（CBS / ICMP / CGMCC，%）。ICMP 在 Colletotrichum 占 18.4%，另两属仅 2.2% 与 5.4%——可核率的属间差异主要来自机构覆盖，而非记录质量。</w:t>
      </w:r>
    </w:p>
    <w:p>
      <w:pPr>
        <w:ind w:firstLine="0"/>
      </w:pPr>
      <w:r>
        <w:rPr>
          <w:i/>
        </w:rPr>
        <w:t>Figure 2.</w:t>
      </w:r>
      <w:r>
        <w:t xml:space="preserve"> </w:t>
      </w:r>
      <w:r>
        <w:rPr>
          <w:b/>
        </w:rPr>
        <w:t>A</w:t>
      </w:r>
      <w:r>
        <w:t xml:space="preserve">, number-level cells per genus, stacked as verifiable vs non-verifiable (absolute counts); the percentage above each bar is the verifiable fraction. </w:t>
      </w:r>
      <w:r>
        <w:rPr>
          <w:b/>
        </w:rPr>
        <w:t>B</w:t>
      </w:r>
      <w:r>
        <w:t xml:space="preserve">, within verifiable numbers only, composition by holding collection (%). ICMP accounts for 18.4% in </w:t>
      </w:r>
      <w:r>
        <w:rPr>
          <w:i/>
        </w:rPr>
        <w:t>Colletotrichum</w:t>
      </w:r>
      <w:r>
        <w:t xml:space="preserve"> but only 2.2% and 5.4% in the other two genera.</w:t>
      </w:r>
    </w:p>
    <w:p>
      <w:pPr>
        <w:ind w:firstLine="0"/>
      </w:pPr>
      <w:r>
        <w:rPr>
          <w:b/>
        </w:rPr>
        <w:t>表 4</w:t>
      </w:r>
      <w:r>
        <w:t xml:space="preserve">　三属总体</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jc w:val="center"/>
            </w:pPr>
            <w:r>
              <w:rPr>
                <w:b/>
                <w:sz w:val="18"/>
              </w:rPr>
            </w:r>
            <w:r>
              <w:rPr>
                <w:b/>
                <w:sz w:val="18"/>
              </w:rPr>
              <w:t>属</w:t>
            </w:r>
          </w:p>
        </w:tc>
        <w:tc>
          <w:tcPr>
            <w:tcW w:type="dxa" w:w="1008"/>
          </w:tcPr>
          <w:p>
            <w:pPr>
              <w:jc w:val="center"/>
            </w:pPr>
            <w:r>
              <w:rPr>
                <w:b/>
                <w:sz w:val="18"/>
              </w:rPr>
            </w:r>
            <w:r>
              <w:rPr>
                <w:b/>
                <w:sz w:val="18"/>
              </w:rPr>
              <w:t>物种数</w:t>
            </w:r>
          </w:p>
        </w:tc>
        <w:tc>
          <w:tcPr>
            <w:tcW w:type="dxa" w:w="1008"/>
          </w:tcPr>
          <w:p>
            <w:pPr>
              <w:jc w:val="center"/>
            </w:pPr>
            <w:r>
              <w:rPr>
                <w:b/>
                <w:sz w:val="18"/>
              </w:rPr>
            </w:r>
            <w:r>
              <w:rPr>
                <w:b/>
                <w:sz w:val="18"/>
              </w:rPr>
              <w:t>号级单元格</w:t>
            </w:r>
          </w:p>
        </w:tc>
        <w:tc>
          <w:tcPr>
            <w:tcW w:type="dxa" w:w="1008"/>
          </w:tcPr>
          <w:p>
            <w:pPr>
              <w:jc w:val="center"/>
            </w:pPr>
            <w:r>
              <w:rPr>
                <w:b/>
                <w:sz w:val="18"/>
              </w:rPr>
            </w:r>
            <w:r>
              <w:rPr>
                <w:b/>
                <w:sz w:val="18"/>
              </w:rPr>
              <w:t>可核号</w:t>
            </w:r>
          </w:p>
        </w:tc>
        <w:tc>
          <w:tcPr>
            <w:tcW w:type="dxa" w:w="1008"/>
          </w:tcPr>
          <w:p>
            <w:pPr>
              <w:jc w:val="center"/>
            </w:pPr>
            <w:r>
              <w:rPr>
                <w:b/>
                <w:sz w:val="18"/>
              </w:rPr>
            </w:r>
            <w:r>
              <w:rPr>
                <w:b/>
                <w:sz w:val="18"/>
              </w:rPr>
              <w:t>号级不一致</w:t>
            </w:r>
          </w:p>
        </w:tc>
        <w:tc>
          <w:tcPr>
            <w:tcW w:type="dxa" w:w="1008"/>
          </w:tcPr>
          <w:p>
            <w:pPr>
              <w:jc w:val="center"/>
            </w:pPr>
            <w:r>
              <w:rPr>
                <w:b/>
                <w:sz w:val="18"/>
              </w:rPr>
            </w:r>
            <w:r>
              <w:rPr>
                <w:b/>
                <w:sz w:val="18"/>
              </w:rPr>
              <w:t>不确定</w:t>
            </w:r>
          </w:p>
        </w:tc>
        <w:tc>
          <w:tcPr>
            <w:tcW w:type="dxa" w:w="1008"/>
          </w:tcPr>
          <w:p>
            <w:pPr>
              <w:jc w:val="center"/>
            </w:pPr>
            <w:r>
              <w:rPr>
                <w:b/>
                <w:sz w:val="18"/>
              </w:rPr>
            </w:r>
            <w:r>
              <w:rPr>
                <w:b/>
                <w:sz w:val="18"/>
              </w:rPr>
              <w:t>非错</w:t>
            </w:r>
          </w:p>
        </w:tc>
        <w:tc>
          <w:tcPr>
            <w:tcW w:type="dxa" w:w="1008"/>
          </w:tcPr>
          <w:p>
            <w:pPr>
              <w:jc w:val="center"/>
            </w:pPr>
            <w:r>
              <w:rPr>
                <w:b/>
                <w:sz w:val="18"/>
              </w:rPr>
            </w:r>
            <w:r>
              <w:rPr>
                <w:b/>
                <w:sz w:val="18"/>
              </w:rPr>
              <w:t>种级分歧</w:t>
            </w:r>
          </w:p>
        </w:tc>
        <w:tc>
          <w:tcPr>
            <w:tcW w:type="dxa" w:w="1008"/>
          </w:tcPr>
          <w:p>
            <w:pPr>
              <w:jc w:val="center"/>
            </w:pPr>
            <w:r>
              <w:rPr>
                <w:b/>
                <w:sz w:val="18"/>
              </w:rPr>
            </w:r>
            <w:r>
              <w:rPr>
                <w:b/>
                <w:sz w:val="18"/>
              </w:rPr>
              <w:t>合计发现</w:t>
            </w:r>
          </w:p>
        </w:tc>
      </w:tr>
      <w:tr>
        <w:tc>
          <w:tcPr>
            <w:tcW w:type="dxa" w:w="1008"/>
          </w:tcPr>
          <w:p>
            <w:pPr>
              <w:jc w:val="center"/>
            </w:pPr>
            <w:r>
              <w:rPr>
                <w:sz w:val="18"/>
              </w:rPr>
            </w:r>
            <w:r>
              <w:rPr>
                <w:sz w:val="18"/>
              </w:rPr>
              <w:t>Colletotrichum</w:t>
            </w:r>
          </w:p>
        </w:tc>
        <w:tc>
          <w:tcPr>
            <w:tcW w:type="dxa" w:w="1008"/>
          </w:tcPr>
          <w:p>
            <w:pPr>
              <w:jc w:val="center"/>
            </w:pPr>
            <w:r>
              <w:rPr>
                <w:sz w:val="18"/>
              </w:rPr>
            </w:r>
            <w:r>
              <w:rPr>
                <w:sz w:val="18"/>
              </w:rPr>
              <w:t>408</w:t>
            </w:r>
          </w:p>
        </w:tc>
        <w:tc>
          <w:tcPr>
            <w:tcW w:type="dxa" w:w="1008"/>
          </w:tcPr>
          <w:p>
            <w:pPr>
              <w:jc w:val="center"/>
            </w:pPr>
            <w:r>
              <w:rPr>
                <w:sz w:val="18"/>
              </w:rPr>
            </w:r>
            <w:r>
              <w:rPr>
                <w:sz w:val="18"/>
              </w:rPr>
              <w:t>3,633</w:t>
            </w:r>
          </w:p>
        </w:tc>
        <w:tc>
          <w:tcPr>
            <w:tcW w:type="dxa" w:w="1008"/>
          </w:tcPr>
          <w:p>
            <w:pPr>
              <w:jc w:val="center"/>
            </w:pPr>
            <w:r>
              <w:rPr>
                <w:sz w:val="18"/>
              </w:rPr>
            </w:r>
            <w:r>
              <w:rPr>
                <w:sz w:val="18"/>
              </w:rPr>
              <w:t>1,553</w:t>
            </w:r>
          </w:p>
        </w:tc>
        <w:tc>
          <w:tcPr>
            <w:tcW w:type="dxa" w:w="1008"/>
          </w:tcPr>
          <w:p>
            <w:pPr>
              <w:jc w:val="center"/>
            </w:pPr>
            <w:r>
              <w:rPr>
                <w:sz w:val="18"/>
              </w:rPr>
            </w:r>
            <w:r>
              <w:rPr>
                <w:sz w:val="18"/>
              </w:rPr>
              <w:t>603</w:t>
            </w:r>
          </w:p>
        </w:tc>
        <w:tc>
          <w:tcPr>
            <w:tcW w:type="dxa" w:w="1008"/>
          </w:tcPr>
          <w:p>
            <w:pPr>
              <w:jc w:val="center"/>
            </w:pPr>
            <w:r>
              <w:rPr>
                <w:sz w:val="18"/>
              </w:rPr>
            </w:r>
            <w:r>
              <w:rPr>
                <w:sz w:val="18"/>
              </w:rPr>
              <w:t>1,115</w:t>
            </w:r>
          </w:p>
        </w:tc>
        <w:tc>
          <w:tcPr>
            <w:tcW w:type="dxa" w:w="1008"/>
          </w:tcPr>
          <w:p>
            <w:pPr>
              <w:jc w:val="center"/>
            </w:pPr>
            <w:r>
              <w:rPr>
                <w:sz w:val="18"/>
              </w:rPr>
            </w:r>
            <w:r>
              <w:rPr>
                <w:sz w:val="18"/>
              </w:rPr>
              <w:t>86</w:t>
            </w:r>
          </w:p>
        </w:tc>
        <w:tc>
          <w:tcPr>
            <w:tcW w:type="dxa" w:w="1008"/>
          </w:tcPr>
          <w:p>
            <w:pPr>
              <w:jc w:val="center"/>
            </w:pPr>
            <w:r>
              <w:rPr>
                <w:sz w:val="18"/>
              </w:rPr>
            </w:r>
            <w:r>
              <w:rPr>
                <w:sz w:val="18"/>
              </w:rPr>
              <w:t>31</w:t>
            </w:r>
          </w:p>
        </w:tc>
        <w:tc>
          <w:tcPr>
            <w:tcW w:type="dxa" w:w="1008"/>
          </w:tcPr>
          <w:p>
            <w:pPr>
              <w:jc w:val="center"/>
            </w:pPr>
            <w:r>
              <w:rPr>
                <w:sz w:val="18"/>
              </w:rPr>
            </w:r>
            <w:r>
              <w:rPr>
                <w:b/>
                <w:sz w:val="18"/>
              </w:rPr>
              <w:t>1,835</w:t>
            </w:r>
          </w:p>
        </w:tc>
      </w:tr>
      <w:tr>
        <w:tc>
          <w:tcPr>
            <w:tcW w:type="dxa" w:w="1008"/>
          </w:tcPr>
          <w:p>
            <w:pPr>
              <w:jc w:val="center"/>
            </w:pPr>
            <w:r>
              <w:rPr>
                <w:sz w:val="18"/>
              </w:rPr>
            </w:r>
            <w:r>
              <w:rPr>
                <w:sz w:val="18"/>
              </w:rPr>
              <w:t>Trichoderma</w:t>
            </w:r>
          </w:p>
        </w:tc>
        <w:tc>
          <w:tcPr>
            <w:tcW w:type="dxa" w:w="1008"/>
          </w:tcPr>
          <w:p>
            <w:pPr>
              <w:jc w:val="center"/>
            </w:pPr>
            <w:r>
              <w:rPr>
                <w:sz w:val="18"/>
              </w:rPr>
            </w:r>
            <w:r>
              <w:rPr>
                <w:sz w:val="18"/>
              </w:rPr>
              <w:t>445</w:t>
            </w:r>
          </w:p>
        </w:tc>
        <w:tc>
          <w:tcPr>
            <w:tcW w:type="dxa" w:w="1008"/>
          </w:tcPr>
          <w:p>
            <w:pPr>
              <w:jc w:val="center"/>
            </w:pPr>
            <w:r>
              <w:rPr>
                <w:sz w:val="18"/>
              </w:rPr>
            </w:r>
            <w:r>
              <w:rPr>
                <w:sz w:val="18"/>
              </w:rPr>
              <w:t>4,200</w:t>
            </w:r>
          </w:p>
        </w:tc>
        <w:tc>
          <w:tcPr>
            <w:tcW w:type="dxa" w:w="1008"/>
          </w:tcPr>
          <w:p>
            <w:pPr>
              <w:jc w:val="center"/>
            </w:pPr>
            <w:r>
              <w:rPr>
                <w:sz w:val="18"/>
              </w:rPr>
            </w:r>
            <w:r>
              <w:rPr>
                <w:sz w:val="18"/>
              </w:rPr>
              <w:t>970</w:t>
            </w:r>
          </w:p>
        </w:tc>
        <w:tc>
          <w:tcPr>
            <w:tcW w:type="dxa" w:w="1008"/>
          </w:tcPr>
          <w:p>
            <w:pPr>
              <w:jc w:val="center"/>
            </w:pPr>
            <w:r>
              <w:rPr>
                <w:sz w:val="18"/>
              </w:rPr>
            </w:r>
            <w:r>
              <w:rPr>
                <w:sz w:val="18"/>
              </w:rPr>
              <w:t>605</w:t>
            </w:r>
          </w:p>
        </w:tc>
        <w:tc>
          <w:tcPr>
            <w:tcW w:type="dxa" w:w="1008"/>
          </w:tcPr>
          <w:p>
            <w:pPr>
              <w:jc w:val="center"/>
            </w:pPr>
            <w:r>
              <w:rPr>
                <w:sz w:val="18"/>
              </w:rPr>
            </w:r>
            <w:r>
              <w:rPr>
                <w:sz w:val="18"/>
              </w:rPr>
              <w:t>1,626</w:t>
            </w:r>
          </w:p>
        </w:tc>
        <w:tc>
          <w:tcPr>
            <w:tcW w:type="dxa" w:w="1008"/>
          </w:tcPr>
          <w:p>
            <w:pPr>
              <w:jc w:val="center"/>
            </w:pPr>
            <w:r>
              <w:rPr>
                <w:sz w:val="18"/>
              </w:rPr>
            </w:r>
            <w:r>
              <w:rPr>
                <w:sz w:val="18"/>
              </w:rPr>
              <w:t>106</w:t>
            </w:r>
          </w:p>
        </w:tc>
        <w:tc>
          <w:tcPr>
            <w:tcW w:type="dxa" w:w="1008"/>
          </w:tcPr>
          <w:p>
            <w:pPr>
              <w:jc w:val="center"/>
            </w:pPr>
            <w:r>
              <w:rPr>
                <w:sz w:val="18"/>
              </w:rPr>
            </w:r>
            <w:r>
              <w:rPr>
                <w:sz w:val="18"/>
              </w:rPr>
              <w:t>5</w:t>
            </w:r>
          </w:p>
        </w:tc>
        <w:tc>
          <w:tcPr>
            <w:tcW w:type="dxa" w:w="1008"/>
          </w:tcPr>
          <w:p>
            <w:pPr>
              <w:jc w:val="center"/>
            </w:pPr>
            <w:r>
              <w:rPr>
                <w:sz w:val="18"/>
              </w:rPr>
            </w:r>
            <w:r>
              <w:rPr>
                <w:b/>
                <w:sz w:val="18"/>
              </w:rPr>
              <w:t>2,342</w:t>
            </w:r>
          </w:p>
        </w:tc>
      </w:tr>
      <w:tr>
        <w:tc>
          <w:tcPr>
            <w:tcW w:type="dxa" w:w="1008"/>
          </w:tcPr>
          <w:p>
            <w:pPr>
              <w:jc w:val="center"/>
            </w:pPr>
            <w:r>
              <w:rPr>
                <w:sz w:val="18"/>
              </w:rPr>
            </w:r>
            <w:r>
              <w:rPr>
                <w:sz w:val="18"/>
              </w:rPr>
              <w:t>Diaporthe</w:t>
            </w:r>
          </w:p>
        </w:tc>
        <w:tc>
          <w:tcPr>
            <w:tcW w:type="dxa" w:w="1008"/>
          </w:tcPr>
          <w:p>
            <w:pPr>
              <w:jc w:val="center"/>
            </w:pPr>
            <w:r>
              <w:rPr>
                <w:sz w:val="18"/>
              </w:rPr>
            </w:r>
            <w:r>
              <w:rPr>
                <w:sz w:val="18"/>
              </w:rPr>
              <w:t>507</w:t>
            </w:r>
          </w:p>
        </w:tc>
        <w:tc>
          <w:tcPr>
            <w:tcW w:type="dxa" w:w="1008"/>
          </w:tcPr>
          <w:p>
            <w:pPr>
              <w:jc w:val="center"/>
            </w:pPr>
            <w:r>
              <w:rPr>
                <w:sz w:val="18"/>
              </w:rPr>
            </w:r>
            <w:r>
              <w:rPr>
                <w:sz w:val="18"/>
              </w:rPr>
              <w:t>3,270</w:t>
            </w:r>
          </w:p>
        </w:tc>
        <w:tc>
          <w:tcPr>
            <w:tcW w:type="dxa" w:w="1008"/>
          </w:tcPr>
          <w:p>
            <w:pPr>
              <w:jc w:val="center"/>
            </w:pPr>
            <w:r>
              <w:rPr>
                <w:sz w:val="18"/>
              </w:rPr>
            </w:r>
            <w:r>
              <w:rPr>
                <w:sz w:val="18"/>
              </w:rPr>
              <w:t>669</w:t>
            </w:r>
          </w:p>
        </w:tc>
        <w:tc>
          <w:tcPr>
            <w:tcW w:type="dxa" w:w="1008"/>
          </w:tcPr>
          <w:p>
            <w:pPr>
              <w:jc w:val="center"/>
            </w:pPr>
            <w:r>
              <w:rPr>
                <w:sz w:val="18"/>
              </w:rPr>
            </w:r>
            <w:r>
              <w:rPr>
                <w:sz w:val="18"/>
              </w:rPr>
              <w:t>297</w:t>
            </w:r>
          </w:p>
        </w:tc>
        <w:tc>
          <w:tcPr>
            <w:tcW w:type="dxa" w:w="1008"/>
          </w:tcPr>
          <w:p>
            <w:pPr>
              <w:jc w:val="center"/>
            </w:pPr>
            <w:r>
              <w:rPr>
                <w:sz w:val="18"/>
              </w:rPr>
            </w:r>
            <w:r>
              <w:rPr>
                <w:sz w:val="18"/>
              </w:rPr>
              <w:t>1,134</w:t>
            </w:r>
          </w:p>
        </w:tc>
        <w:tc>
          <w:tcPr>
            <w:tcW w:type="dxa" w:w="1008"/>
          </w:tcPr>
          <w:p>
            <w:pPr>
              <w:jc w:val="center"/>
            </w:pPr>
            <w:r>
              <w:rPr>
                <w:sz w:val="18"/>
              </w:rPr>
            </w:r>
            <w:r>
              <w:rPr>
                <w:sz w:val="18"/>
              </w:rPr>
              <w:t>43</w:t>
            </w:r>
          </w:p>
        </w:tc>
        <w:tc>
          <w:tcPr>
            <w:tcW w:type="dxa" w:w="1008"/>
          </w:tcPr>
          <w:p>
            <w:pPr>
              <w:jc w:val="center"/>
            </w:pPr>
            <w:r>
              <w:rPr>
                <w:sz w:val="18"/>
              </w:rPr>
            </w:r>
            <w:r>
              <w:rPr>
                <w:sz w:val="18"/>
              </w:rPr>
              <w:t>117</w:t>
            </w:r>
          </w:p>
        </w:tc>
        <w:tc>
          <w:tcPr>
            <w:tcW w:type="dxa" w:w="1008"/>
          </w:tcPr>
          <w:p>
            <w:pPr>
              <w:jc w:val="center"/>
            </w:pPr>
            <w:r>
              <w:rPr>
                <w:sz w:val="18"/>
              </w:rPr>
            </w:r>
            <w:r>
              <w:rPr>
                <w:b/>
                <w:sz w:val="18"/>
              </w:rPr>
              <w:t>1,591</w:t>
            </w:r>
          </w:p>
        </w:tc>
      </w:tr>
      <w:tr>
        <w:tc>
          <w:tcPr>
            <w:tcW w:type="dxa" w:w="1008"/>
          </w:tcPr>
          <w:p>
            <w:pPr>
              <w:jc w:val="center"/>
            </w:pPr>
            <w:r>
              <w:rPr>
                <w:sz w:val="18"/>
              </w:rPr>
            </w:r>
            <w:r>
              <w:rPr>
                <w:b/>
                <w:sz w:val="18"/>
              </w:rPr>
              <w:t>合计</w:t>
            </w:r>
          </w:p>
        </w:tc>
        <w:tc>
          <w:tcPr>
            <w:tcW w:type="dxa" w:w="1008"/>
          </w:tcPr>
          <w:p>
            <w:pPr>
              <w:jc w:val="center"/>
            </w:pPr>
            <w:r>
              <w:rPr>
                <w:sz w:val="18"/>
              </w:rPr>
            </w:r>
            <w:r>
              <w:rPr>
                <w:b/>
                <w:sz w:val="18"/>
              </w:rPr>
              <w:t>1,360</w:t>
            </w:r>
          </w:p>
        </w:tc>
        <w:tc>
          <w:tcPr>
            <w:tcW w:type="dxa" w:w="1008"/>
          </w:tcPr>
          <w:p>
            <w:pPr>
              <w:jc w:val="center"/>
            </w:pPr>
            <w:r>
              <w:rPr>
                <w:sz w:val="18"/>
              </w:rPr>
            </w:r>
            <w:r>
              <w:rPr>
                <w:b/>
                <w:sz w:val="18"/>
              </w:rPr>
              <w:t>11,103</w:t>
            </w:r>
          </w:p>
        </w:tc>
        <w:tc>
          <w:tcPr>
            <w:tcW w:type="dxa" w:w="1008"/>
          </w:tcPr>
          <w:p>
            <w:pPr>
              <w:jc w:val="center"/>
            </w:pPr>
            <w:r>
              <w:rPr>
                <w:sz w:val="18"/>
              </w:rPr>
            </w:r>
            <w:r>
              <w:rPr>
                <w:b/>
                <w:sz w:val="18"/>
              </w:rPr>
              <w:t>3,192</w:t>
            </w:r>
          </w:p>
        </w:tc>
        <w:tc>
          <w:tcPr>
            <w:tcW w:type="dxa" w:w="1008"/>
          </w:tcPr>
          <w:p>
            <w:pPr>
              <w:jc w:val="center"/>
            </w:pPr>
            <w:r>
              <w:rPr>
                <w:sz w:val="18"/>
              </w:rPr>
            </w:r>
            <w:r>
              <w:rPr>
                <w:b/>
                <w:sz w:val="18"/>
              </w:rPr>
              <w:t>1,505</w:t>
            </w:r>
          </w:p>
        </w:tc>
        <w:tc>
          <w:tcPr>
            <w:tcW w:type="dxa" w:w="1008"/>
          </w:tcPr>
          <w:p>
            <w:pPr>
              <w:jc w:val="center"/>
            </w:pPr>
            <w:r>
              <w:rPr>
                <w:sz w:val="18"/>
              </w:rPr>
            </w:r>
            <w:r>
              <w:rPr>
                <w:b/>
                <w:sz w:val="18"/>
              </w:rPr>
              <w:t>3,875</w:t>
            </w:r>
          </w:p>
        </w:tc>
        <w:tc>
          <w:tcPr>
            <w:tcW w:type="dxa" w:w="1008"/>
          </w:tcPr>
          <w:p>
            <w:pPr>
              <w:jc w:val="center"/>
            </w:pPr>
            <w:r>
              <w:rPr>
                <w:sz w:val="18"/>
              </w:rPr>
            </w:r>
            <w:r>
              <w:rPr>
                <w:b/>
                <w:sz w:val="18"/>
              </w:rPr>
              <w:t>235</w:t>
            </w:r>
          </w:p>
        </w:tc>
        <w:tc>
          <w:tcPr>
            <w:tcW w:type="dxa" w:w="1008"/>
          </w:tcPr>
          <w:p>
            <w:pPr>
              <w:jc w:val="center"/>
            </w:pPr>
            <w:r>
              <w:rPr>
                <w:sz w:val="18"/>
              </w:rPr>
            </w:r>
            <w:r>
              <w:rPr>
                <w:b/>
                <w:sz w:val="18"/>
              </w:rPr>
              <w:t>153</w:t>
            </w:r>
          </w:p>
        </w:tc>
        <w:tc>
          <w:tcPr>
            <w:tcW w:type="dxa" w:w="1008"/>
          </w:tcPr>
          <w:p>
            <w:pPr>
              <w:jc w:val="center"/>
            </w:pPr>
            <w:r>
              <w:rPr>
                <w:sz w:val="18"/>
              </w:rPr>
            </w:r>
            <w:r>
              <w:rPr>
                <w:b/>
                <w:sz w:val="18"/>
              </w:rPr>
              <w:t>5,768</w:t>
            </w:r>
          </w:p>
        </w:tc>
      </w:tr>
    </w:tbl>
    <w:p/>
    <w:p>
      <w:pPr>
        <w:spacing w:after="60"/>
        <w:ind w:left="454"/>
      </w:pPr>
      <w:r>
        <w:rPr>
          <w:color w:val="444444"/>
          <w:sz w:val="19"/>
        </w:rPr>
        <w:t>四类互斥，逐属相加即为「合计发现」。各属可核率见图 2A（42.7% / 23.1% / 20.5%，合计 28.7%）。</w:t>
      </w:r>
    </w:p>
    <w:p>
      <w:pPr>
        <w:ind w:firstLine="0"/>
      </w:pPr>
      <w:r>
        <w:rPr>
          <w:b/>
        </w:rPr>
        <w:t>有多少不一致。</w:t>
      </w:r>
      <w:r>
        <w:t xml:space="preserve"> 5,768 条发现按性质分四类，四者互斥：</w:t>
      </w:r>
    </w:p>
    <w:p>
      <w:pPr>
        <w:pStyle w:val="ListBullet"/>
        <w:spacing w:after="60"/>
      </w:pPr>
      <w:r>
        <w:rPr>
          <w:b/>
        </w:rPr>
        <w:t>号级不一致 1,505 条</w:t>
      </w:r>
      <w:r>
        <w:t>——同一个保藏号，GenBank 记录名与机构目录登记名不符。这是本文要量化的对象；内部以「疑似非机构编号」668 条最多，其次为「申报模式而机构无记录」194 条（号级记录数，与 3.2 中「名字层面 194 条」不是同一个量，纯属数值巧合）与「号不存在」185 条（此三类合计 1,047 条，余 485 条分散在并名冲突、基名属、别的属等次要类别；后两类各有「看似错、其实不是」的解释，见 4.3 与下文）。</w:t>
      </w:r>
    </w:p>
    <w:p>
      <w:pPr>
        <w:pStyle w:val="ListBullet"/>
        <w:spacing w:after="60"/>
      </w:pPr>
      <w:r>
        <w:rPr>
          <w:b/>
        </w:rPr>
        <w:t>不确定 3,875 条</w:t>
      </w:r>
      <w:r>
        <w:t>——号没有可机读的目录、或记录未核，</w:t>
      </w:r>
      <w:r>
        <w:rPr>
          <w:b/>
        </w:rPr>
        <w:t>根本无从判断对错</w:t>
      </w:r>
      <w:r>
        <w:t>。其中「无公开数据库」3,122 条占全部发现的 54.1%，成因即上文的可核率限制。</w:t>
      </w:r>
    </w:p>
    <w:p>
      <w:pPr>
        <w:pStyle w:val="ListBullet"/>
        <w:spacing w:after="60"/>
      </w:pPr>
      <w:r>
        <w:rPr>
          <w:b/>
        </w:rPr>
        <w:t>非错 235 条</w:t>
      </w:r>
      <w:r>
        <w:t>——</w:t>
      </w:r>
      <w:r>
        <w:rPr>
          <w:b/>
        </w:rPr>
        <w:t>看着不符、其实是正常差异</w:t>
      </w:r>
      <w:r>
        <w:t xml:space="preserve">：种加词换了属、同一物种在 </w:t>
      </w:r>
      <w:r>
        <w:rPr>
          <w:i/>
        </w:rPr>
        <w:t>Hypocrea</w:t>
      </w:r>
      <w:r>
        <w:t xml:space="preserve"> 与 </w:t>
      </w:r>
      <w:r>
        <w:rPr>
          <w:i/>
        </w:rPr>
        <w:t>Trichoderma</w:t>
      </w:r>
      <w:r>
        <w:t xml:space="preserve"> 两名下的词尾差异、拼写变体、机构只记到</w:t>
      </w:r>
      <w:r>
        <w:rPr>
          <w:b/>
        </w:rPr>
        <w:t>种下单元</w:t>
      </w:r>
      <w:r>
        <w:t>（变种、变型等亚种级名称）等。</w:t>
      </w:r>
    </w:p>
    <w:p>
      <w:pPr>
        <w:pStyle w:val="ListBullet"/>
        <w:spacing w:after="60"/>
      </w:pPr>
      <w:r>
        <w:rPr>
          <w:b/>
        </w:rPr>
        <w:t>种级分歧 153 条</w:t>
      </w:r>
      <w:r>
        <w:t>——两库对「这个种该不该独立」意见不同，</w:t>
      </w:r>
      <w:r>
        <w:rPr>
          <w:b/>
        </w:rPr>
        <w:t>不涉及具体保藏号</w:t>
      </w:r>
      <w:r>
        <w:t>（见 3.2）。</w:t>
      </w:r>
    </w:p>
    <w:p>
      <w:pPr>
        <w:ind w:firstLine="0"/>
      </w:pPr>
      <w:r>
        <w:rPr>
          <w:b/>
        </w:rPr>
        <w:t>可核号只承载了部分发现。</w:t>
      </w:r>
      <w:r>
        <w:t xml:space="preserve"> 全文共判出 </w:t>
      </w:r>
      <w:r>
        <w:rPr>
          <w:b/>
        </w:rPr>
        <w:t>1,505</w:t>
      </w:r>
      <w:r>
        <w:t xml:space="preserve"> 个号级不一致单元格，其中 </w:t>
      </w:r>
      <w:r>
        <w:rPr>
          <w:b/>
        </w:rPr>
        <w:t>558 个落在 3,192 个可核号内</w:t>
      </w:r>
      <w:r>
        <w:t xml:space="preserve">，另 </w:t>
      </w:r>
      <w:r>
        <w:rPr>
          <w:b/>
        </w:rPr>
        <w:t>974 个（63.6%）落在 7,911 个不可核号内</w:t>
      </w:r>
      <w:r>
        <w:t>。后者不进分母，是因为它们的号没有机读目录可比对，只能比较 GenBank 记录名与 NCBI 分类名，与「以机构目录为准」的口径不同。因此全文的号级不一致率只描述可核号这一子集（占全部号级单元格 28.7%），不能外推为三属整体。</w:t>
      </w:r>
    </w:p>
    <w:p>
      <w:pPr>
        <w:ind w:firstLine="0"/>
      </w:pPr>
      <w:r>
        <w:rPr>
          <w:b/>
        </w:rPr>
        <w:t>率是多少。</w:t>
      </w:r>
      <w:r>
        <w:t xml:space="preserve"> 号级不一致里最大的一类「号不存在」（185 条）需要单独处理：「号不存在」指「声称用于某个种、但在该机构公开目录里查不到的号」。但</w:t>
      </w:r>
      <w:r>
        <w:rPr>
          <w:b/>
        </w:rPr>
        <w:t>「目录查不到」不等于号是假的</w:t>
      </w:r>
      <w:r>
        <w:t>——也可能是机构没有把它登记进可检索的目录；若一概当作不存在，就等于指认保藏中心漏收、或作者编造。因此每一条都回到 GenBank 反查：其他记录若引用过它，说明它确实存在过。</w:t>
      </w:r>
    </w:p>
    <w:p>
      <w:pPr>
        <w:ind w:firstLine="0"/>
      </w:pPr>
      <w:r>
        <w:t xml:space="preserve">185 条中 </w:t>
      </w:r>
      <w:r>
        <w:rPr>
          <w:b/>
        </w:rPr>
        <w:t>156 条（84.3%）实为机构未收录</w:t>
      </w:r>
      <w:r>
        <w:t>；20 条属基因组级大记录、未能核对原文；5 条无引用，4 条查询失败。</w:t>
      </w:r>
    </w:p>
    <w:p>
      <w:pPr>
        <w:ind w:firstLine="0"/>
      </w:pPr>
      <w:r>
        <w:t>如 2.2 所述，1,505 个号级不一致中只有 558 个落在可核号内、进入分母，因此下列比率只描述可核号这一子集。</w:t>
      </w:r>
    </w:p>
    <w:p>
      <w:pPr>
        <w:ind w:firstLine="0"/>
      </w:pPr>
      <w:r>
        <w:rPr>
          <w:b/>
        </w:rPr>
        <w:t>表 5</w:t>
      </w:r>
      <w:r>
        <w:t xml:space="preserve">　反向审计前后号级不一致率（保守与乐观两种口径）</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18"/>
              </w:rPr>
            </w:r>
            <w:r>
              <w:rPr>
                <w:b/>
                <w:sz w:val="18"/>
              </w:rPr>
              <w:t>属</w:t>
            </w:r>
          </w:p>
        </w:tc>
        <w:tc>
          <w:tcPr>
            <w:tcW w:type="dxa" w:w="1814"/>
          </w:tcPr>
          <w:p>
            <w:pPr>
              <w:jc w:val="center"/>
            </w:pPr>
            <w:r>
              <w:rPr>
                <w:b/>
                <w:sz w:val="18"/>
              </w:rPr>
            </w:r>
            <w:r>
              <w:rPr>
                <w:b/>
                <w:sz w:val="18"/>
              </w:rPr>
              <w:t>可核号</w:t>
            </w:r>
          </w:p>
        </w:tc>
        <w:tc>
          <w:tcPr>
            <w:tcW w:type="dxa" w:w="1814"/>
          </w:tcPr>
          <w:p>
            <w:pPr>
              <w:jc w:val="center"/>
            </w:pPr>
            <w:r>
              <w:rPr>
                <w:b/>
                <w:sz w:val="18"/>
              </w:rPr>
            </w:r>
            <w:r>
              <w:rPr>
                <w:b/>
                <w:sz w:val="18"/>
              </w:rPr>
              <w:t>修正前号级不一致（率）</w:t>
            </w:r>
          </w:p>
        </w:tc>
        <w:tc>
          <w:tcPr>
            <w:tcW w:type="dxa" w:w="1814"/>
          </w:tcPr>
          <w:p>
            <w:pPr>
              <w:jc w:val="center"/>
            </w:pPr>
            <w:r>
              <w:rPr>
                <w:b/>
                <w:sz w:val="18"/>
              </w:rPr>
            </w:r>
            <w:r>
              <w:rPr>
                <w:b/>
                <w:sz w:val="18"/>
              </w:rPr>
              <w:t>保守口径（仅移出已核对者）</w:t>
            </w:r>
          </w:p>
        </w:tc>
        <w:tc>
          <w:tcPr>
            <w:tcW w:type="dxa" w:w="1814"/>
          </w:tcPr>
          <w:p>
            <w:pPr>
              <w:jc w:val="center"/>
            </w:pPr>
            <w:r>
              <w:rPr>
                <w:b/>
                <w:sz w:val="18"/>
              </w:rPr>
            </w:r>
            <w:r>
              <w:rPr>
                <w:b/>
                <w:sz w:val="18"/>
              </w:rPr>
              <w:t>乐观口径（含 20 条大记录）</w:t>
            </w:r>
          </w:p>
        </w:tc>
      </w:tr>
      <w:tr>
        <w:tc>
          <w:tcPr>
            <w:tcW w:type="dxa" w:w="1814"/>
          </w:tcPr>
          <w:p>
            <w:pPr>
              <w:jc w:val="center"/>
            </w:pPr>
            <w:r>
              <w:rPr>
                <w:sz w:val="18"/>
              </w:rPr>
            </w:r>
            <w:r>
              <w:rPr>
                <w:sz w:val="18"/>
              </w:rPr>
              <w:t>Colletotrichum</w:t>
            </w:r>
          </w:p>
        </w:tc>
        <w:tc>
          <w:tcPr>
            <w:tcW w:type="dxa" w:w="1814"/>
          </w:tcPr>
          <w:p>
            <w:pPr>
              <w:jc w:val="center"/>
            </w:pPr>
            <w:r>
              <w:rPr>
                <w:sz w:val="18"/>
              </w:rPr>
            </w:r>
            <w:r>
              <w:rPr>
                <w:sz w:val="18"/>
              </w:rPr>
              <w:t>1,553</w:t>
            </w:r>
          </w:p>
        </w:tc>
        <w:tc>
          <w:tcPr>
            <w:tcW w:type="dxa" w:w="1814"/>
          </w:tcPr>
          <w:p>
            <w:pPr>
              <w:jc w:val="center"/>
            </w:pPr>
            <w:r>
              <w:rPr>
                <w:sz w:val="18"/>
              </w:rPr>
            </w:r>
            <w:r>
              <w:rPr>
                <w:sz w:val="18"/>
              </w:rPr>
              <w:t>302（19.4%）</w:t>
            </w:r>
          </w:p>
        </w:tc>
        <w:tc>
          <w:tcPr>
            <w:tcW w:type="dxa" w:w="1814"/>
          </w:tcPr>
          <w:p>
            <w:pPr>
              <w:jc w:val="center"/>
            </w:pPr>
            <w:r>
              <w:rPr>
                <w:sz w:val="18"/>
              </w:rPr>
            </w:r>
            <w:r>
              <w:rPr>
                <w:sz w:val="18"/>
              </w:rPr>
              <w:t>191（</w:t>
            </w:r>
            <w:r>
              <w:rPr>
                <w:b/>
                <w:sz w:val="18"/>
              </w:rPr>
              <w:t>12.3%</w:t>
            </w:r>
            <w:r>
              <w:rPr>
                <w:sz w:val="18"/>
              </w:rPr>
              <w:t>）</w:t>
            </w:r>
          </w:p>
        </w:tc>
        <w:tc>
          <w:tcPr>
            <w:tcW w:type="dxa" w:w="1814"/>
          </w:tcPr>
          <w:p>
            <w:pPr>
              <w:jc w:val="center"/>
            </w:pPr>
            <w:r>
              <w:rPr>
                <w:sz w:val="18"/>
              </w:rPr>
            </w:r>
            <w:r>
              <w:rPr>
                <w:sz w:val="18"/>
              </w:rPr>
              <w:t>180（11.6%）</w:t>
            </w:r>
          </w:p>
        </w:tc>
      </w:tr>
      <w:tr>
        <w:tc>
          <w:tcPr>
            <w:tcW w:type="dxa" w:w="1814"/>
          </w:tcPr>
          <w:p>
            <w:pPr>
              <w:jc w:val="center"/>
            </w:pPr>
            <w:r>
              <w:rPr>
                <w:sz w:val="18"/>
              </w:rPr>
            </w:r>
            <w:r>
              <w:rPr>
                <w:sz w:val="18"/>
              </w:rPr>
              <w:t>Trichoderma</w:t>
            </w:r>
          </w:p>
        </w:tc>
        <w:tc>
          <w:tcPr>
            <w:tcW w:type="dxa" w:w="1814"/>
          </w:tcPr>
          <w:p>
            <w:pPr>
              <w:jc w:val="center"/>
            </w:pPr>
            <w:r>
              <w:rPr>
                <w:sz w:val="18"/>
              </w:rPr>
            </w:r>
            <w:r>
              <w:rPr>
                <w:sz w:val="18"/>
              </w:rPr>
              <w:t>970</w:t>
            </w:r>
          </w:p>
        </w:tc>
        <w:tc>
          <w:tcPr>
            <w:tcW w:type="dxa" w:w="1814"/>
          </w:tcPr>
          <w:p>
            <w:pPr>
              <w:jc w:val="center"/>
            </w:pPr>
            <w:r>
              <w:rPr>
                <w:sz w:val="18"/>
              </w:rPr>
            </w:r>
            <w:r>
              <w:rPr>
                <w:sz w:val="18"/>
              </w:rPr>
              <w:t>174（17.9%）</w:t>
            </w:r>
          </w:p>
        </w:tc>
        <w:tc>
          <w:tcPr>
            <w:tcW w:type="dxa" w:w="1814"/>
          </w:tcPr>
          <w:p>
            <w:pPr>
              <w:jc w:val="center"/>
            </w:pPr>
            <w:r>
              <w:rPr>
                <w:sz w:val="18"/>
              </w:rPr>
            </w:r>
            <w:r>
              <w:rPr>
                <w:sz w:val="18"/>
              </w:rPr>
              <w:t>142（</w:t>
            </w:r>
            <w:r>
              <w:rPr>
                <w:b/>
                <w:sz w:val="18"/>
              </w:rPr>
              <w:t>14.6%</w:t>
            </w:r>
            <w:r>
              <w:rPr>
                <w:sz w:val="18"/>
              </w:rPr>
              <w:t>）</w:t>
            </w:r>
          </w:p>
        </w:tc>
        <w:tc>
          <w:tcPr>
            <w:tcW w:type="dxa" w:w="1814"/>
          </w:tcPr>
          <w:p>
            <w:pPr>
              <w:jc w:val="center"/>
            </w:pPr>
            <w:r>
              <w:rPr>
                <w:sz w:val="18"/>
              </w:rPr>
            </w:r>
            <w:r>
              <w:rPr>
                <w:sz w:val="18"/>
              </w:rPr>
              <w:t>133（13.7%）</w:t>
            </w:r>
          </w:p>
        </w:tc>
      </w:tr>
      <w:tr>
        <w:tc>
          <w:tcPr>
            <w:tcW w:type="dxa" w:w="1814"/>
          </w:tcPr>
          <w:p>
            <w:pPr>
              <w:jc w:val="center"/>
            </w:pPr>
            <w:r>
              <w:rPr>
                <w:sz w:val="18"/>
              </w:rPr>
            </w:r>
            <w:r>
              <w:rPr>
                <w:sz w:val="18"/>
              </w:rPr>
              <w:t>Diaporthe</w:t>
            </w:r>
          </w:p>
        </w:tc>
        <w:tc>
          <w:tcPr>
            <w:tcW w:type="dxa" w:w="1814"/>
          </w:tcPr>
          <w:p>
            <w:pPr>
              <w:jc w:val="center"/>
            </w:pPr>
            <w:r>
              <w:rPr>
                <w:sz w:val="18"/>
              </w:rPr>
            </w:r>
            <w:r>
              <w:rPr>
                <w:sz w:val="18"/>
              </w:rPr>
              <w:t>669</w:t>
            </w:r>
          </w:p>
        </w:tc>
        <w:tc>
          <w:tcPr>
            <w:tcW w:type="dxa" w:w="1814"/>
          </w:tcPr>
          <w:p>
            <w:pPr>
              <w:jc w:val="center"/>
            </w:pPr>
            <w:r>
              <w:rPr>
                <w:sz w:val="18"/>
              </w:rPr>
            </w:r>
            <w:r>
              <w:rPr>
                <w:sz w:val="18"/>
              </w:rPr>
              <w:t>82（12.3%）</w:t>
            </w:r>
          </w:p>
        </w:tc>
        <w:tc>
          <w:tcPr>
            <w:tcW w:type="dxa" w:w="1814"/>
          </w:tcPr>
          <w:p>
            <w:pPr>
              <w:jc w:val="center"/>
            </w:pPr>
            <w:r>
              <w:rPr>
                <w:sz w:val="18"/>
              </w:rPr>
            </w:r>
            <w:r>
              <w:rPr>
                <w:sz w:val="18"/>
              </w:rPr>
              <w:t>69（</w:t>
            </w:r>
            <w:r>
              <w:rPr>
                <w:b/>
                <w:sz w:val="18"/>
              </w:rPr>
              <w:t>10.3%</w:t>
            </w:r>
            <w:r>
              <w:rPr>
                <w:sz w:val="18"/>
              </w:rPr>
              <w:t>）</w:t>
            </w:r>
          </w:p>
        </w:tc>
        <w:tc>
          <w:tcPr>
            <w:tcW w:type="dxa" w:w="1814"/>
          </w:tcPr>
          <w:p>
            <w:pPr>
              <w:jc w:val="center"/>
            </w:pPr>
            <w:r>
              <w:rPr>
                <w:sz w:val="18"/>
              </w:rPr>
            </w:r>
            <w:r>
              <w:rPr>
                <w:sz w:val="18"/>
              </w:rPr>
              <w:t>69（10.3%）</w:t>
            </w:r>
          </w:p>
        </w:tc>
      </w:tr>
      <w:tr>
        <w:tc>
          <w:tcPr>
            <w:tcW w:type="dxa" w:w="1814"/>
          </w:tcPr>
          <w:p>
            <w:pPr>
              <w:jc w:val="center"/>
            </w:pPr>
            <w:r>
              <w:rPr>
                <w:sz w:val="18"/>
              </w:rPr>
            </w:r>
            <w:r>
              <w:rPr>
                <w:b/>
                <w:sz w:val="18"/>
              </w:rPr>
              <w:t>合计</w:t>
            </w:r>
          </w:p>
        </w:tc>
        <w:tc>
          <w:tcPr>
            <w:tcW w:type="dxa" w:w="1814"/>
          </w:tcPr>
          <w:p>
            <w:pPr>
              <w:jc w:val="center"/>
            </w:pPr>
            <w:r>
              <w:rPr>
                <w:sz w:val="18"/>
              </w:rPr>
            </w:r>
            <w:r>
              <w:rPr>
                <w:b/>
                <w:sz w:val="18"/>
              </w:rPr>
              <w:t>3,192</w:t>
            </w:r>
          </w:p>
        </w:tc>
        <w:tc>
          <w:tcPr>
            <w:tcW w:type="dxa" w:w="1814"/>
          </w:tcPr>
          <w:p>
            <w:pPr>
              <w:jc w:val="center"/>
            </w:pPr>
            <w:r>
              <w:rPr>
                <w:sz w:val="18"/>
              </w:rPr>
            </w:r>
            <w:r>
              <w:rPr>
                <w:b/>
                <w:sz w:val="18"/>
              </w:rPr>
              <w:t>558（17.5%）</w:t>
            </w:r>
          </w:p>
        </w:tc>
        <w:tc>
          <w:tcPr>
            <w:tcW w:type="dxa" w:w="1814"/>
          </w:tcPr>
          <w:p>
            <w:pPr>
              <w:jc w:val="center"/>
            </w:pPr>
            <w:r>
              <w:rPr>
                <w:sz w:val="18"/>
              </w:rPr>
            </w:r>
            <w:r>
              <w:rPr>
                <w:b/>
                <w:sz w:val="18"/>
              </w:rPr>
              <w:t>402（12.6%）</w:t>
            </w:r>
          </w:p>
        </w:tc>
        <w:tc>
          <w:tcPr>
            <w:tcW w:type="dxa" w:w="1814"/>
          </w:tcPr>
          <w:p>
            <w:pPr>
              <w:jc w:val="center"/>
            </w:pPr>
            <w:r>
              <w:rPr>
                <w:sz w:val="18"/>
              </w:rPr>
            </w:r>
            <w:r>
              <w:rPr>
                <w:b/>
                <w:sz w:val="18"/>
              </w:rPr>
              <w:t>382（12.0%）</w:t>
            </w:r>
          </w:p>
        </w:tc>
      </w:tr>
    </w:tbl>
    <w:p/>
    <w:p>
      <w:pPr>
        <w:ind w:firstLine="0"/>
      </w:pPr>
      <w:r>
        <w:t>本文以</w:t>
      </w:r>
      <w:r>
        <w:rPr>
          <w:b/>
        </w:rPr>
        <w:t>保守口径 12.6%</w:t>
      </w:r>
      <w:r>
        <w:t xml:space="preserve"> 为主要结果：只把核对确认的 156 条计为「机构未收录」；20 条大记录仍计为「号不存在」。若它们也计为「机构未收录」，则为 12.0%。</w:t>
      </w:r>
    </w:p>
    <w:p>
      <w:pPr>
        <w:ind w:firstLine="0"/>
      </w:pPr>
      <w:r>
        <w:rPr>
          <w:b/>
        </w:rPr>
        <w:t>区间估计。</w:t>
      </w:r>
      <w:r>
        <w:t xml:space="preserve"> 主结果 12.6% 的 95% 置信区间为 11.5–13.8%（图 3；Wilson 法，见 2.4）；修正前 17.5% 为 16.2–18.8%，乐观口径 12.0% 为 10.9–13.1%。</w:t>
      </w:r>
    </w:p>
    <w:p>
      <w:pPr>
        <w:ind w:firstLine="0"/>
      </w:pPr>
      <w:r>
        <w:t>三属两两比较（均基于修正后数据）仅 Trichoderma 与 Diaporthe 差异显著（</w:t>
      </w:r>
      <w:r>
        <w:rPr>
          <w:i/>
        </w:rPr>
        <w:t>p</w:t>
      </w:r>
      <w:r>
        <w:t xml:space="preserve"> = 0.011），另两对不显著（</w:t>
      </w:r>
      <w:r>
        <w:rPr>
          <w:i/>
        </w:rPr>
        <w:t>p</w:t>
      </w:r>
      <w:r>
        <w:t xml:space="preserve"> = 0.103、0.196）；但本文仍不作跨属排名，理由见 2.2。</w:t>
      </w:r>
    </w:p>
    <w:p>
      <w:pPr>
        <w:ind w:firstLine="0"/>
      </w:pPr>
      <w:r>
        <w:t>由此得到两个派生量：</w:t>
      </w:r>
      <w:r>
        <w:rPr>
          <w:b/>
        </w:rPr>
        <w:t>修正前的 558 条中 28.0% 是假阳性</w:t>
      </w:r>
      <w:r>
        <w:t>（156/558；乐观口径 31.5%），</w:t>
      </w:r>
      <w:r>
        <w:rPr>
          <w:b/>
        </w:rPr>
        <w:t>单以机构目录为真值会把率报成修正值的 1.39 倍</w:t>
      </w:r>
      <w:r>
        <w:t>（17.5% ÷ 12.6%；乐观口径 1.46 倍）。</w:t>
      </w:r>
    </w:p>
    <w:p>
      <w:pPr>
        <w:ind w:firstLine="0"/>
      </w:pPr>
      <w:r>
        <w:rPr>
          <w:b/>
        </w:rPr>
        <w:t>这个数可信吗。</w:t>
      </w:r>
      <w:r>
        <w:t xml:space="preserve"> 先给最不利于本文的一条：30 条分层抽样按原始发表核对后，</w:t>
      </w:r>
      <w:r>
        <w:rPr>
          <w:b/>
        </w:rPr>
        <w:t>12 条需修正</w:t>
      </w:r>
      <w:r>
        <w:t>（见下文表 6）。这并不推翻上面的率——其中 9 条只是把错的一方由 GenBank 改判为机构目录，3 条与已剔除的 156 条同类——但它决定了下面两条证据各自的用途：</w:t>
      </w:r>
      <w:r>
        <w:rPr>
          <w:b/>
        </w:rPr>
        <w:t>「数据库自相矛盾」只用来证明不一致确实存在</w:t>
      </w:r>
      <w:r>
        <w:t>（不是判定规则造出来的），</w:t>
      </w:r>
      <w:r>
        <w:rPr>
          <w:b/>
        </w:rPr>
        <w:t>抽样复核则用来界定本文的判定会错到什么程度</w:t>
      </w:r>
      <w:r>
        <w:t>。</w:t>
      </w:r>
    </w:p>
    <w:p>
      <w:pPr>
        <w:ind w:firstLine="0"/>
      </w:pPr>
      <w:r>
        <w:rPr>
          <w:b/>
        </w:rPr>
        <w:t>数据库自相矛盾。</w:t>
      </w:r>
      <w:r>
        <w:t xml:space="preserve"> 同一保藏号的 GenBank 记录被标注为两个不同种者，三属合计 147 条（Colletotrichum 72、Trichoderma 47、Diaporthe 28）。其中 137 条为两个不同双名，10 条为同一物种下的不同种下单元（变种、变型等）。这一类是</w:t>
      </w:r>
      <w:r>
        <w:rPr>
          <w:b/>
        </w:rPr>
        <w:t>数据库自己写下的矛盾</w:t>
      </w:r>
      <w:r>
        <w:t xml:space="preserve">，不依赖任何统计推断，因而是最硬的证据。例如 Diaporthe infertilis 的 CBS 230.52 在 15 条记录中被分别标注为 </w:t>
      </w:r>
      <w:r>
        <w:rPr>
          <w:i/>
        </w:rPr>
        <w:t>D. citri</w:t>
      </w:r>
      <w:r>
        <w:t xml:space="preserve"> 与 </w:t>
      </w:r>
      <w:r>
        <w:rPr>
          <w:i/>
        </w:rPr>
        <w:t>D. infertilis</w:t>
      </w:r>
      <w:r>
        <w:t>。</w:t>
      </w:r>
    </w:p>
    <w:p>
      <w:pPr>
        <w:ind w:firstLine="0"/>
      </w:pPr>
      <w:r>
        <w:rPr>
          <w:b/>
        </w:rPr>
        <w:t>表 6</w:t>
      </w:r>
      <w:r>
        <w:t xml:space="preserve">　30 条验证子样本的裁决分布</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b/>
                <w:sz w:val="18"/>
              </w:rPr>
            </w:r>
            <w:r>
              <w:rPr>
                <w:b/>
                <w:sz w:val="18"/>
              </w:rPr>
              <w:t>层</w:t>
            </w:r>
          </w:p>
        </w:tc>
        <w:tc>
          <w:tcPr>
            <w:tcW w:type="dxa" w:w="1296"/>
          </w:tcPr>
          <w:p>
            <w:pPr>
              <w:jc w:val="center"/>
            </w:pPr>
            <w:r>
              <w:rPr>
                <w:b/>
                <w:sz w:val="18"/>
              </w:rPr>
            </w:r>
            <w:r>
              <w:rPr>
                <w:b/>
                <w:sz w:val="18"/>
              </w:rPr>
              <w:t>① 判定过强</w:t>
            </w:r>
          </w:p>
        </w:tc>
        <w:tc>
          <w:tcPr>
            <w:tcW w:type="dxa" w:w="1296"/>
          </w:tcPr>
          <w:p>
            <w:pPr>
              <w:jc w:val="center"/>
            </w:pPr>
            <w:r>
              <w:rPr>
                <w:b/>
                <w:sz w:val="18"/>
              </w:rPr>
            </w:r>
            <w:r>
              <w:rPr>
                <w:b/>
                <w:sz w:val="18"/>
              </w:rPr>
              <w:t>② 支持判定</w:t>
            </w:r>
          </w:p>
        </w:tc>
        <w:tc>
          <w:tcPr>
            <w:tcW w:type="dxa" w:w="1296"/>
          </w:tcPr>
          <w:p>
            <w:pPr>
              <w:jc w:val="center"/>
            </w:pPr>
            <w:r>
              <w:rPr>
                <w:b/>
                <w:sz w:val="18"/>
              </w:rPr>
            </w:r>
            <w:r>
              <w:rPr>
                <w:b/>
                <w:sz w:val="18"/>
              </w:rPr>
              <w:t>②′ 部分支持</w:t>
            </w:r>
          </w:p>
        </w:tc>
        <w:tc>
          <w:tcPr>
            <w:tcW w:type="dxa" w:w="1296"/>
          </w:tcPr>
          <w:p>
            <w:pPr>
              <w:jc w:val="center"/>
            </w:pPr>
            <w:r>
              <w:rPr>
                <w:b/>
                <w:sz w:val="18"/>
              </w:rPr>
            </w:r>
            <w:r>
              <w:rPr>
                <w:b/>
                <w:sz w:val="18"/>
              </w:rPr>
              <w:t>③ 机构记录与原始发表不一致</w:t>
            </w:r>
          </w:p>
        </w:tc>
        <w:tc>
          <w:tcPr>
            <w:tcW w:type="dxa" w:w="1296"/>
          </w:tcPr>
          <w:p>
            <w:pPr>
              <w:jc w:val="center"/>
            </w:pPr>
            <w:r>
              <w:rPr>
                <w:b/>
                <w:sz w:val="18"/>
              </w:rPr>
            </w:r>
            <w:r>
              <w:rPr>
                <w:b/>
                <w:sz w:val="18"/>
              </w:rPr>
              <w:t>④ 待核</w:t>
            </w:r>
          </w:p>
        </w:tc>
        <w:tc>
          <w:tcPr>
            <w:tcW w:type="dxa" w:w="1296"/>
          </w:tcPr>
          <w:p>
            <w:pPr>
              <w:jc w:val="center"/>
            </w:pPr>
            <w:r>
              <w:rPr>
                <w:b/>
                <w:sz w:val="18"/>
              </w:rPr>
            </w:r>
            <w:r>
              <w:rPr>
                <w:b/>
                <w:sz w:val="18"/>
              </w:rPr>
              <w:t>未裁</w:t>
            </w:r>
          </w:p>
        </w:tc>
      </w:tr>
      <w:tr>
        <w:tc>
          <w:tcPr>
            <w:tcW w:type="dxa" w:w="1296"/>
          </w:tcPr>
          <w:p>
            <w:pPr>
              <w:jc w:val="center"/>
            </w:pPr>
            <w:r>
              <w:rPr>
                <w:sz w:val="18"/>
              </w:rPr>
            </w:r>
            <w:r>
              <w:rPr>
                <w:sz w:val="18"/>
              </w:rPr>
              <w:t>号不存在</w:t>
            </w:r>
          </w:p>
        </w:tc>
        <w:tc>
          <w:tcPr>
            <w:tcW w:type="dxa" w:w="1296"/>
          </w:tcPr>
          <w:p>
            <w:pPr>
              <w:jc w:val="center"/>
            </w:pPr>
            <w:r>
              <w:rPr>
                <w:sz w:val="18"/>
              </w:rPr>
            </w:r>
            <w:r>
              <w:rPr>
                <w:sz w:val="18"/>
              </w:rPr>
              <w:t>3</w:t>
            </w:r>
          </w:p>
        </w:tc>
        <w:tc>
          <w:tcPr>
            <w:tcW w:type="dxa" w:w="1296"/>
          </w:tcPr>
          <w:p>
            <w:pPr>
              <w:jc w:val="center"/>
            </w:pPr>
            <w:r>
              <w:rPr>
                <w:sz w:val="18"/>
              </w:rPr>
            </w:r>
            <w:r>
              <w:rPr>
                <w:sz w:val="18"/>
              </w:rPr>
              <w:t>4</w:t>
            </w:r>
          </w:p>
        </w:tc>
        <w:tc>
          <w:tcPr>
            <w:tcW w:type="dxa" w:w="1296"/>
          </w:tcPr>
          <w:p>
            <w:pPr>
              <w:jc w:val="center"/>
            </w:pPr>
            <w:r>
              <w:rPr>
                <w:sz w:val="18"/>
              </w:rPr>
            </w:r>
            <w:r>
              <w:rPr>
                <w:sz w:val="18"/>
              </w:rPr>
              <w:t>0</w:t>
            </w:r>
          </w:p>
        </w:tc>
        <w:tc>
          <w:tcPr>
            <w:tcW w:type="dxa" w:w="1296"/>
          </w:tcPr>
          <w:p>
            <w:pPr>
              <w:jc w:val="center"/>
            </w:pPr>
            <w:r>
              <w:rPr>
                <w:sz w:val="18"/>
              </w:rPr>
            </w:r>
            <w:r>
              <w:rPr>
                <w:sz w:val="18"/>
              </w:rPr>
              <w:t>0</w:t>
            </w:r>
          </w:p>
        </w:tc>
        <w:tc>
          <w:tcPr>
            <w:tcW w:type="dxa" w:w="1296"/>
          </w:tcPr>
          <w:p>
            <w:pPr>
              <w:jc w:val="center"/>
            </w:pPr>
            <w:r>
              <w:rPr>
                <w:sz w:val="18"/>
              </w:rPr>
            </w:r>
            <w:r>
              <w:rPr>
                <w:sz w:val="18"/>
              </w:rPr>
              <w:t>3</w:t>
            </w:r>
          </w:p>
        </w:tc>
        <w:tc>
          <w:tcPr>
            <w:tcW w:type="dxa" w:w="1296"/>
          </w:tcPr>
          <w:p>
            <w:pPr>
              <w:jc w:val="center"/>
            </w:pPr>
            <w:r>
              <w:rPr>
                <w:sz w:val="18"/>
              </w:rPr>
            </w:r>
            <w:r>
              <w:rPr>
                <w:sz w:val="18"/>
              </w:rPr>
              <w:t>0</w:t>
            </w:r>
          </w:p>
        </w:tc>
      </w:tr>
      <w:tr>
        <w:tc>
          <w:tcPr>
            <w:tcW w:type="dxa" w:w="1296"/>
          </w:tcPr>
          <w:p>
            <w:pPr>
              <w:jc w:val="center"/>
            </w:pPr>
            <w:r>
              <w:rPr>
                <w:sz w:val="18"/>
              </w:rPr>
            </w:r>
            <w:r>
              <w:rPr>
                <w:sz w:val="18"/>
              </w:rPr>
              <w:t>名称不一致</w:t>
            </w:r>
          </w:p>
        </w:tc>
        <w:tc>
          <w:tcPr>
            <w:tcW w:type="dxa" w:w="1296"/>
          </w:tcPr>
          <w:p>
            <w:pPr>
              <w:jc w:val="center"/>
            </w:pPr>
            <w:r>
              <w:rPr>
                <w:sz w:val="18"/>
              </w:rPr>
            </w:r>
            <w:r>
              <w:rPr>
                <w:sz w:val="18"/>
              </w:rPr>
              <w:t>0</w:t>
            </w:r>
          </w:p>
        </w:tc>
        <w:tc>
          <w:tcPr>
            <w:tcW w:type="dxa" w:w="1296"/>
          </w:tcPr>
          <w:p>
            <w:pPr>
              <w:jc w:val="center"/>
            </w:pPr>
            <w:r>
              <w:rPr>
                <w:sz w:val="18"/>
              </w:rPr>
            </w:r>
            <w:r>
              <w:rPr>
                <w:sz w:val="18"/>
              </w:rPr>
              <w:t>4</w:t>
            </w:r>
          </w:p>
        </w:tc>
        <w:tc>
          <w:tcPr>
            <w:tcW w:type="dxa" w:w="1296"/>
          </w:tcPr>
          <w:p>
            <w:pPr>
              <w:jc w:val="center"/>
            </w:pPr>
            <w:r>
              <w:rPr>
                <w:sz w:val="18"/>
              </w:rPr>
            </w:r>
            <w:r>
              <w:rPr>
                <w:sz w:val="18"/>
              </w:rPr>
              <w:t>0</w:t>
            </w:r>
          </w:p>
        </w:tc>
        <w:tc>
          <w:tcPr>
            <w:tcW w:type="dxa" w:w="1296"/>
          </w:tcPr>
          <w:p>
            <w:pPr>
              <w:jc w:val="center"/>
            </w:pPr>
            <w:r>
              <w:rPr>
                <w:sz w:val="18"/>
              </w:rPr>
            </w:r>
            <w:r>
              <w:rPr>
                <w:sz w:val="18"/>
              </w:rPr>
              <w:t>3</w:t>
            </w:r>
          </w:p>
        </w:tc>
        <w:tc>
          <w:tcPr>
            <w:tcW w:type="dxa" w:w="1296"/>
          </w:tcPr>
          <w:p>
            <w:pPr>
              <w:jc w:val="center"/>
            </w:pPr>
            <w:r>
              <w:rPr>
                <w:sz w:val="18"/>
              </w:rPr>
            </w:r>
            <w:r>
              <w:rPr>
                <w:sz w:val="18"/>
              </w:rPr>
              <w:t>3</w:t>
            </w:r>
          </w:p>
        </w:tc>
        <w:tc>
          <w:tcPr>
            <w:tcW w:type="dxa" w:w="1296"/>
          </w:tcPr>
          <w:p>
            <w:pPr>
              <w:jc w:val="center"/>
            </w:pPr>
            <w:r>
              <w:rPr>
                <w:sz w:val="18"/>
              </w:rPr>
            </w:r>
            <w:r>
              <w:rPr>
                <w:sz w:val="18"/>
              </w:rPr>
              <w:t>0</w:t>
            </w:r>
          </w:p>
        </w:tc>
      </w:tr>
      <w:tr>
        <w:tc>
          <w:tcPr>
            <w:tcW w:type="dxa" w:w="1296"/>
          </w:tcPr>
          <w:p>
            <w:pPr>
              <w:jc w:val="center"/>
            </w:pPr>
            <w:r>
              <w:rPr>
                <w:sz w:val="18"/>
              </w:rPr>
            </w:r>
            <w:r>
              <w:rPr>
                <w:sz w:val="18"/>
              </w:rPr>
              <w:t>模式地位</w:t>
            </w:r>
          </w:p>
        </w:tc>
        <w:tc>
          <w:tcPr>
            <w:tcW w:type="dxa" w:w="1296"/>
          </w:tcPr>
          <w:p>
            <w:pPr>
              <w:jc w:val="center"/>
            </w:pPr>
            <w:r>
              <w:rPr>
                <w:sz w:val="18"/>
              </w:rPr>
            </w:r>
            <w:r>
              <w:rPr>
                <w:sz w:val="18"/>
              </w:rPr>
              <w:t>0</w:t>
            </w:r>
          </w:p>
        </w:tc>
        <w:tc>
          <w:tcPr>
            <w:tcW w:type="dxa" w:w="1296"/>
          </w:tcPr>
          <w:p>
            <w:pPr>
              <w:jc w:val="center"/>
            </w:pPr>
            <w:r>
              <w:rPr>
                <w:sz w:val="18"/>
              </w:rPr>
            </w:r>
            <w:r>
              <w:rPr>
                <w:sz w:val="18"/>
              </w:rPr>
              <w:t>2</w:t>
            </w:r>
          </w:p>
        </w:tc>
        <w:tc>
          <w:tcPr>
            <w:tcW w:type="dxa" w:w="1296"/>
          </w:tcPr>
          <w:p>
            <w:pPr>
              <w:jc w:val="center"/>
            </w:pPr>
            <w:r>
              <w:rPr>
                <w:sz w:val="18"/>
              </w:rPr>
            </w:r>
            <w:r>
              <w:rPr>
                <w:sz w:val="18"/>
              </w:rPr>
              <w:t>1</w:t>
            </w:r>
          </w:p>
        </w:tc>
        <w:tc>
          <w:tcPr>
            <w:tcW w:type="dxa" w:w="1296"/>
          </w:tcPr>
          <w:p>
            <w:pPr>
              <w:jc w:val="center"/>
            </w:pPr>
            <w:r>
              <w:rPr>
                <w:sz w:val="18"/>
              </w:rPr>
            </w:r>
            <w:r>
              <w:rPr>
                <w:sz w:val="18"/>
              </w:rPr>
              <w:t>6</w:t>
            </w:r>
          </w:p>
        </w:tc>
        <w:tc>
          <w:tcPr>
            <w:tcW w:type="dxa" w:w="1296"/>
          </w:tcPr>
          <w:p>
            <w:pPr>
              <w:jc w:val="center"/>
            </w:pPr>
            <w:r>
              <w:rPr>
                <w:sz w:val="18"/>
              </w:rPr>
            </w:r>
            <w:r>
              <w:rPr>
                <w:sz w:val="18"/>
              </w:rPr>
              <w:t>0</w:t>
            </w:r>
          </w:p>
        </w:tc>
        <w:tc>
          <w:tcPr>
            <w:tcW w:type="dxa" w:w="1296"/>
          </w:tcPr>
          <w:p>
            <w:pPr>
              <w:jc w:val="center"/>
            </w:pPr>
            <w:r>
              <w:rPr>
                <w:sz w:val="18"/>
              </w:rPr>
            </w:r>
            <w:r>
              <w:rPr>
                <w:sz w:val="18"/>
              </w:rPr>
              <w:t>1</w:t>
            </w:r>
          </w:p>
        </w:tc>
      </w:tr>
      <w:tr>
        <w:tc>
          <w:tcPr>
            <w:tcW w:type="dxa" w:w="1296"/>
          </w:tcPr>
          <w:p>
            <w:pPr>
              <w:jc w:val="center"/>
            </w:pPr>
            <w:r>
              <w:rPr>
                <w:sz w:val="18"/>
              </w:rPr>
            </w:r>
            <w:r>
              <w:rPr>
                <w:b/>
                <w:sz w:val="18"/>
              </w:rPr>
              <w:t>合计</w:t>
            </w:r>
          </w:p>
        </w:tc>
        <w:tc>
          <w:tcPr>
            <w:tcW w:type="dxa" w:w="1296"/>
          </w:tcPr>
          <w:p>
            <w:pPr>
              <w:jc w:val="center"/>
            </w:pPr>
            <w:r>
              <w:rPr>
                <w:sz w:val="18"/>
              </w:rPr>
            </w:r>
            <w:r>
              <w:rPr>
                <w:b/>
                <w:sz w:val="18"/>
              </w:rPr>
              <w:t>3</w:t>
            </w:r>
          </w:p>
        </w:tc>
        <w:tc>
          <w:tcPr>
            <w:tcW w:type="dxa" w:w="1296"/>
          </w:tcPr>
          <w:p>
            <w:pPr>
              <w:jc w:val="center"/>
            </w:pPr>
            <w:r>
              <w:rPr>
                <w:sz w:val="18"/>
              </w:rPr>
            </w:r>
            <w:r>
              <w:rPr>
                <w:b/>
                <w:sz w:val="18"/>
              </w:rPr>
              <w:t>10</w:t>
            </w:r>
          </w:p>
        </w:tc>
        <w:tc>
          <w:tcPr>
            <w:tcW w:type="dxa" w:w="1296"/>
          </w:tcPr>
          <w:p>
            <w:pPr>
              <w:jc w:val="center"/>
            </w:pPr>
            <w:r>
              <w:rPr>
                <w:sz w:val="18"/>
              </w:rPr>
            </w:r>
            <w:r>
              <w:rPr>
                <w:b/>
                <w:sz w:val="18"/>
              </w:rPr>
              <w:t>1</w:t>
            </w:r>
          </w:p>
        </w:tc>
        <w:tc>
          <w:tcPr>
            <w:tcW w:type="dxa" w:w="1296"/>
          </w:tcPr>
          <w:p>
            <w:pPr>
              <w:jc w:val="center"/>
            </w:pPr>
            <w:r>
              <w:rPr>
                <w:sz w:val="18"/>
              </w:rPr>
            </w:r>
            <w:r>
              <w:rPr>
                <w:b/>
                <w:sz w:val="18"/>
              </w:rPr>
              <w:t>9</w:t>
            </w:r>
          </w:p>
        </w:tc>
        <w:tc>
          <w:tcPr>
            <w:tcW w:type="dxa" w:w="1296"/>
          </w:tcPr>
          <w:p>
            <w:pPr>
              <w:jc w:val="center"/>
            </w:pPr>
            <w:r>
              <w:rPr>
                <w:sz w:val="18"/>
              </w:rPr>
            </w:r>
            <w:r>
              <w:rPr>
                <w:b/>
                <w:sz w:val="18"/>
              </w:rPr>
              <w:t>6</w:t>
            </w:r>
          </w:p>
        </w:tc>
        <w:tc>
          <w:tcPr>
            <w:tcW w:type="dxa" w:w="1296"/>
          </w:tcPr>
          <w:p>
            <w:pPr>
              <w:jc w:val="center"/>
            </w:pPr>
            <w:r>
              <w:rPr>
                <w:sz w:val="18"/>
              </w:rPr>
            </w:r>
            <w:r>
              <w:rPr>
                <w:b/>
                <w:sz w:val="18"/>
              </w:rPr>
              <w:t>1</w:t>
            </w:r>
          </w:p>
        </w:tc>
      </w:tr>
    </w:tbl>
    <w:p/>
    <w:p>
      <w:pPr>
        <w:spacing w:after="60"/>
        <w:ind w:left="454"/>
      </w:pPr>
      <w:r>
        <w:rPr>
          <w:color w:val="444444"/>
          <w:sz w:val="19"/>
        </w:rPr>
        <w:t>注：③ 指「机构记录与原始发表不一致」，</w:t>
      </w:r>
      <w:r>
        <w:rPr>
          <w:b/>
          <w:color w:val="444444"/>
          <w:sz w:val="19"/>
        </w:rPr>
        <w:t>方向不一定是机构错</w:t>
      </w:r>
      <w:r>
        <w:rPr>
          <w:color w:val="444444"/>
          <w:sz w:val="19"/>
        </w:rPr>
        <w:t>。其中模式地位层的 6 条，原始发表确实指定了 ex-type culture，只是</w:t>
      </w:r>
      <w:r>
        <w:rPr>
          <w:b/>
          <w:color w:val="444444"/>
          <w:sz w:val="19"/>
        </w:rPr>
        <w:t>机构目录未公开该类型信息</w:t>
      </w:r>
      <w:r>
        <w:rPr>
          <w:color w:val="444444"/>
          <w:sz w:val="19"/>
        </w:rPr>
        <w:t>——属信息公开不足，非作者虚报；名称不一致层的 3 条才是机构记名与原始发表不符（如 CPC 38800）。</w:t>
      </w:r>
    </w:p>
    <w:p>
      <w:pPr>
        <w:ind w:firstLine="0"/>
      </w:pPr>
      <w:r>
        <w:t>如表 6，三层各 10 条中判为「需修正」的分别是 3、3、6 条（依次为：该号其实存在、机构记名与原始发表不符、机构目录未公开类型信息）；合计 23 条有明确文献结论，其中 11 条支持本文判定、12 条需修正，另 7 条无法判定。</w:t>
      </w:r>
    </w:p>
    <w:p>
      <w:pPr>
        <w:ind w:firstLine="0"/>
      </w:pPr>
      <w:r>
        <w:rPr>
          <w:b/>
        </w:rPr>
        <w:t>三层的修正方向一致</w:t>
      </w:r>
      <w:r>
        <w:t>：12 条中 9 条是「错在机构而非作者」，3 条是「号其实存在」——两者都指向同一结论：本文的判定</w:t>
      </w:r>
      <w:r>
        <w:rPr>
          <w:b/>
        </w:rPr>
        <w:t>偏严</w:t>
      </w:r>
      <w:r>
        <w:t>，号级不一致率 12.6% 应视为</w:t>
      </w:r>
      <w:r>
        <w:rPr>
          <w:b/>
        </w:rPr>
        <w:t>上限</w:t>
      </w:r>
      <w:r>
        <w:t>估计。各层的区间宽度与合并后的估计不可用性见 2.4；此处只报告层内计数与方向一致性。</w:t>
      </w:r>
    </w:p>
    <w:p>
      <w:pPr>
        <w:ind w:firstLine="0"/>
      </w:pPr>
      <w:r>
        <w:t>三点结论：</w:t>
      </w:r>
      <w:r>
        <w:rPr>
          <w:b/>
        </w:rPr>
        <w:t>机构目录确实会错</w:t>
      </w:r>
      <w:r>
        <w:t>（名称不一致层 10 条中 3 条与原始发表不符，如 CPC 38800）；</w:t>
      </w:r>
      <w:r>
        <w:rPr>
          <w:b/>
        </w:rPr>
        <w:t>「机构无此记录」多数是信息公开不足、而非作者过度申报</w:t>
      </w:r>
      <w:r>
        <w:t>（模式地位层 10 条中 6 条确为 ex-type culture，即原始发表指定的模式菌株衍生培养物）；</w:t>
      </w:r>
      <w:r>
        <w:rPr>
          <w:b/>
        </w:rPr>
        <w:t>「号不存在」判得过强</w:t>
      </w:r>
      <w:r>
        <w:t>（3 条在 PMC 全文中被引用，与上文反向审计一致）。</w:t>
      </w:r>
    </w:p>
    <w:p>
      <w:pPr>
        <w:ind w:firstLine="0"/>
      </w:pPr>
      <w:r>
        <w:rPr>
          <w:b/>
        </w:rPr>
        <w:t>12 条中有 9 条只改变归因</w:t>
      </w:r>
      <w:r>
        <w:t>——号级不一致依然存在，只是错的一方由 GenBank 变为机构目录；另 3 条是「号其实存在」，与上文的 156 条同类。因此 12.6% 作为记录间冲突频率不受归因修正影响，但仍可能偏高——它是当前口径下的</w:t>
      </w:r>
      <w:r>
        <w:rPr>
          <w:b/>
        </w:rPr>
        <w:t>上限</w:t>
      </w:r>
      <w:r>
        <w:t>。</w:t>
      </w:r>
    </w:p>
    <w:p>
      <w:pPr>
        <w:spacing w:before="120" w:after="40"/>
        <w:jc w:val="center"/>
      </w:pPr>
      <w:r>
        <w:drawing>
          <wp:inline xmlns:a="http://schemas.openxmlformats.org/drawingml/2006/main" xmlns:pic="http://schemas.openxmlformats.org/drawingml/2006/picture">
            <wp:extent cx="4315976" cy="3108966"/>
            <wp:docPr id="3" name="Picture 3"/>
            <wp:cNvGraphicFramePr>
              <a:graphicFrameLocks noChangeAspect="1"/>
            </wp:cNvGraphicFramePr>
            <a:graphic>
              <a:graphicData uri="http://schemas.openxmlformats.org/drawingml/2006/picture">
                <pic:pic>
                  <pic:nvPicPr>
                    <pic:cNvPr id="0" name="Fig3_rate_CI.png"/>
                    <pic:cNvPicPr/>
                  </pic:nvPicPr>
                  <pic:blipFill>
                    <a:blip r:embed="rId11"/>
                    <a:stretch>
                      <a:fillRect/>
                    </a:stretch>
                  </pic:blipFill>
                  <pic:spPr>
                    <a:xfrm>
                      <a:off x="0" y="0"/>
                      <a:ext cx="4315976" cy="3108966"/>
                    </a:xfrm>
                    <a:prstGeom prst="rect"/>
                  </pic:spPr>
                </pic:pic>
              </a:graphicData>
            </a:graphic>
          </wp:inline>
        </w:drawing>
      </w:r>
    </w:p>
    <w:p>
      <w:pPr>
        <w:ind w:firstLine="0"/>
      </w:pPr>
      <w:r>
        <w:rPr>
          <w:b/>
        </w:rPr>
        <w:t>图 3</w:t>
      </w:r>
      <w:r>
        <w:t xml:space="preserve">　三属的号级不一致率与 95% 置信区间。点为各属不一致率，竖线为 Wilson 95% 置信区间，虚线为三属合计率。灰色空心点为反向审计修正前（合计 17.5%），蓝色实心点为修正后保守口径（合计 12.6%）；分母为各属可核号数（1,553 / 970 / 669）。</w:t>
      </w:r>
    </w:p>
    <w:p>
      <w:pPr>
        <w:ind w:firstLine="0"/>
      </w:pPr>
      <w:r>
        <w:rPr>
          <w:i/>
        </w:rPr>
        <w:t>Figure 3.</w:t>
      </w:r>
      <w:r>
        <w:t xml:space="preserve"> Genus-level discrepancy rates with Wilson 95% confidence intervals; dashed lines are the pooled rates. Open grey symbols, before reverse auditing (pooled 17.5%); filled blue symbols, conservative post-correction values (pooled 12.6%). Denominators: 1,553 / 970 / 669 verifiable accessions.</w:t>
      </w:r>
    </w:p>
    <w:p>
      <w:pPr>
        <w:pStyle w:val="Heading3"/>
      </w:pPr>
      <w:r>
        <w:t>3.2 种级同理：两库不是一正一误</w:t>
      </w:r>
    </w:p>
    <w:p>
      <w:pPr>
        <w:ind w:firstLine="0"/>
      </w:pPr>
      <w:r>
        <w:t xml:space="preserve">三属合计 </w:t>
      </w:r>
      <w:r>
        <w:rPr>
          <w:b/>
        </w:rPr>
        <w:t>153</w:t>
      </w:r>
      <w:r>
        <w:t xml:space="preserve"> 条种级分歧：Diaporthe 117 条（占该属物种的 23.1%、占全部分歧的 76.5%）、Colletotrichum 31 条、Trichoderma 5 条。</w:t>
      </w:r>
      <w:r>
        <w:rPr>
          <w:b/>
        </w:rPr>
        <w:t>全部逐条核查</w:t>
      </w:r>
      <w:r>
        <w:t>，结果如表 7：</w:t>
      </w:r>
    </w:p>
    <w:p>
      <w:pPr>
        <w:ind w:firstLine="0"/>
      </w:pPr>
      <w:r>
        <w:rPr>
          <w:b/>
        </w:rPr>
        <w:t>表 7</w:t>
      </w:r>
      <w:r>
        <w:t xml:space="preserve">　三属 153 条种级分歧的逐条裁决结果</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b/>
                <w:sz w:val="18"/>
              </w:rPr>
            </w:r>
            <w:r>
              <w:rPr>
                <w:b/>
                <w:sz w:val="18"/>
              </w:rPr>
              <w:t>级别</w:t>
            </w:r>
          </w:p>
        </w:tc>
        <w:tc>
          <w:tcPr>
            <w:tcW w:type="dxa" w:w="1512"/>
          </w:tcPr>
          <w:p>
            <w:pPr>
              <w:jc w:val="center"/>
            </w:pPr>
            <w:r>
              <w:rPr>
                <w:b/>
                <w:sz w:val="18"/>
              </w:rPr>
            </w:r>
            <w:r>
              <w:rPr>
                <w:b/>
                <w:sz w:val="18"/>
              </w:rPr>
              <w:t>Diaporthe</w:t>
            </w:r>
          </w:p>
        </w:tc>
        <w:tc>
          <w:tcPr>
            <w:tcW w:type="dxa" w:w="1512"/>
          </w:tcPr>
          <w:p>
            <w:pPr>
              <w:jc w:val="center"/>
            </w:pPr>
            <w:r>
              <w:rPr>
                <w:b/>
                <w:sz w:val="18"/>
              </w:rPr>
            </w:r>
            <w:r>
              <w:rPr>
                <w:b/>
                <w:sz w:val="18"/>
              </w:rPr>
              <w:t>Colletotrichum</w:t>
            </w:r>
          </w:p>
        </w:tc>
        <w:tc>
          <w:tcPr>
            <w:tcW w:type="dxa" w:w="1512"/>
          </w:tcPr>
          <w:p>
            <w:pPr>
              <w:jc w:val="center"/>
            </w:pPr>
            <w:r>
              <w:rPr>
                <w:b/>
                <w:sz w:val="18"/>
              </w:rPr>
            </w:r>
            <w:r>
              <w:rPr>
                <w:b/>
                <w:sz w:val="18"/>
              </w:rPr>
              <w:t>Trichoderma</w:t>
            </w:r>
          </w:p>
        </w:tc>
        <w:tc>
          <w:tcPr>
            <w:tcW w:type="dxa" w:w="1512"/>
          </w:tcPr>
          <w:p>
            <w:pPr>
              <w:jc w:val="center"/>
            </w:pPr>
            <w:r>
              <w:rPr>
                <w:b/>
                <w:sz w:val="18"/>
              </w:rPr>
            </w:r>
            <w:r>
              <w:rPr>
                <w:b/>
                <w:sz w:val="18"/>
              </w:rPr>
              <w:t>合计</w:t>
            </w:r>
          </w:p>
        </w:tc>
        <w:tc>
          <w:tcPr>
            <w:tcW w:type="dxa" w:w="1512"/>
          </w:tcPr>
          <w:p>
            <w:pPr>
              <w:jc w:val="center"/>
            </w:pPr>
            <w:r>
              <w:rPr>
                <w:b/>
                <w:sz w:val="18"/>
              </w:rPr>
            </w:r>
            <w:r>
              <w:rPr>
                <w:b/>
                <w:sz w:val="18"/>
              </w:rPr>
              <w:t>判定依据</w:t>
            </w:r>
          </w:p>
        </w:tc>
      </w:tr>
      <w:tr>
        <w:tc>
          <w:tcPr>
            <w:tcW w:type="dxa" w:w="1512"/>
          </w:tcPr>
          <w:p>
            <w:pPr>
              <w:jc w:val="center"/>
            </w:pPr>
            <w:r>
              <w:rPr>
                <w:sz w:val="18"/>
              </w:rPr>
            </w:r>
            <w:r>
              <w:rPr>
                <w:sz w:val="18"/>
              </w:rPr>
              <w:t>A 决定性</w:t>
            </w:r>
          </w:p>
        </w:tc>
        <w:tc>
          <w:tcPr>
            <w:tcW w:type="dxa" w:w="1512"/>
          </w:tcPr>
          <w:p>
            <w:pPr>
              <w:jc w:val="center"/>
            </w:pPr>
            <w:r>
              <w:rPr>
                <w:sz w:val="18"/>
              </w:rPr>
            </w:r>
            <w:r>
              <w:rPr>
                <w:sz w:val="18"/>
              </w:rPr>
              <w:t>94</w:t>
            </w:r>
          </w:p>
        </w:tc>
        <w:tc>
          <w:tcPr>
            <w:tcW w:type="dxa" w:w="1512"/>
          </w:tcPr>
          <w:p>
            <w:pPr>
              <w:jc w:val="center"/>
            </w:pPr>
            <w:r>
              <w:rPr>
                <w:sz w:val="18"/>
              </w:rPr>
            </w:r>
            <w:r>
              <w:rPr>
                <w:sz w:val="18"/>
              </w:rPr>
              <w:t>13</w:t>
            </w:r>
          </w:p>
        </w:tc>
        <w:tc>
          <w:tcPr>
            <w:tcW w:type="dxa" w:w="1512"/>
          </w:tcPr>
          <w:p>
            <w:pPr>
              <w:jc w:val="center"/>
            </w:pPr>
            <w:r>
              <w:rPr>
                <w:sz w:val="18"/>
              </w:rPr>
            </w:r>
            <w:r>
              <w:rPr>
                <w:sz w:val="18"/>
              </w:rPr>
              <w:t>4</w:t>
            </w:r>
          </w:p>
        </w:tc>
        <w:tc>
          <w:tcPr>
            <w:tcW w:type="dxa" w:w="1512"/>
          </w:tcPr>
          <w:p>
            <w:pPr>
              <w:jc w:val="center"/>
            </w:pPr>
            <w:r>
              <w:rPr>
                <w:sz w:val="18"/>
              </w:rPr>
            </w:r>
            <w:r>
              <w:rPr>
                <w:b/>
                <w:sz w:val="18"/>
              </w:rPr>
              <w:t>111</w:t>
            </w:r>
          </w:p>
        </w:tc>
        <w:tc>
          <w:tcPr>
            <w:tcW w:type="dxa" w:w="1512"/>
          </w:tcPr>
          <w:p>
            <w:pPr>
              <w:jc w:val="center"/>
            </w:pPr>
            <w:r>
              <w:rPr>
                <w:sz w:val="18"/>
              </w:rPr>
            </w:r>
            <w:r>
              <w:rPr>
                <w:sz w:val="18"/>
              </w:rPr>
              <w:t>同行评议论文正式列入异名表</w:t>
            </w:r>
          </w:p>
        </w:tc>
      </w:tr>
      <w:tr>
        <w:tc>
          <w:tcPr>
            <w:tcW w:type="dxa" w:w="1512"/>
          </w:tcPr>
          <w:p>
            <w:pPr>
              <w:jc w:val="center"/>
            </w:pPr>
            <w:r>
              <w:rPr>
                <w:sz w:val="18"/>
              </w:rPr>
            </w:r>
            <w:r>
              <w:rPr>
                <w:sz w:val="18"/>
              </w:rPr>
              <w:t>I 同名异物</w:t>
            </w:r>
          </w:p>
        </w:tc>
        <w:tc>
          <w:tcPr>
            <w:tcW w:type="dxa" w:w="1512"/>
          </w:tcPr>
          <w:p>
            <w:pPr>
              <w:jc w:val="center"/>
            </w:pPr>
            <w:r>
              <w:rPr>
                <w:sz w:val="18"/>
              </w:rPr>
            </w:r>
            <w:r>
              <w:rPr>
                <w:sz w:val="18"/>
              </w:rPr>
              <w:t>4</w:t>
            </w:r>
          </w:p>
        </w:tc>
        <w:tc>
          <w:tcPr>
            <w:tcW w:type="dxa" w:w="1512"/>
          </w:tcPr>
          <w:p>
            <w:pPr>
              <w:jc w:val="center"/>
            </w:pPr>
            <w:r>
              <w:rPr>
                <w:sz w:val="18"/>
              </w:rPr>
            </w:r>
            <w:r>
              <w:rPr>
                <w:sz w:val="18"/>
              </w:rPr>
              <w:t>0</w:t>
            </w:r>
          </w:p>
        </w:tc>
        <w:tc>
          <w:tcPr>
            <w:tcW w:type="dxa" w:w="1512"/>
          </w:tcPr>
          <w:p>
            <w:pPr>
              <w:jc w:val="center"/>
            </w:pPr>
            <w:r>
              <w:rPr>
                <w:sz w:val="18"/>
              </w:rPr>
            </w:r>
            <w:r>
              <w:rPr>
                <w:sz w:val="18"/>
              </w:rPr>
              <w:t>0</w:t>
            </w:r>
          </w:p>
        </w:tc>
        <w:tc>
          <w:tcPr>
            <w:tcW w:type="dxa" w:w="1512"/>
          </w:tcPr>
          <w:p>
            <w:pPr>
              <w:jc w:val="center"/>
            </w:pPr>
            <w:r>
              <w:rPr>
                <w:sz w:val="18"/>
              </w:rPr>
            </w:r>
            <w:r>
              <w:rPr>
                <w:b/>
                <w:sz w:val="18"/>
              </w:rPr>
              <w:t>4</w:t>
            </w:r>
          </w:p>
        </w:tc>
        <w:tc>
          <w:tcPr>
            <w:tcW w:type="dxa" w:w="1512"/>
          </w:tcPr>
          <w:p>
            <w:pPr>
              <w:jc w:val="center"/>
            </w:pPr>
            <w:r>
              <w:rPr>
                <w:sz w:val="18"/>
              </w:rPr>
            </w:r>
            <w:r>
              <w:rPr>
                <w:sz w:val="18"/>
              </w:rPr>
              <w:t>按命名人与模式材料对号</w:t>
            </w:r>
          </w:p>
        </w:tc>
      </w:tr>
      <w:tr>
        <w:tc>
          <w:tcPr>
            <w:tcW w:type="dxa" w:w="1512"/>
          </w:tcPr>
          <w:p>
            <w:pPr>
              <w:jc w:val="center"/>
            </w:pPr>
            <w:r>
              <w:rPr>
                <w:sz w:val="18"/>
              </w:rPr>
            </w:r>
            <w:r>
              <w:rPr>
                <w:sz w:val="18"/>
              </w:rPr>
              <w:t>D 反向候选</w:t>
            </w:r>
          </w:p>
        </w:tc>
        <w:tc>
          <w:tcPr>
            <w:tcW w:type="dxa" w:w="1512"/>
          </w:tcPr>
          <w:p>
            <w:pPr>
              <w:jc w:val="center"/>
            </w:pPr>
            <w:r>
              <w:rPr>
                <w:sz w:val="18"/>
              </w:rPr>
            </w:r>
            <w:r>
              <w:rPr>
                <w:sz w:val="18"/>
              </w:rPr>
              <w:t>1</w:t>
            </w:r>
          </w:p>
        </w:tc>
        <w:tc>
          <w:tcPr>
            <w:tcW w:type="dxa" w:w="1512"/>
          </w:tcPr>
          <w:p>
            <w:pPr>
              <w:jc w:val="center"/>
            </w:pPr>
            <w:r>
              <w:rPr>
                <w:sz w:val="18"/>
              </w:rPr>
            </w:r>
            <w:r>
              <w:rPr>
                <w:sz w:val="18"/>
              </w:rPr>
              <w:t>7</w:t>
            </w:r>
          </w:p>
        </w:tc>
        <w:tc>
          <w:tcPr>
            <w:tcW w:type="dxa" w:w="1512"/>
          </w:tcPr>
          <w:p>
            <w:pPr>
              <w:jc w:val="center"/>
            </w:pPr>
            <w:r>
              <w:rPr>
                <w:sz w:val="18"/>
              </w:rPr>
            </w:r>
            <w:r>
              <w:rPr>
                <w:sz w:val="18"/>
              </w:rPr>
              <w:t>0</w:t>
            </w:r>
          </w:p>
        </w:tc>
        <w:tc>
          <w:tcPr>
            <w:tcW w:type="dxa" w:w="1512"/>
          </w:tcPr>
          <w:p>
            <w:pPr>
              <w:jc w:val="center"/>
            </w:pPr>
            <w:r>
              <w:rPr>
                <w:sz w:val="18"/>
              </w:rPr>
            </w:r>
            <w:r>
              <w:rPr>
                <w:b/>
                <w:sz w:val="18"/>
              </w:rPr>
              <w:t>8</w:t>
            </w:r>
          </w:p>
        </w:tc>
        <w:tc>
          <w:tcPr>
            <w:tcW w:type="dxa" w:w="1512"/>
          </w:tcPr>
          <w:p>
            <w:pPr>
              <w:jc w:val="center"/>
            </w:pPr>
            <w:r>
              <w:rPr>
                <w:sz w:val="18"/>
              </w:rPr>
            </w:r>
            <w:r>
              <w:rPr>
                <w:sz w:val="18"/>
              </w:rPr>
              <w:t>MycoBank 的合并缺乏文献支持</w:t>
            </w:r>
          </w:p>
        </w:tc>
      </w:tr>
      <w:tr>
        <w:tc>
          <w:tcPr>
            <w:tcW w:type="dxa" w:w="1512"/>
          </w:tcPr>
          <w:p>
            <w:pPr>
              <w:jc w:val="center"/>
            </w:pPr>
            <w:r>
              <w:rPr>
                <w:sz w:val="18"/>
              </w:rPr>
            </w:r>
            <w:r>
              <w:rPr>
                <w:sz w:val="18"/>
              </w:rPr>
              <w:t>B 倾向性</w:t>
            </w:r>
          </w:p>
        </w:tc>
        <w:tc>
          <w:tcPr>
            <w:tcW w:type="dxa" w:w="1512"/>
          </w:tcPr>
          <w:p>
            <w:pPr>
              <w:jc w:val="center"/>
            </w:pPr>
            <w:r>
              <w:rPr>
                <w:sz w:val="18"/>
              </w:rPr>
            </w:r>
            <w:r>
              <w:rPr>
                <w:sz w:val="18"/>
              </w:rPr>
              <w:t>9</w:t>
            </w:r>
          </w:p>
        </w:tc>
        <w:tc>
          <w:tcPr>
            <w:tcW w:type="dxa" w:w="1512"/>
          </w:tcPr>
          <w:p>
            <w:pPr>
              <w:jc w:val="center"/>
            </w:pPr>
            <w:r>
              <w:rPr>
                <w:sz w:val="18"/>
              </w:rPr>
            </w:r>
            <w:r>
              <w:rPr>
                <w:sz w:val="18"/>
              </w:rPr>
              <w:t>0</w:t>
            </w:r>
          </w:p>
        </w:tc>
        <w:tc>
          <w:tcPr>
            <w:tcW w:type="dxa" w:w="1512"/>
          </w:tcPr>
          <w:p>
            <w:pPr>
              <w:jc w:val="center"/>
            </w:pPr>
            <w:r>
              <w:rPr>
                <w:sz w:val="18"/>
              </w:rPr>
            </w:r>
            <w:r>
              <w:rPr>
                <w:sz w:val="18"/>
              </w:rPr>
              <w:t>0</w:t>
            </w:r>
          </w:p>
        </w:tc>
        <w:tc>
          <w:tcPr>
            <w:tcW w:type="dxa" w:w="1512"/>
          </w:tcPr>
          <w:p>
            <w:pPr>
              <w:jc w:val="center"/>
            </w:pPr>
            <w:r>
              <w:rPr>
                <w:sz w:val="18"/>
              </w:rPr>
            </w:r>
            <w:r>
              <w:rPr>
                <w:b/>
                <w:sz w:val="18"/>
              </w:rPr>
              <w:t>9</w:t>
            </w:r>
          </w:p>
        </w:tc>
        <w:tc>
          <w:tcPr>
            <w:tcW w:type="dxa" w:w="1512"/>
          </w:tcPr>
          <w:p>
            <w:pPr>
              <w:jc w:val="center"/>
            </w:pPr>
            <w:r>
              <w:rPr>
                <w:sz w:val="18"/>
              </w:rPr>
            </w:r>
            <w:r>
              <w:rPr>
                <w:sz w:val="18"/>
              </w:rPr>
              <w:t>论文论证应合并、未做正式处理</w:t>
            </w:r>
          </w:p>
        </w:tc>
      </w:tr>
      <w:tr>
        <w:tc>
          <w:tcPr>
            <w:tcW w:type="dxa" w:w="1512"/>
          </w:tcPr>
          <w:p>
            <w:pPr>
              <w:jc w:val="center"/>
            </w:pPr>
            <w:r>
              <w:rPr>
                <w:sz w:val="18"/>
              </w:rPr>
            </w:r>
            <w:r>
              <w:rPr>
                <w:sz w:val="18"/>
              </w:rPr>
              <w:t>C 待查</w:t>
            </w:r>
          </w:p>
        </w:tc>
        <w:tc>
          <w:tcPr>
            <w:tcW w:type="dxa" w:w="1512"/>
          </w:tcPr>
          <w:p>
            <w:pPr>
              <w:jc w:val="center"/>
            </w:pPr>
            <w:r>
              <w:rPr>
                <w:sz w:val="18"/>
              </w:rPr>
            </w:r>
            <w:r>
              <w:rPr>
                <w:sz w:val="18"/>
              </w:rPr>
              <w:t>9</w:t>
            </w:r>
          </w:p>
        </w:tc>
        <w:tc>
          <w:tcPr>
            <w:tcW w:type="dxa" w:w="1512"/>
          </w:tcPr>
          <w:p>
            <w:pPr>
              <w:jc w:val="center"/>
            </w:pPr>
            <w:r>
              <w:rPr>
                <w:sz w:val="18"/>
              </w:rPr>
            </w:r>
            <w:r>
              <w:rPr>
                <w:sz w:val="18"/>
              </w:rPr>
              <w:t>11</w:t>
            </w:r>
          </w:p>
        </w:tc>
        <w:tc>
          <w:tcPr>
            <w:tcW w:type="dxa" w:w="1512"/>
          </w:tcPr>
          <w:p>
            <w:pPr>
              <w:jc w:val="center"/>
            </w:pPr>
            <w:r>
              <w:rPr>
                <w:sz w:val="18"/>
              </w:rPr>
            </w:r>
            <w:r>
              <w:rPr>
                <w:sz w:val="18"/>
              </w:rPr>
              <w:t>1</w:t>
            </w:r>
          </w:p>
        </w:tc>
        <w:tc>
          <w:tcPr>
            <w:tcW w:type="dxa" w:w="1512"/>
          </w:tcPr>
          <w:p>
            <w:pPr>
              <w:jc w:val="center"/>
            </w:pPr>
            <w:r>
              <w:rPr>
                <w:sz w:val="18"/>
              </w:rPr>
            </w:r>
            <w:r>
              <w:rPr>
                <w:b/>
                <w:sz w:val="18"/>
              </w:rPr>
              <w:t>21</w:t>
            </w:r>
          </w:p>
        </w:tc>
        <w:tc>
          <w:tcPr>
            <w:tcW w:type="dxa" w:w="1512"/>
          </w:tcPr>
          <w:p>
            <w:pPr>
              <w:jc w:val="center"/>
            </w:pPr>
            <w:r>
              <w:rPr>
                <w:sz w:val="18"/>
              </w:rPr>
            </w:r>
            <w:r>
              <w:rPr>
                <w:sz w:val="18"/>
              </w:rPr>
              <w:t>未检索到对应修订文献</w:t>
            </w:r>
          </w:p>
        </w:tc>
      </w:tr>
      <w:tr>
        <w:tc>
          <w:tcPr>
            <w:tcW w:type="dxa" w:w="1512"/>
          </w:tcPr>
          <w:p>
            <w:pPr>
              <w:jc w:val="center"/>
            </w:pPr>
            <w:r>
              <w:rPr>
                <w:sz w:val="18"/>
              </w:rPr>
            </w:r>
            <w:r>
              <w:rPr>
                <w:b/>
                <w:sz w:val="18"/>
              </w:rPr>
              <w:t>合计</w:t>
            </w:r>
          </w:p>
        </w:tc>
        <w:tc>
          <w:tcPr>
            <w:tcW w:type="dxa" w:w="1512"/>
          </w:tcPr>
          <w:p>
            <w:pPr>
              <w:jc w:val="center"/>
            </w:pPr>
            <w:r>
              <w:rPr>
                <w:sz w:val="18"/>
              </w:rPr>
            </w:r>
            <w:r>
              <w:rPr>
                <w:b/>
                <w:sz w:val="18"/>
              </w:rPr>
              <w:t>117</w:t>
            </w:r>
          </w:p>
        </w:tc>
        <w:tc>
          <w:tcPr>
            <w:tcW w:type="dxa" w:w="1512"/>
          </w:tcPr>
          <w:p>
            <w:pPr>
              <w:jc w:val="center"/>
            </w:pPr>
            <w:r>
              <w:rPr>
                <w:sz w:val="18"/>
              </w:rPr>
            </w:r>
            <w:r>
              <w:rPr>
                <w:b/>
                <w:sz w:val="18"/>
              </w:rPr>
              <w:t>31</w:t>
            </w:r>
          </w:p>
        </w:tc>
        <w:tc>
          <w:tcPr>
            <w:tcW w:type="dxa" w:w="1512"/>
          </w:tcPr>
          <w:p>
            <w:pPr>
              <w:jc w:val="center"/>
            </w:pPr>
            <w:r>
              <w:rPr>
                <w:sz w:val="18"/>
              </w:rPr>
            </w:r>
            <w:r>
              <w:rPr>
                <w:b/>
                <w:sz w:val="18"/>
              </w:rPr>
              <w:t>5</w:t>
            </w:r>
          </w:p>
        </w:tc>
        <w:tc>
          <w:tcPr>
            <w:tcW w:type="dxa" w:w="1512"/>
          </w:tcPr>
          <w:p>
            <w:pPr>
              <w:jc w:val="center"/>
            </w:pPr>
            <w:r>
              <w:rPr>
                <w:sz w:val="18"/>
              </w:rPr>
            </w:r>
            <w:r>
              <w:rPr>
                <w:b/>
                <w:sz w:val="18"/>
              </w:rPr>
              <w:t>153</w:t>
            </w:r>
          </w:p>
        </w:tc>
        <w:tc>
          <w:tcPr>
            <w:tcW w:type="dxa" w:w="1512"/>
          </w:tcPr>
          <w:p>
            <w:pPr>
              <w:jc w:val="center"/>
            </w:pPr>
            <w:r>
              <w:rPr>
                <w:sz w:val="18"/>
              </w:rPr>
            </w:r>
            <w:r>
              <w:rPr>
                <w:sz w:val="18"/>
              </w:rPr>
              <w:t>——</w:t>
            </w:r>
          </w:p>
        </w:tc>
      </w:tr>
    </w:tbl>
    <w:p/>
    <w:p>
      <w:pPr>
        <w:ind w:firstLine="0"/>
      </w:pPr>
      <w:r>
        <w:rPr>
          <w:b/>
        </w:rPr>
        <w:t>表 7 中 I 级 4 条的处置</w:t>
      </w:r>
      <w:r>
        <w:t>：3 条经按命名人与模式材料对号后</w:t>
      </w:r>
      <w:r>
        <w:rPr>
          <w:b/>
        </w:rPr>
        <w:t>支持 MycoBank</w:t>
      </w:r>
      <w:r>
        <w:t>，1 条</w:t>
      </w:r>
      <w:r>
        <w:rPr>
          <w:b/>
        </w:rPr>
        <w:t>两库均无误</w:t>
      </w:r>
      <w:r>
        <w:t>。因此「支持 MycoBank 114 条」＝ A 级 111 ＋ I 级 3；I 级剩下的第 4 条计入「两库均无误 1 条」。核对关系：</w:t>
      </w:r>
      <w:r>
        <w:rPr>
          <w:b/>
        </w:rPr>
        <w:t>已定性 123 ＝ A 111 ＋ I 4 ＋ D 8</w:t>
      </w:r>
      <w:r>
        <w:t>。</w:t>
      </w:r>
    </w:p>
    <w:p>
      <w:pPr>
        <w:ind w:firstLine="0"/>
      </w:pPr>
      <w:r>
        <w:rPr>
          <w:b/>
        </w:rPr>
        <w:t>名字关系的总体构成</w:t>
      </w:r>
      <w:r>
        <w:t>（表 1 的五种情形，按 MycoBank 全表 426,834 行统计）：自己即接受名 247,077 行（57.9%）、换属 92,314 行（21.6%）、真异名 60,330 行（14.1%）、拼写/性别更正 27,061 行（6.3%）、同名不同写法 52 行（&lt;0.1%）。</w:t>
      </w:r>
      <w:r>
        <w:rPr>
          <w:b/>
        </w:rPr>
        <w:t>换属占 21.6%，而与真异名（14.1%）性质完全不同</w:t>
      </w:r>
      <w:r>
        <w:t>——把换属当异名，异名数会明显虚高。</w:t>
      </w:r>
    </w:p>
    <w:p>
      <w:pPr>
        <w:ind w:firstLine="0"/>
      </w:pPr>
      <w:r>
        <w:t xml:space="preserve">另有 </w:t>
      </w:r>
      <w:r>
        <w:rPr>
          <w:b/>
        </w:rPr>
        <w:t>41 条</w:t>
      </w:r>
      <w:r>
        <w:t>虽在 MycoBank 中指向别的名（与上表 153 条合计 194 条），经核对实为</w:t>
      </w:r>
      <w:r>
        <w:rPr>
          <w:b/>
        </w:rPr>
        <w:t>名字变体</w:t>
      </w:r>
      <w:r>
        <w:t>，按 2.3 的规则不计入种级分歧，故未列入本表：25 条是</w:t>
      </w:r>
      <w:r>
        <w:rPr>
          <w:b/>
        </w:rPr>
        <w:t>拼写变体</w:t>
      </w:r>
      <w:r>
        <w:t xml:space="preserve">（同一名字的两种拼写，MycoBank 标为 </w:t>
      </w:r>
      <w:r>
        <w:rPr>
          <w:rFonts w:ascii="Consolas" w:hAnsi="Consolas"/>
          <w:sz w:val="19"/>
        </w:rPr>
        <w:t>Orthographic variant</w:t>
      </w:r>
      <w:r>
        <w:t>），16 条是</w:t>
      </w:r>
      <w:r>
        <w:rPr>
          <w:b/>
        </w:rPr>
        <w:t>词尾变体</w:t>
      </w:r>
      <w:r>
        <w:t xml:space="preserve">——同一物种在 </w:t>
      </w:r>
      <w:r>
        <w:rPr>
          <w:i/>
        </w:rPr>
        <w:t>Hypocrea</w:t>
      </w:r>
      <w:r>
        <w:t xml:space="preserve">（阴性）与 </w:t>
      </w:r>
      <w:r>
        <w:rPr>
          <w:i/>
        </w:rPr>
        <w:t>Trichoderma</w:t>
      </w:r>
      <w:r>
        <w:t xml:space="preserve">（中性）两名下词尾不同（如 </w:t>
      </w:r>
      <w:r>
        <w:rPr>
          <w:i/>
        </w:rPr>
        <w:t>T. latizonatum</w:t>
      </w:r>
      <w:r>
        <w:t xml:space="preserve"> ↔ </w:t>
      </w:r>
      <w:r>
        <w:rPr>
          <w:i/>
        </w:rPr>
        <w:t>H. latizonata</w:t>
      </w:r>
      <w:r>
        <w:t>）。</w:t>
      </w:r>
    </w:p>
    <w:p>
      <w:pPr>
        <w:ind w:firstLine="0"/>
      </w:pPr>
      <w:r>
        <w:t xml:space="preserve">已定性的 </w:t>
      </w:r>
      <w:r>
        <w:rPr>
          <w:b/>
        </w:rPr>
        <w:t>123 条</w:t>
      </w:r>
      <w:r>
        <w:t>中，</w:t>
      </w:r>
      <w:r>
        <w:rPr>
          <w:b/>
        </w:rPr>
        <w:t>支持 MycoBank 114 条</w:t>
      </w:r>
      <w:r>
        <w:t>（A 级 111 + 同名异物中 3）、</w:t>
      </w:r>
      <w:r>
        <w:rPr>
          <w:b/>
        </w:rPr>
        <w:t>提示 MycoBank 过度合并 8 条</w:t>
      </w:r>
      <w:r>
        <w:t>、两库均无误 1 条；其余 30 条（B 9 + C 21）不作结论。</w:t>
      </w:r>
      <w:r>
        <w:rPr>
          <w:b/>
        </w:rPr>
        <w:t>这一方向提示，两库的差异并非随机的对错，而是策展分工的系统后果</w:t>
      </w:r>
      <w:r>
        <w:t>——为什么是这样，见 4.1。但需注意方向并不在三属中一致：</w:t>
      </w:r>
      <w:r>
        <w:rPr>
          <w:b/>
        </w:rPr>
        <w:t>Diaporthe 占全部分歧的 76.5%，其 A 级又集中于同两篇修订</w:t>
      </w:r>
      <w:r>
        <w:t xml:space="preserve">（Pereira &amp; Phillips 2023/2024），而 </w:t>
      </w:r>
      <w:r>
        <w:rPr>
          <w:b/>
        </w:rPr>
        <w:t>Colletotrichum 的 31 条里 7 条是「MycoBank 可能并错」的反向候选（22.6%）</w:t>
      </w:r>
      <w:r>
        <w:t>，方向与 Diaporthe 相反。因此「支持 MycoBank」这一总结论主要由 Diaporthe 提供，不能直接外推到其他属。</w:t>
      </w:r>
    </w:p>
    <w:p>
      <w:pPr>
        <w:ind w:firstLine="0"/>
      </w:pPr>
      <w:r>
        <w:rPr>
          <w:b/>
        </w:rPr>
        <w:t>Diaporthe 的 A 级 94 条与两篇文献所述种数（52 + 53 = 105）的差额已核对清楚</w:t>
      </w:r>
      <w:r>
        <w:t>：105 个名字中有 94 个出现在本研究的 507 个规范双名内，且全部构成分歧；</w:t>
      </w:r>
      <w:r>
        <w:rPr>
          <w:b/>
        </w:rPr>
        <w:t>其余 11 个不在清单内</w:t>
      </w:r>
      <w:r>
        <w:t xml:space="preserve">，原因有二。其中 </w:t>
      </w:r>
      <w:r>
        <w:rPr>
          <w:b/>
        </w:rPr>
        <w:t>10 个在 NCBI 分类库中已无独立的物种级 taxon</w:t>
      </w:r>
      <w:r>
        <w:t>——NCBI 早已并入他名，因此不构成「NCBI 保留独立 taxon」这一分歧前提。另 1 个（</w:t>
      </w:r>
      <w:r>
        <w:rPr>
          <w:i/>
        </w:rPr>
        <w:t>D. lithocarpi</w:t>
      </w:r>
      <w:r>
        <w:t xml:space="preserve">）虽有 taxid（1344039），但在 NCBI 标注为 </w:t>
      </w:r>
      <w:r>
        <w:rPr>
          <w:b/>
        </w:rPr>
        <w:t>(nom. inval.)</w:t>
      </w:r>
      <w:r>
        <w:t>（无效名），被「规范双名」过滤规则剔除。</w:t>
      </w:r>
    </w:p>
    <w:p>
      <w:pPr>
        <w:ind w:firstLine="0"/>
      </w:pPr>
      <w:r>
        <w:rPr>
          <w:b/>
        </w:rPr>
        <w:t>因此 94 与 105 的差额不是漏计，而是分母不同</w:t>
      </w:r>
      <w:r>
        <w:t>：文献计的是「被并入的名字」，本研究计的是「既在我们物种清单内、又构成 NCBI–MycoBank 分歧的名字」。</w:t>
      </w:r>
    </w:p>
    <w:p>
      <w:pPr>
        <w:pStyle w:val="Heading2"/>
      </w:pPr>
      <w:r>
        <w:t>4 讨论</w:t>
      </w:r>
    </w:p>
    <w:p>
      <w:pPr>
        <w:pStyle w:val="Heading3"/>
      </w:pPr>
      <w:r>
        <w:t>4.1 两种策展对象上的分工</w:t>
      </w:r>
    </w:p>
    <w:p>
      <w:pPr>
        <w:ind w:firstLine="0"/>
      </w:pPr>
      <w:r>
        <w:t>本研究最重要的发现不是"谁的错更多"，而是</w:t>
      </w:r>
      <w:r>
        <w:rPr>
          <w:b/>
        </w:rPr>
        <w:t>两库在不同策展对象上的投入不同</w:t>
      </w:r>
      <w:r>
        <w:t>。两库的分工见表 8。把它们笼统说成"一个只增不并、一个主动合并"并不准确——NCBI 在模式材料一侧是</w:t>
      </w:r>
      <w:r>
        <w:rPr>
          <w:b/>
        </w:rPr>
        <w:t>主动策展</w:t>
      </w:r>
      <w:r>
        <w:t>的，保守只出现在命名学一侧：</w:t>
      </w:r>
    </w:p>
    <w:p>
      <w:pPr>
        <w:ind w:firstLine="0"/>
      </w:pPr>
      <w:r>
        <w:rPr>
          <w:b/>
        </w:rPr>
        <w:t>表 8</w:t>
      </w:r>
      <w:r>
        <w:t xml:space="preserve">　两库在不同策展对象上的分工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r>
            <w:r>
              <w:rPr>
                <w:b/>
                <w:sz w:val="18"/>
              </w:rPr>
              <w:t>策展对象</w:t>
            </w:r>
          </w:p>
        </w:tc>
        <w:tc>
          <w:tcPr>
            <w:tcW w:type="dxa" w:w="2268"/>
          </w:tcPr>
          <w:p>
            <w:pPr>
              <w:jc w:val="center"/>
            </w:pPr>
            <w:r>
              <w:rPr>
                <w:b/>
                <w:sz w:val="18"/>
              </w:rPr>
            </w:r>
            <w:r>
              <w:rPr>
                <w:b/>
                <w:sz w:val="18"/>
              </w:rPr>
              <w:t>NCBI Taxonomy</w:t>
            </w:r>
          </w:p>
        </w:tc>
        <w:tc>
          <w:tcPr>
            <w:tcW w:type="dxa" w:w="2268"/>
          </w:tcPr>
          <w:p>
            <w:pPr>
              <w:jc w:val="center"/>
            </w:pPr>
            <w:r>
              <w:rPr>
                <w:b/>
                <w:sz w:val="18"/>
              </w:rPr>
            </w:r>
            <w:r>
              <w:rPr>
                <w:b/>
                <w:sz w:val="18"/>
              </w:rPr>
              <w:t>MycoBank</w:t>
            </w:r>
          </w:p>
        </w:tc>
        <w:tc>
          <w:tcPr>
            <w:tcW w:type="dxa" w:w="2268"/>
          </w:tcPr>
          <w:p>
            <w:pPr>
              <w:jc w:val="center"/>
            </w:pPr>
            <w:r>
              <w:rPr>
                <w:b/>
                <w:sz w:val="18"/>
              </w:rPr>
            </w:r>
            <w:r>
              <w:rPr>
                <w:b/>
                <w:sz w:val="18"/>
              </w:rPr>
              <w:t>本文中的体现</w:t>
            </w:r>
          </w:p>
        </w:tc>
      </w:tr>
      <w:tr>
        <w:tc>
          <w:tcPr>
            <w:tcW w:type="dxa" w:w="2268"/>
          </w:tcPr>
          <w:p>
            <w:pPr>
              <w:jc w:val="center"/>
            </w:pPr>
            <w:r>
              <w:rPr>
                <w:sz w:val="18"/>
              </w:rPr>
            </w:r>
            <w:r>
              <w:rPr>
                <w:b/>
                <w:sz w:val="18"/>
              </w:rPr>
              <w:t>模式地位 / 菌株—序列关联</w:t>
            </w:r>
          </w:p>
        </w:tc>
        <w:tc>
          <w:tcPr>
            <w:tcW w:type="dxa" w:w="2268"/>
          </w:tcPr>
          <w:p>
            <w:pPr>
              <w:jc w:val="center"/>
            </w:pPr>
            <w:r>
              <w:rPr>
                <w:sz w:val="18"/>
              </w:rPr>
            </w:r>
            <w:r>
              <w:rPr>
                <w:b/>
                <w:sz w:val="18"/>
              </w:rPr>
              <w:t>主动</w:t>
            </w:r>
            <w:r>
              <w:rPr>
                <w:sz w:val="18"/>
              </w:rPr>
              <w:t>：</w:t>
            </w:r>
            <w:r>
              <w:rPr>
                <w:rFonts w:ascii="Consolas" w:hAnsi="Consolas"/>
                <w:sz w:val="18"/>
              </w:rPr>
              <w:t>/type_material</w:t>
            </w:r>
            <w:r>
              <w:rPr>
                <w:sz w:val="18"/>
              </w:rPr>
              <w:t xml:space="preserve"> 经策展人核实文献后自动写入；原核已策展 18,281 个模式菌株基因组，真菌 21,607 个物种有模式衍生序列</w:t>
            </w:r>
            <w:r>
              <w:rPr>
                <w:sz w:val="18"/>
                <w:vertAlign w:val="superscript"/>
              </w:rPr>
              <w:t>[2,3]</w:t>
            </w:r>
          </w:p>
        </w:tc>
        <w:tc>
          <w:tcPr>
            <w:tcW w:type="dxa" w:w="2268"/>
          </w:tcPr>
          <w:p>
            <w:pPr>
              <w:jc w:val="center"/>
            </w:pPr>
            <w:r>
              <w:rPr>
                <w:sz w:val="18"/>
              </w:rPr>
            </w:r>
            <w:r>
              <w:rPr>
                <w:sz w:val="18"/>
              </w:rPr>
              <w:t>相对较弱，以名称与模式信息登记为主</w:t>
            </w:r>
          </w:p>
        </w:tc>
        <w:tc>
          <w:tcPr>
            <w:tcW w:type="dxa" w:w="2268"/>
          </w:tcPr>
          <w:p>
            <w:pPr>
              <w:jc w:val="center"/>
            </w:pPr>
            <w:r>
              <w:rPr>
                <w:sz w:val="18"/>
              </w:rPr>
            </w:r>
            <w:r>
              <w:rPr>
                <w:sz w:val="18"/>
              </w:rPr>
              <w:t>号层核验可依赖该字段（2.1）</w:t>
            </w:r>
          </w:p>
        </w:tc>
      </w:tr>
      <w:tr>
        <w:tc>
          <w:tcPr>
            <w:tcW w:type="dxa" w:w="2268"/>
          </w:tcPr>
          <w:p>
            <w:pPr>
              <w:jc w:val="center"/>
            </w:pPr>
            <w:r>
              <w:rPr>
                <w:sz w:val="18"/>
              </w:rPr>
            </w:r>
            <w:r>
              <w:rPr>
                <w:b/>
                <w:sz w:val="18"/>
              </w:rPr>
              <w:t>命名学异名合并</w:t>
            </w:r>
          </w:p>
        </w:tc>
        <w:tc>
          <w:tcPr>
            <w:tcW w:type="dxa" w:w="2268"/>
          </w:tcPr>
          <w:p>
            <w:pPr>
              <w:jc w:val="center"/>
            </w:pPr>
            <w:r>
              <w:rPr>
                <w:sz w:val="18"/>
              </w:rPr>
            </w:r>
            <w:r>
              <w:rPr>
                <w:b/>
                <w:sz w:val="18"/>
              </w:rPr>
              <w:t>保守</w:t>
            </w:r>
            <w:r>
              <w:rPr>
                <w:sz w:val="18"/>
              </w:rPr>
              <w:t>：taxon 建立后通常需有人提交合并请求</w:t>
            </w:r>
          </w:p>
        </w:tc>
        <w:tc>
          <w:tcPr>
            <w:tcW w:type="dxa" w:w="2268"/>
          </w:tcPr>
          <w:p>
            <w:pPr>
              <w:jc w:val="center"/>
            </w:pPr>
            <w:r>
              <w:rPr>
                <w:sz w:val="18"/>
              </w:rPr>
            </w:r>
            <w:r>
              <w:rPr>
                <w:b/>
                <w:sz w:val="18"/>
              </w:rPr>
              <w:t>主动</w:t>
            </w:r>
            <w:r>
              <w:rPr>
                <w:sz w:val="18"/>
              </w:rPr>
              <w:t>：策展人跟进文献，2023/2024 两篇的合并已吸收</w:t>
            </w:r>
          </w:p>
        </w:tc>
        <w:tc>
          <w:tcPr>
            <w:tcW w:type="dxa" w:w="2268"/>
          </w:tcPr>
          <w:p>
            <w:pPr>
              <w:jc w:val="center"/>
            </w:pPr>
            <w:r>
              <w:rPr>
                <w:sz w:val="18"/>
              </w:rPr>
            </w:r>
            <w:r>
              <w:rPr>
                <w:sz w:val="18"/>
              </w:rPr>
              <w:t>94 个已被文献否定的名字仍各占独立 taxid</w:t>
            </w:r>
          </w:p>
        </w:tc>
      </w:tr>
      <w:tr>
        <w:tc>
          <w:tcPr>
            <w:tcW w:type="dxa" w:w="2268"/>
          </w:tcPr>
          <w:p>
            <w:pPr>
              <w:jc w:val="center"/>
            </w:pPr>
            <w:r>
              <w:rPr>
                <w:sz w:val="18"/>
              </w:rPr>
            </w:r>
            <w:r>
              <w:rPr>
                <w:b/>
                <w:sz w:val="18"/>
              </w:rPr>
              <w:t>主要风险</w:t>
            </w:r>
          </w:p>
        </w:tc>
        <w:tc>
          <w:tcPr>
            <w:tcW w:type="dxa" w:w="2268"/>
          </w:tcPr>
          <w:p>
            <w:pPr>
              <w:jc w:val="center"/>
            </w:pPr>
            <w:r>
              <w:rPr>
                <w:sz w:val="18"/>
              </w:rPr>
            </w:r>
            <w:r>
              <w:rPr>
                <w:sz w:val="18"/>
              </w:rPr>
              <w:t>滞后（物种被拆得过细）</w:t>
            </w:r>
          </w:p>
        </w:tc>
        <w:tc>
          <w:tcPr>
            <w:tcW w:type="dxa" w:w="2268"/>
          </w:tcPr>
          <w:p>
            <w:pPr>
              <w:jc w:val="center"/>
            </w:pPr>
            <w:r>
              <w:rPr>
                <w:sz w:val="18"/>
              </w:rPr>
            </w:r>
            <w:r>
              <w:rPr>
                <w:sz w:val="18"/>
              </w:rPr>
              <w:t>过度合并（新种可能被过早并入旧种）</w:t>
            </w:r>
          </w:p>
        </w:tc>
        <w:tc>
          <w:tcPr>
            <w:tcW w:type="dxa" w:w="2268"/>
          </w:tcPr>
          <w:p>
            <w:pPr>
              <w:jc w:val="center"/>
            </w:pPr>
            <w:r>
              <w:rPr>
                <w:sz w:val="18"/>
              </w:rPr>
            </w:r>
            <w:r>
              <w:rPr>
                <w:sz w:val="18"/>
              </w:rPr>
              <w:t>——</w:t>
            </w:r>
          </w:p>
        </w:tc>
      </w:tr>
      <w:tr>
        <w:tc>
          <w:tcPr>
            <w:tcW w:type="dxa" w:w="2268"/>
          </w:tcPr>
          <w:p>
            <w:pPr>
              <w:jc w:val="center"/>
            </w:pPr>
            <w:r>
              <w:rPr>
                <w:sz w:val="18"/>
              </w:rPr>
            </w:r>
            <w:r>
              <w:rPr>
                <w:b/>
                <w:sz w:val="18"/>
              </w:rPr>
              <w:t>本例证据</w:t>
            </w:r>
          </w:p>
        </w:tc>
        <w:tc>
          <w:tcPr>
            <w:tcW w:type="dxa" w:w="2268"/>
          </w:tcPr>
          <w:p>
            <w:pPr>
              <w:jc w:val="center"/>
            </w:pPr>
            <w:r>
              <w:rPr>
                <w:sz w:val="18"/>
              </w:rPr>
            </w:r>
            <w:r>
              <w:rPr>
                <w:sz w:val="18"/>
              </w:rPr>
              <w:t>111 条滞后；3 条使用不合法晚出同名</w:t>
            </w:r>
          </w:p>
        </w:tc>
        <w:tc>
          <w:tcPr>
            <w:tcW w:type="dxa" w:w="2268"/>
          </w:tcPr>
          <w:p>
            <w:pPr>
              <w:jc w:val="center"/>
            </w:pPr>
            <w:r>
              <w:rPr>
                <w:sz w:val="18"/>
              </w:rPr>
            </w:r>
            <w:r>
              <w:rPr>
                <w:b/>
                <w:sz w:val="18"/>
              </w:rPr>
              <w:t>8 个过度合并候选</w:t>
            </w:r>
            <w:r>
              <w:rPr>
                <w:sz w:val="18"/>
              </w:rPr>
              <w:t>（Colletotrichum 7、Diaporthe 1），均未定案</w:t>
            </w:r>
          </w:p>
        </w:tc>
        <w:tc>
          <w:tcPr>
            <w:tcW w:type="dxa" w:w="2268"/>
          </w:tcPr>
          <w:p>
            <w:pPr>
              <w:jc w:val="center"/>
            </w:pPr>
            <w:r>
              <w:rPr>
                <w:sz w:val="18"/>
              </w:rPr>
            </w:r>
            <w:r>
              <w:rPr>
                <w:sz w:val="18"/>
              </w:rPr>
              <w:t>——</w:t>
            </w:r>
          </w:p>
        </w:tc>
      </w:tr>
    </w:tbl>
    <w:p/>
    <w:p>
      <w:pPr>
        <w:ind w:firstLine="0"/>
      </w:pPr>
      <w:r>
        <w:rPr>
          <w:b/>
        </w:rPr>
        <w:t>MycoBank 一侧的过度合并共 8 个候选</w:t>
      </w:r>
      <w:r>
        <w:t>（Colletotrichum 7、Diaporthe 1），证据强度从「系统树中为独立末端」到「两篇主要修订均未收录」不等。值得注意，</w:t>
      </w:r>
      <w:r>
        <w:rPr>
          <w:b/>
        </w:rPr>
        <w:t>问题最集中的并非近年被大量并种的 Diaporthe，而是 Colletotrichum</w:t>
      </w:r>
      <w:r>
        <w:t>——与「修订越活跃、合并越激进」的直觉相反。</w:t>
      </w:r>
      <w:r>
        <w:rPr>
          <w:b/>
        </w:rPr>
        <w:t>它们都只是候选</w:t>
      </w:r>
      <w:r>
        <w:t>：文献把某个名当作独立种在用，只是间接证据，不等于该合并一定错；定案需要 MycoBank 页面所列的异名参考文献，或模式株的多基因系统发育。</w:t>
      </w:r>
    </w:p>
    <w:p>
      <w:pPr>
        <w:ind w:firstLine="0"/>
      </w:pPr>
      <w:r>
        <w:t>这意味着 NCBI 保留独立 taxid 在分类学上「过细」，但在生物学上未必无意义。</w:t>
      </w:r>
    </w:p>
    <w:p>
      <w:pPr>
        <w:pStyle w:val="Heading3"/>
      </w:pPr>
      <w:r>
        <w:t>4.2 给研究者与库方的建议</w:t>
      </w:r>
    </w:p>
    <w:p>
      <w:pPr>
        <w:ind w:firstLine="0"/>
      </w:pPr>
      <w:r>
        <w:t>本节按受众分两组：前五条针对</w:t>
      </w:r>
      <w:r>
        <w:rPr>
          <w:b/>
        </w:rPr>
        <w:t>生物学研究者</w:t>
      </w:r>
      <w:r>
        <w:t>的日常动作（查名字、引菌株号、判断模式菌株、发表新种、引用异名），后两条针对</w:t>
      </w:r>
      <w:r>
        <w:rPr>
          <w:b/>
        </w:rPr>
        <w:t>数据库与元数据提交方</w:t>
      </w:r>
      <w:r>
        <w:t>。本文的多数发现在这两类读者手里用法不同，故不混列。</w:t>
      </w:r>
    </w:p>
    <w:p>
      <w:pPr>
        <w:ind w:firstLine="0"/>
      </w:pPr>
      <w:r>
        <w:rPr>
          <w:b/>
        </w:rPr>
        <w:t>（一）对生物学研究者</w:t>
      </w:r>
    </w:p>
    <w:p>
      <w:pPr>
        <w:pStyle w:val="ListNumber"/>
        <w:spacing w:after="60"/>
      </w:pPr>
      <w:r>
        <w:rPr>
          <w:b/>
        </w:rPr>
        <w:t>查到一个名字时，先在 NCBI 与 MycoBank 各查一次，再判断不一致属于哪一类。</w:t>
      </w:r>
      <w:r>
        <w:t xml:space="preserve"> 种加词相同（只是属名变了）→ 同一物种，正常的换属；词干相同、词尾差一两个字母 → 同一物种，拼写或属名性别差异（如 </w:t>
      </w:r>
      <w:r>
        <w:rPr>
          <w:i/>
        </w:rPr>
        <w:t>H. latizonata</w:t>
      </w:r>
      <w:r>
        <w:t xml:space="preserve"> / </w:t>
      </w:r>
      <w:r>
        <w:rPr>
          <w:i/>
        </w:rPr>
        <w:t>T. latizonatum</w:t>
      </w:r>
      <w:r>
        <w:t>）；</w:t>
      </w:r>
      <w:r>
        <w:rPr>
          <w:b/>
        </w:rPr>
        <w:t>种加词完全不同 → 才可能是两个物种</w:t>
      </w:r>
      <w:r>
        <w:t xml:space="preserve">，需查文献。本文 194 条「名字不同」中有 </w:t>
      </w:r>
      <w:r>
        <w:rPr>
          <w:b/>
        </w:rPr>
        <w:t>41 条（21.1%）属前两类</w:t>
      </w:r>
      <w:r>
        <w:t>，根本不是物种问题。</w:t>
      </w:r>
    </w:p>
    <w:p>
      <w:pPr>
        <w:pStyle w:val="ListNumber"/>
        <w:spacing w:after="60"/>
      </w:pPr>
      <w:r>
        <w:rPr>
          <w:b/>
        </w:rPr>
        <w:t>引用菌株号时写出完整机构代码，检索时用冒号形式。</w:t>
      </w:r>
      <w:r>
        <w:t xml:space="preserve"> </w:t>
      </w:r>
      <w:r>
        <w:rPr>
          <w:rFonts w:ascii="Consolas" w:hAnsi="Consolas"/>
          <w:sz w:val="19"/>
        </w:rPr>
        <w:t>CBS:126514</w:t>
      </w:r>
      <w:r>
        <w:t xml:space="preserve"> 能精确命中；</w:t>
      </w:r>
      <w:r>
        <w:rPr>
          <w:rFonts w:ascii="Consolas" w:hAnsi="Consolas"/>
          <w:sz w:val="19"/>
        </w:rPr>
        <w:t>"CBS 126514"</w:t>
      </w:r>
      <w:r>
        <w:t xml:space="preserve"> 会被检索系统拆成两个词，实测返回</w:t>
      </w:r>
      <w:r>
        <w:rPr>
          <w:b/>
        </w:rPr>
        <w:t>两万余条</w:t>
      </w:r>
      <w:r>
        <w:t>无关记录。论文中按「机构代码 + 空格 + 号」（CBS 126514）的规范写法，不要写成 CBS126514 或 CBS-126514——本文 71.3% 的号无法核对，主因之一就是这类非标准写法与机构目录对不上。</w:t>
      </w:r>
    </w:p>
    <w:p>
      <w:pPr>
        <w:pStyle w:val="ListNumber"/>
        <w:spacing w:after="60"/>
      </w:pPr>
      <w:r>
        <w:rPr>
          <w:b/>
        </w:rPr>
        <w:t>判断「这株是不是模式菌株」，不要只看 GenBank 的 `/type_material`。</w:t>
      </w:r>
      <w:r>
        <w:t xml:space="preserve"> 该字段由 NCBI 策展人核实文献后写入，可靠性较高，但</w:t>
      </w:r>
      <w:r>
        <w:rPr>
          <w:b/>
        </w:rPr>
        <w:t>机构目录可能根本不公开类型信息</w:t>
      </w:r>
      <w:r>
        <w:t>。本文 30 条抽样中，</w:t>
      </w:r>
      <w:r>
        <w:rPr>
          <w:b/>
        </w:rPr>
        <w:t>6 条「机构无此记录」实为机构未公开</w:t>
      </w:r>
      <w:r>
        <w:t>——若据此判定作者虚报，会冤枉人。两者冲突时应以</w:t>
      </w:r>
      <w:r>
        <w:rPr>
          <w:b/>
        </w:rPr>
        <w:t>原始发表</w:t>
      </w:r>
      <w:r>
        <w:t>为准。</w:t>
      </w:r>
    </w:p>
    <w:p>
      <w:pPr>
        <w:pStyle w:val="ListNumber"/>
        <w:spacing w:after="60"/>
      </w:pPr>
      <w:r>
        <w:rPr>
          <w:b/>
        </w:rPr>
        <w:t>发表新种后，隔一段时间回查 MycoBank。</w:t>
      </w:r>
      <w:r>
        <w:t xml:space="preserve"> 本文找到 </w:t>
      </w:r>
      <w:r>
        <w:rPr>
          <w:b/>
        </w:rPr>
        <w:t>8 个「新种被并入老名」的候选</w:t>
      </w:r>
      <w:r>
        <w:t>；最典型的一例是 2024 年发表的新种被并入 2013 年的老种，而两篇主要修订均未收录它。</w:t>
      </w:r>
      <w:r>
        <w:rPr>
          <w:b/>
        </w:rPr>
        <w:t>新种发表不等于被接受</w:t>
      </w:r>
      <w:r>
        <w:t>，投稿与后续引用前值得再查一次。</w:t>
      </w:r>
    </w:p>
    <w:p>
      <w:pPr>
        <w:pStyle w:val="ListNumber"/>
        <w:spacing w:after="60"/>
      </w:pPr>
      <w:r>
        <w:rPr>
          <w:b/>
        </w:rPr>
        <w:t>引用异名时区分「换属」与「真异名」，写法不同。</w:t>
      </w:r>
      <w:r>
        <w:t xml:space="preserve"> 换属（占 MycoBank 记录的 </w:t>
      </w:r>
      <w:r>
        <w:rPr>
          <w:b/>
        </w:rPr>
        <w:t>21.6%</w:t>
      </w:r>
      <w:r>
        <w:t xml:space="preserve">）只是属名变了、物种没变，规范写法为「新属名 种加词 (旧作者) 新作者」；真异名（14.1%）才是物种被合并。若把换属当异名，会让读者误以为物种数减少——本文若如此处理，Diaporthe 的异名数将虚增 </w:t>
      </w:r>
      <w:r>
        <w:rPr>
          <w:b/>
        </w:rPr>
        <w:t>44.8%</w:t>
      </w:r>
      <w:r>
        <w:t>。</w:t>
      </w:r>
    </w:p>
    <w:p>
      <w:pPr>
        <w:ind w:firstLine="0"/>
      </w:pPr>
      <w:r>
        <w:rPr>
          <w:b/>
        </w:rPr>
        <w:t>（二）对数据库与元数据提交方</w:t>
      </w:r>
    </w:p>
    <w:p>
      <w:pPr>
        <w:pStyle w:val="ListNumber"/>
        <w:spacing w:after="60"/>
      </w:pPr>
      <w:r>
        <w:rPr>
          <w:b/>
        </w:rPr>
        <w:t>提交时把 `/strain`、`/culture_collection`、`/type_material` 三个字段写全、写规范。</w:t>
      </w:r>
      <w:r>
        <w:t xml:space="preserve"> 本文 </w:t>
      </w:r>
      <w:r>
        <w:rPr>
          <w:b/>
        </w:rPr>
        <w:t>71.3% 的号无法核对</w:t>
      </w:r>
      <w:r>
        <w:t>，主因不是记录错，而是所在机构没有可机读目录、或作者用了非标准写法。</w:t>
      </w:r>
      <w:r>
        <w:rPr>
          <w:b/>
        </w:rPr>
        <w:t>「字段完整」不等于「可关联」</w:t>
      </w:r>
      <w:r>
        <w:t>——即便三个字段都填了，只要写法与机构目录不一致，三元组依然对不上（30 条抽样中有 9 条属此类）。INSDC 已于 2023 年 3 月收紧标本元数据的提交要求</w:t>
      </w:r>
      <w:r>
        <w:rPr>
          <w:vertAlign w:val="superscript"/>
        </w:rPr>
        <w:t>[3]</w:t>
      </w:r>
      <w:r>
        <w:t>，本文结果可作为该规则适用面的补充证据。</w:t>
      </w:r>
    </w:p>
    <w:p>
      <w:pPr>
        <w:pStyle w:val="ListNumber"/>
        <w:spacing w:after="60"/>
      </w:pPr>
      <w:r>
        <w:rPr>
          <w:b/>
        </w:rPr>
        <w:t>机构目录公开类型信息，收益远大于成本。</w:t>
      </w:r>
      <w:r>
        <w:t xml:space="preserve"> 本文「申报为模式材料而机构目录无记录」共 </w:t>
      </w:r>
      <w:r>
        <w:rPr>
          <w:b/>
        </w:rPr>
        <w:t>194 条</w:t>
      </w:r>
      <w:r>
        <w:t>，按机构高度集中：</w:t>
      </w:r>
      <w:r>
        <w:rPr>
          <w:b/>
        </w:rPr>
        <w:t>CGMCC 侧 174、CBS 侧 20、ICMP 侧 0</w:t>
      </w:r>
      <w:r>
        <w:t>。这种集中说明它是</w:t>
      </w:r>
      <w:r>
        <w:rPr>
          <w:b/>
        </w:rPr>
        <w:t>类型信息公开程度的差异</w:t>
      </w:r>
      <w:r>
        <w:t>，而非作者普遍虚报；补上这一个字段，可一次性消除这一整类「疑似错误」。</w:t>
      </w:r>
    </w:p>
    <w:p>
      <w:pPr>
        <w:pStyle w:val="Heading3"/>
      </w:pPr>
      <w:r>
        <w:t>4.3 可核查性本身应当被报告</w:t>
      </w:r>
    </w:p>
    <w:p>
      <w:pPr>
        <w:ind w:firstLine="0"/>
      </w:pPr>
      <w:r>
        <w:t>"无公开数据库"占全部发现的 54.1%，可核率仅 28.7%。这意味着</w:t>
      </w:r>
      <w:r>
        <w:rPr>
          <w:b/>
        </w:rPr>
        <w:t>多数记录既不能被证实也不能被证伪</w:t>
      </w:r>
      <w:r>
        <w:t>。若研究只报告"错误率"，会隐去这个更基础的限制：</w:t>
      </w:r>
      <w:r>
        <w:rPr>
          <w:b/>
        </w:rPr>
        <w:t>该领域元数据的可核查性本身很低，且因属而异。</w:t>
      </w:r>
    </w:p>
    <w:p>
      <w:pPr>
        <w:ind w:firstLine="0"/>
      </w:pPr>
      <w:r>
        <w:t>同样地，反向审计显示 84.3% 的"号不存在"是假阳性。单一来源判定不仅会把号级不一致率报成修正值的 1.39 倍（保守口径），还会把"机构未收录"误报为"号是编造的"——这是对保藏中心的实质性误伤。</w:t>
      </w:r>
    </w:p>
    <w:p>
      <w:pPr>
        <w:ind w:firstLine="0"/>
      </w:pPr>
      <w:r>
        <w:rPr>
          <w:b/>
        </w:rPr>
        <w:t>由此引出一条更普遍的纪律：分母无法定义的地方，不应报告比例。</w:t>
      </w:r>
      <w:r>
        <w:t xml:space="preserve"> 本文按属报告号级不一致率，但不按保藏机构（CBS / ICMP / CGMCC）报告。原因不是数据不足，而是</w:t>
      </w:r>
      <w:r>
        <w:rPr>
          <w:b/>
        </w:rPr>
        <w:t>分母无法定义</w:t>
      </w:r>
      <w:r>
        <w:t>：</w:t>
      </w:r>
    </w:p>
    <w:p>
      <w:pPr>
        <w:pStyle w:val="ListBullet"/>
        <w:spacing w:after="60"/>
      </w:pPr>
      <w:r>
        <w:t xml:space="preserve">「申报为模式材料、而机构目录无此记录」共 </w:t>
      </w:r>
      <w:r>
        <w:rPr>
          <w:b/>
        </w:rPr>
        <w:t>194 条</w:t>
      </w:r>
      <w:r>
        <w:t>（Colletotrichum 86、Trichoderma 73、Diaporthe 35），按机构高度集中：</w:t>
      </w:r>
      <w:r>
        <w:rPr>
          <w:b/>
        </w:rPr>
        <w:t>CGMCC 侧 174、CBS 侧 20、ICMP 侧 0</w:t>
      </w:r>
      <w:r>
        <w:t>。这一检查项的分母应为「</w:t>
      </w:r>
      <w:r>
        <w:rPr>
          <w:b/>
        </w:rPr>
        <w:t>该机构所有被申报为模式材料的号</w:t>
      </w:r>
      <w:r>
        <w:t>」。现有数据只在</w:t>
      </w:r>
      <w:r>
        <w:rPr>
          <w:b/>
        </w:rPr>
        <w:t>出错时</w:t>
      </w:r>
      <w:r>
        <w:t>才打标记，因此这个分母并不存在；若改用「该机构的可核号数」作分母，等于把</w:t>
      </w:r>
      <w:r>
        <w:rPr>
          <w:b/>
        </w:rPr>
        <w:t>类型信息的公开程度</w:t>
      </w:r>
      <w:r>
        <w:t>误读为</w:t>
      </w:r>
      <w:r>
        <w:rPr>
          <w:b/>
        </w:rPr>
        <w:t>策展质量</w:t>
      </w:r>
      <w:r>
        <w:t>。</w:t>
      </w:r>
    </w:p>
    <w:p>
      <w:pPr>
        <w:pStyle w:val="ListBullet"/>
        <w:spacing w:after="60"/>
      </w:pPr>
      <w:r>
        <w:t>同理，「号不存在」的合适分母是「该机构所有被引用的号」，而各机构被引用的总量与其公开程度高度相关，本身无法跨机构对齐。</w:t>
      </w:r>
    </w:p>
    <w:p>
      <w:pPr>
        <w:pStyle w:val="ListBullet"/>
        <w:spacing w:after="60"/>
      </w:pPr>
      <w:r>
        <w:rPr>
          <w:b/>
        </w:rPr>
        <w:t>各机构承受的检查项并不相同</w:t>
      </w:r>
      <w:r>
        <w:t>：目录字段的丰富程度不同，能被施加的检查就不同；在不同检查项集合上算出的比例不具备可比性。同一机构内部的跨属差异亦可大于机构之间的差异。</w:t>
      </w:r>
    </w:p>
    <w:p>
      <w:pPr>
        <w:ind w:firstLine="0"/>
      </w:pPr>
      <w:r>
        <w:t>因此，凡分母无法定义的层面，本文一律不报比例。这与上文分母口径的设定是同一条纪律——</w:t>
      </w:r>
      <w:r>
        <w:rPr>
          <w:b/>
        </w:rPr>
        <w:t>宁可报告「不可核」，也不制造一个看起来精确的率</w:t>
      </w:r>
      <w:r>
        <w:t>。机构侧的原始计数可按机构字段核对，但本文不将其换算为率。</w:t>
      </w:r>
    </w:p>
    <w:p>
      <w:pPr>
        <w:ind w:firstLine="0"/>
      </w:pPr>
      <w:r>
        <w:t>同一逻辑也适用于号级不一致率的属间比较（见 2.3）。</w:t>
      </w:r>
    </w:p>
    <w:p>
      <w:pPr>
        <w:pStyle w:val="Heading3"/>
      </w:pPr>
      <w:r>
        <w:t>4.4 局限性</w:t>
      </w:r>
    </w:p>
    <w:p>
      <w:pPr>
        <w:ind w:firstLine="0"/>
      </w:pPr>
      <w:r>
        <w:t>本节按「本研究</w:t>
      </w:r>
      <w:r>
        <w:rPr>
          <w:b/>
        </w:rPr>
        <w:t>不能</w:t>
      </w:r>
      <w:r>
        <w:t>回答什么」来写，而不是按技术细节罗列。</w:t>
      </w:r>
    </w:p>
    <w:p>
      <w:pPr>
        <w:pStyle w:val="ListNumber"/>
        <w:spacing w:after="60"/>
      </w:pPr>
      <w:r>
        <w:rPr>
          <w:b/>
        </w:rPr>
        <w:t>不能外推到其他属。</w:t>
      </w:r>
      <w:r>
        <w:t xml:space="preserve"> 只审计了 Colletotrichum、Trichoderma、Diaporthe 三个属。三者可核率相差约两倍（42.7% ÷ 20.5% = 2.08），而这一差异来自机构覆盖而非属本身的记录质量，因此本文的率不能套到别的属上。</w:t>
      </w:r>
    </w:p>
    <w:p>
      <w:pPr>
        <w:pStyle w:val="ListNumber"/>
        <w:spacing w:after="60"/>
      </w:pPr>
      <w:r>
        <w:rPr>
          <w:b/>
        </w:rPr>
        <w:t>71.3% 的号无法核对。</w:t>
      </w:r>
      <w:r>
        <w:t xml:space="preserve"> 只覆盖 CBS / ICMP / CGMCC 三家有公开机读目录的保藏中心。NRRL、DAOM、CPC、MFLUCC 等机构的号，只能比对 GenBank 记录名与 NCBI 分类名，</w:t>
      </w:r>
      <w:r>
        <w:rPr>
          <w:b/>
        </w:rPr>
        <w:t>不能按「机构目录为准」判定</w:t>
      </w:r>
      <w:r>
        <w:t>——这些号既没有进分子，也没有进分母。</w:t>
      </w:r>
    </w:p>
    <w:p>
      <w:pPr>
        <w:pStyle w:val="ListNumber"/>
        <w:spacing w:after="60"/>
      </w:pPr>
      <w:r>
        <w:rPr>
          <w:b/>
        </w:rPr>
        <w:t>判定的是「记录冲突」，不是「物种真相」。</w:t>
      </w:r>
      <w:r>
        <w:t xml:space="preserve"> 机构目录与 GenBank 都不是真值。只有 153 条种级分歧做过逐条文献核查（其中 123 条可定性）；号级不一致</w:t>
      </w:r>
      <w:r>
        <w:rPr>
          <w:b/>
        </w:rPr>
        <w:t>没有</w:t>
      </w:r>
      <w:r>
        <w:t>逐条查原始发表，30 条抽样只能给方向（12 条需修正），不足以给逐条结论。</w:t>
      </w:r>
    </w:p>
    <w:p>
      <w:pPr>
        <w:pStyle w:val="ListNumber"/>
        <w:spacing w:after="60"/>
      </w:pPr>
      <w:r>
        <w:rPr>
          <w:b/>
        </w:rPr>
        <w:t>没有使用序列证据。</w:t>
      </w:r>
      <w:r>
        <w:t xml:space="preserve"> 本文</w:t>
      </w:r>
      <w:r>
        <w:rPr>
          <w:b/>
        </w:rPr>
        <w:t>不判断「这株菌是否真的属于这个种」</w:t>
      </w:r>
      <w:r>
        <w:t>。公共库中同种内 ITS 差异可达 9.42%（</w:t>
      </w:r>
      <w:r>
        <w:rPr>
          <w:i/>
        </w:rPr>
        <w:t>D. arecae</w:t>
      </w:r>
      <w:r>
        <w:t xml:space="preserve"> 6 条记录两两比较），单个位点的距离不足以支撑种级判定，须用多基因、模式株与 GCPSR（genealogical concordance phylogenetic species recognition，基因谱系一致性系统发育物种识别）流程。</w:t>
      </w:r>
    </w:p>
    <w:p>
      <w:pPr>
        <w:pStyle w:val="ListNumber"/>
        <w:spacing w:after="60"/>
      </w:pPr>
      <w:r>
        <w:rPr>
          <w:b/>
        </w:rPr>
        <w:t>时间点固定。</w:t>
      </w:r>
      <w:r>
        <w:t xml:space="preserve"> 全部查询完成于 2026 年 10 月 10 日。两库与机构目录持续更新，重跑会得到不同数字；引用本文数字时应连同日期一起引用。</w:t>
      </w:r>
    </w:p>
    <w:p>
      <w:pPr>
        <w:pStyle w:val="ListNumber"/>
        <w:spacing w:after="60"/>
      </w:pPr>
      <w:r>
        <w:rPr>
          <w:b/>
        </w:rPr>
        <w:t>技术性截断（对结论影响有限，列此备查）。</w:t>
      </w:r>
      <w:r>
        <w:t xml:space="preserve"> 单种记录数超过 1,500 条者只扫描前 1,500 条，受影响物种 71 个（见各属「覆盖声明」）；20 条基因组级大记录未能逐条核对，占「号不存在」的 10.8%，保守计为号级不一致（若改计为「机构未收录」，号级不一致率降至 12.0%）；本地 MycoBank 导出无作者列，12,413 个同名异物只能人工消歧，无法批量自动化。</w:t>
      </w:r>
    </w:p>
    <w:p>
      <w:pPr>
        <w:pStyle w:val="Heading2"/>
      </w:pPr>
      <w:r>
        <w:t>5 结论</w:t>
      </w:r>
    </w:p>
    <w:p>
      <w:pPr>
        <w:pStyle w:val="ListNumber"/>
        <w:spacing w:after="60"/>
      </w:pPr>
      <w:r>
        <w:rPr>
          <w:b/>
        </w:rPr>
        <w:t>不一致的主要形态是「号本身不可核查」，不是「名字写错」。</w:t>
      </w:r>
      <w:r>
        <w:t xml:space="preserve"> 1,505 条号级不一致中，</w:t>
      </w:r>
      <w:r>
        <w:rPr>
          <w:b/>
        </w:rPr>
        <w:t>668 条（44.4%）的「号」根本不是机构号</w:t>
      </w:r>
      <w:r>
        <w:t>、而是研究者工作编号；194 条（12.7%）申报为模式材料而机构目录无记录；185 条（12.1%）在机构目录中查不到；</w:t>
      </w:r>
      <w:r>
        <w:rPr>
          <w:b/>
        </w:rPr>
        <w:t>仅 485 条（31.7%）涉及名称冲突</w:t>
      </w:r>
      <w:r>
        <w:t xml:space="preserve">。在可核号内另有 </w:t>
      </w:r>
      <w:r>
        <w:rPr>
          <w:b/>
        </w:rPr>
        <w:t>147 条「一株多名」</w:t>
      </w:r>
      <w:r>
        <w:t>——同一保藏号在 GenBank 被标注为两个不同种（137 条为两个不同双名、10 条为种下单元），占可核号内不一致的 26.3%。</w:t>
      </w:r>
      <w:r>
        <w:rPr>
          <w:b/>
        </w:rPr>
        <w:t>因此问题的主体不是「名字打错」，而是「用来指认菌株的那个号本身不可核查」。</w:t>
      </w:r>
    </w:p>
    <w:p>
      <w:pPr>
        <w:pStyle w:val="ListNumber"/>
        <w:spacing w:after="60"/>
      </w:pPr>
      <w:r>
        <w:rPr>
          <w:b/>
        </w:rPr>
        <w:t>分类学含义：两库不是「谁对」，而是各自在做不同的事。</w:t>
      </w:r>
      <w:r>
        <w:t xml:space="preserve"> NCBI 主动策展模式地位与菌株—序列关联，但对命名学异名合并保守；MycoBank 主动跟进文献做异名合并，但存在过度合并风险。</w:t>
      </w:r>
    </w:p>
    <w:p>
      <w:pPr>
        <w:ind w:firstLine="0"/>
      </w:pPr>
      <w:r>
        <w:rPr>
          <w:b/>
        </w:rPr>
        <w:t>因此「以哪个库为准」没有统一答案，取决于你要问什么</w:t>
      </w:r>
      <w:r>
        <w:t xml:space="preserve">——问「这株是不是模式菌株」，看 NCBI 的 </w:t>
      </w:r>
      <w:r>
        <w:rPr>
          <w:rFonts w:ascii="Consolas" w:hAnsi="Consolas"/>
          <w:sz w:val="19"/>
        </w:rPr>
        <w:t>/type_material</w:t>
      </w:r>
      <w:r>
        <w:t>；问「这个名现在该叫什么」，看 MycoBank 的接受名。把两者当成同一个问题的两个答案，是多数混乱的来源。</w:t>
      </w:r>
    </w:p>
    <w:p>
      <w:pPr>
        <w:pStyle w:val="ListNumber"/>
        <w:spacing w:after="60"/>
      </w:pPr>
      <w:r>
        <w:rPr>
          <w:b/>
        </w:rPr>
        <w:t>后果之一：物种数与异名数会被系统性改变。</w:t>
      </w:r>
      <w:r>
        <w:t xml:space="preserve"> 把换属（占 MycoBank 名字关系的 21.6%）当异名，Diaporthe 的异名数会虚增 </w:t>
      </w:r>
      <w:r>
        <w:rPr>
          <w:b/>
        </w:rPr>
        <w:t>44.8%</w:t>
      </w:r>
      <w:r>
        <w:t>；把 41 条名字变体当成分歧，会把「物种被合并」的数量从 153 虚报成 194（</w:t>
      </w:r>
      <w:r>
        <w:rPr>
          <w:b/>
        </w:rPr>
        <w:t>高估 26.8%</w:t>
      </w:r>
      <w:r>
        <w:t>）。两种误读都会直接改变区系或多样性统计的结果。</w:t>
      </w:r>
    </w:p>
    <w:p>
      <w:pPr>
        <w:pStyle w:val="ListNumber"/>
        <w:spacing w:after="60"/>
      </w:pPr>
      <w:r>
        <w:rPr>
          <w:b/>
        </w:rPr>
        <w:t>后果之二：按学名匹配会静默出错。</w:t>
      </w:r>
      <w:r>
        <w:t xml:space="preserve"> 学名层面「在 MycoBank 中指向别的名」共 194 条（＝153 条种级分歧 ＋ 41 条变体），其中 </w:t>
      </w:r>
      <w:r>
        <w:rPr>
          <w:b/>
        </w:rPr>
        <w:t>41 条（21.1%）根本不是物种问题</w:t>
      </w:r>
      <w:r>
        <w:t>（25 条拼写变体、16 条词尾变体）；MycoBank 中 4.3% 的学名对应多行记录、其中 3.1% 的接受名互相矛盾（同名异物）。这四类错误都不报错、名字看着也像，是本领域最需要显式规则的地方。</w:t>
      </w:r>
    </w:p>
    <w:p>
      <w:pPr>
        <w:pStyle w:val="ListNumber"/>
        <w:spacing w:after="60"/>
      </w:pPr>
      <w:r>
        <w:rPr>
          <w:b/>
        </w:rPr>
        <w:t>测量纪律与边界。</w:t>
      </w:r>
      <w:r>
        <w:t xml:space="preserve"> 仅 </w:t>
      </w:r>
      <w:r>
        <w:rPr>
          <w:b/>
        </w:rPr>
        <w:t>28.7%</w:t>
      </w:r>
      <w:r>
        <w:t xml:space="preserve"> 的号可核，可核号内不一致率 </w:t>
      </w:r>
      <w:r>
        <w:rPr>
          <w:b/>
        </w:rPr>
        <w:t>12.6%</w:t>
      </w:r>
      <w:r>
        <w:t xml:space="preserve">；以单一目录为真值会把率报高 </w:t>
      </w:r>
      <w:r>
        <w:rPr>
          <w:b/>
        </w:rPr>
        <w:t>1.39 倍</w:t>
      </w:r>
      <w:r>
        <w:t>（17.5% vs 12.6%），并把占「号不存在」</w:t>
      </w:r>
      <w:r>
        <w:rPr>
          <w:b/>
        </w:rPr>
        <w:t>84.3%</w:t>
      </w:r>
      <w:r>
        <w:t xml:space="preserve"> 的 156 个真实号（156/185）冤枉成编造——被误伤的是保藏中心，被高估的是率本身。因此任何「错误率」都必须与可核率、分母同时报告，且读作</w:t>
      </w:r>
      <w:r>
        <w:rPr>
          <w:b/>
        </w:rPr>
        <w:t>记录间冲突频率</w:t>
      </w:r>
      <w:r>
        <w:t>而非数据库错误率：机构目录自身也会错（30 条抽样中 12 条需修正，其中 9 条为机构记名与原始发表不符）。具体建议见 4.2。</w:t>
      </w:r>
    </w:p>
    <w:p>
      <w:pPr>
        <w:pStyle w:val="Heading2"/>
      </w:pPr>
      <w:r>
        <w:t>数据与代码可用性</w:t>
      </w:r>
    </w:p>
    <w:p>
      <w:pPr>
        <w:ind w:firstLine="0"/>
      </w:pPr>
      <w:r>
        <w:t>代码与数据公开于 GitHub（</w:t>
      </w:r>
      <w:r>
        <w:rPr>
          <w:b/>
        </w:rPr>
        <w:t>https://github.com/xiangccookie/typeaudit</w:t>
      </w:r>
      <w:r>
        <w:t>，MIT 许可），并以 Zenodo 永久归档：</w:t>
      </w:r>
    </w:p>
    <w:p>
      <w:pPr>
        <w:spacing w:after="60"/>
        <w:ind w:left="454"/>
      </w:pPr>
      <w:r>
        <w:rPr>
          <w:b/>
          <w:color w:val="444444"/>
          <w:sz w:val="19"/>
        </w:rPr>
        <w:t>版本 DOI：10.5281/zenodo.23595583</w:t>
      </w:r>
      <w:r>
        <w:rPr>
          <w:color w:val="444444"/>
          <w:sz w:val="19"/>
        </w:rPr>
        <w:t xml:space="preserve">（v1.2.0，commit </w:t>
      </w:r>
      <w:r>
        <w:rPr>
          <w:rFonts w:ascii="Consolas" w:hAnsi="Consolas"/>
          <w:color w:val="444444"/>
          <w:sz w:val="19"/>
        </w:rPr>
        <w:t>c288199</w:t>
      </w:r>
      <w:r>
        <w:rPr>
          <w:color w:val="444444"/>
          <w:sz w:val="19"/>
        </w:rPr>
        <w:t>）</w:t>
      </w:r>
    </w:p>
    <w:p>
      <w:pPr>
        <w:spacing w:after="60"/>
        <w:ind w:left="454"/>
      </w:pPr>
      <w:r>
        <w:rPr>
          <w:color w:val="444444"/>
          <w:sz w:val="19"/>
        </w:rPr>
        <w:t>概念 DOI（始终指向最新版）：10.5281/zenodo.23574863</w:t>
      </w:r>
    </w:p>
    <w:p>
      <w:pPr>
        <w:ind w:firstLine="0"/>
      </w:pPr>
      <w:r>
        <w:t>引用时请用</w:t>
      </w:r>
      <w:r>
        <w:rPr>
          <w:b/>
        </w:rPr>
        <w:t>版本 DOI</w:t>
      </w:r>
      <w:r>
        <w:t>——期刊要求「永久可引用」，而仓库可改名或删除，DOI 不会。</w:t>
      </w:r>
    </w:p>
    <w:p>
      <w:pPr>
        <w:spacing w:after="60"/>
        <w:ind w:left="454"/>
      </w:pPr>
      <w:r>
        <w:rPr>
          <w:color w:val="444444"/>
          <w:sz w:val="19"/>
        </w:rPr>
        <w:t xml:space="preserve">⚠️ </w:t>
      </w:r>
      <w:r>
        <w:rPr>
          <w:b/>
          <w:color w:val="444444"/>
          <w:sz w:val="19"/>
        </w:rPr>
        <w:t>版本与数字的对应关系（核对前必读）</w:t>
      </w:r>
    </w:p>
    <w:p>
      <w:pPr>
        <w:spacing w:after="60"/>
        <w:ind w:left="454"/>
      </w:pPr>
      <w:r>
        <w:rPr>
          <w:color w:val="444444"/>
          <w:sz w:val="19"/>
        </w:rPr>
        <w:t xml:space="preserve">本文全部数字对应 </w:t>
      </w:r>
      <w:r>
        <w:rPr>
          <w:b/>
          <w:color w:val="444444"/>
          <w:sz w:val="19"/>
        </w:rPr>
        <w:t>v1.2.0（10.5281/zenodo.23595583）</w:t>
      </w:r>
      <w:r>
        <w:rPr>
          <w:color w:val="444444"/>
          <w:sz w:val="19"/>
        </w:rPr>
        <w:t>，含三张图与论文全文。</w:t>
      </w:r>
    </w:p>
    <w:p>
      <w:pPr>
        <w:spacing w:after="60"/>
        <w:ind w:left="454"/>
      </w:pPr>
      <w:r>
        <w:rPr>
          <w:color w:val="444444"/>
          <w:sz w:val="19"/>
        </w:rPr>
        <w:t>与较早的 v1.0.9（10.5281/zenodo.23575367）相比有</w:t>
      </w:r>
      <w:r>
        <w:rPr>
          <w:b/>
          <w:color w:val="444444"/>
          <w:sz w:val="19"/>
        </w:rPr>
        <w:t>三处</w:t>
      </w:r>
      <w:r>
        <w:rPr>
          <w:color w:val="444444"/>
          <w:sz w:val="19"/>
        </w:rPr>
        <w:t>实质变化，</w:t>
      </w:r>
      <w:r>
        <w:rPr>
          <w:b/>
          <w:color w:val="444444"/>
          <w:sz w:val="19"/>
        </w:rPr>
        <w:t>不可直接相减</w:t>
      </w:r>
      <w:r>
        <w:rPr>
          <w:color w:val="444444"/>
          <w:sz w:val="19"/>
        </w:rPr>
        <w:t>：</w:t>
      </w:r>
    </w:p>
    <w:p>
      <w:pPr>
        <w:spacing w:after="60"/>
        <w:ind w:left="454"/>
      </w:pPr>
      <w:r>
        <w:rPr>
          <w:color w:val="444444"/>
          <w:sz w:val="19"/>
        </w:rPr>
        <w:t xml:space="preserve">① </w:t>
      </w:r>
      <w:r>
        <w:rPr>
          <w:b/>
          <w:color w:val="444444"/>
          <w:sz w:val="19"/>
        </w:rPr>
        <w:t>41 条名字变体</w:t>
      </w:r>
      <w:r>
        <w:rPr>
          <w:color w:val="444444"/>
          <w:sz w:val="19"/>
        </w:rPr>
        <w:t>（25 条拼写 ＋ 16 条词尾）由「分歧」改归「非错」：非错 164→205，分歧类 194→153；</w:t>
      </w:r>
    </w:p>
    <w:p>
      <w:pPr>
        <w:spacing w:after="60"/>
        <w:ind w:left="454"/>
      </w:pPr>
      <w:r>
        <w:rPr>
          <w:color w:val="444444"/>
          <w:sz w:val="19"/>
        </w:rPr>
        <w:t xml:space="preserve">② </w:t>
      </w:r>
      <w:r>
        <w:rPr>
          <w:b/>
          <w:color w:val="444444"/>
          <w:sz w:val="19"/>
        </w:rPr>
        <w:t>补做 Colletotrichum 与 Trichoderma 的 36 条冲突裁决</w:t>
      </w:r>
      <w:r>
        <w:rPr>
          <w:color w:val="444444"/>
          <w:sz w:val="19"/>
        </w:rPr>
        <w:t>（v1.0.9 只裁决了 Diaporthe 的 127 条）：已裁决的种级分歧 127→153；</w:t>
      </w:r>
    </w:p>
    <w:p>
      <w:pPr>
        <w:spacing w:after="60"/>
        <w:ind w:left="454"/>
      </w:pPr>
      <w:r>
        <w:rPr>
          <w:color w:val="444444"/>
          <w:sz w:val="19"/>
        </w:rPr>
        <w:t>③ 旧类别名「</w:t>
      </w:r>
      <w:r>
        <w:rPr>
          <w:b/>
          <w:color w:val="444444"/>
          <w:sz w:val="19"/>
        </w:rPr>
        <w:t>矛盾</w:t>
      </w:r>
      <w:r>
        <w:rPr>
          <w:color w:val="444444"/>
          <w:sz w:val="19"/>
        </w:rPr>
        <w:t>」不再使用，本版统称「</w:t>
      </w:r>
      <w:r>
        <w:rPr>
          <w:b/>
          <w:color w:val="444444"/>
          <w:sz w:val="19"/>
        </w:rPr>
        <w:t>种级分歧</w:t>
      </w:r>
      <w:r>
        <w:rPr>
          <w:color w:val="444444"/>
          <w:sz w:val="19"/>
        </w:rPr>
        <w:t>」（一词一义，避免混淆）。</w:t>
      </w:r>
    </w:p>
    <w:p>
      <w:pPr>
        <w:spacing w:after="60"/>
        <w:ind w:left="454"/>
      </w:pPr>
      <w:r>
        <w:rPr>
          <w:color w:val="444444"/>
          <w:sz w:val="19"/>
        </w:rPr>
        <w:t>完整对照见仓库 [</w:t>
      </w:r>
      <w:r>
        <w:rPr>
          <w:rFonts w:ascii="Consolas" w:hAnsi="Consolas"/>
          <w:color w:val="444444"/>
          <w:sz w:val="19"/>
        </w:rPr>
        <w:t>CHANGELOG.md</w:t>
      </w:r>
      <w:r>
        <w:rPr>
          <w:color w:val="444444"/>
          <w:sz w:val="19"/>
        </w:rPr>
        <w:t>](https://github.com/xiangccookie/typeaudit/blob/main/CHANGELOG.md)。</w:t>
      </w:r>
    </w:p>
    <w:p>
      <w:pPr>
        <w:ind w:firstLine="0"/>
      </w:pPr>
      <w:r>
        <w:t>仓库包含：审计流程源码（</w:t>
      </w:r>
      <w:r>
        <w:rPr>
          <w:rFonts w:ascii="Consolas" w:hAnsi="Consolas"/>
          <w:sz w:val="19"/>
        </w:rPr>
        <w:t>src/typeaudit/</w:t>
      </w:r>
      <w:r>
        <w:t>、</w:t>
      </w:r>
      <w:r>
        <w:rPr>
          <w:rFonts w:ascii="Consolas" w:hAnsi="Consolas"/>
          <w:sz w:val="19"/>
        </w:rPr>
        <w:t>tools/</w:t>
      </w:r>
      <w:r>
        <w:t>）、</w:t>
      </w:r>
      <w:r>
        <w:rPr>
          <w:b/>
        </w:rPr>
        <w:t>三属全部结果表</w:t>
      </w:r>
      <w:r>
        <w:t>（</w:t>
      </w:r>
      <w:r>
        <w:rPr>
          <w:rFonts w:ascii="Consolas" w:hAnsi="Consolas"/>
          <w:sz w:val="19"/>
        </w:rPr>
        <w:t>results/</w:t>
      </w:r>
      <w:r>
        <w:t>，25 个文件，约 1.84 MB：三列表、覆盖声明、发现汇总、四方核验、序列轴、分类库、反向审计、分歧裁决表、30 条验证子样本；另附</w:t>
      </w:r>
      <w:r>
        <w:rPr>
          <w:b/>
        </w:rPr>
        <w:t>种级分歧 153 条总表</w:t>
      </w:r>
      <w:r>
        <w:t>与</w:t>
      </w:r>
      <w:r>
        <w:rPr>
          <w:b/>
        </w:rPr>
        <w:t>同名异物四例对照</w:t>
      </w:r>
      <w:r>
        <w:t>两份补充材料）、已知错误的回归测试集（</w:t>
      </w:r>
      <w:r>
        <w:rPr>
          <w:rFonts w:ascii="Consolas" w:hAnsi="Consolas"/>
          <w:sz w:val="19"/>
        </w:rPr>
        <w:t>data/known_errors.tsv</w:t>
      </w:r>
      <w:r>
        <w:t>，32 例）、三个属的规范物种清单，以及方法说明文档。</w:t>
      </w:r>
    </w:p>
    <w:p>
      <w:pPr>
        <w:ind w:firstLine="0"/>
      </w:pPr>
      <w:r>
        <w:t>为便于不具备编程基础的读者核对，仓库内附 Windows 启动器（</w:t>
      </w:r>
      <w:r>
        <w:rPr>
          <w:rFonts w:ascii="Consolas" w:hAnsi="Consolas"/>
          <w:sz w:val="19"/>
        </w:rPr>
        <w:t>类型校对台.exe</w:t>
      </w:r>
      <w:r>
        <w:t xml:space="preserve">）：解压后双击即可在浏览器中直接载入 </w:t>
      </w:r>
      <w:r>
        <w:rPr>
          <w:rFonts w:ascii="Consolas" w:hAnsi="Consolas"/>
          <w:sz w:val="19"/>
        </w:rPr>
        <w:t>results/</w:t>
      </w:r>
      <w:r>
        <w:t xml:space="preserve"> 下任一属的结果，</w:t>
      </w:r>
      <w:r>
        <w:rPr>
          <w:b/>
        </w:rPr>
        <w:t>无需联网、无需安装 Python、无需重跑流水线</w:t>
      </w:r>
      <w:r>
        <w:t>；页面顶部给出三属结论速览，左栏可切换属并逐条查看每个种、每个号的判定与证据。</w:t>
      </w:r>
    </w:p>
    <w:p>
      <w:pPr>
        <w:ind w:firstLine="0"/>
      </w:pPr>
      <w:r>
        <w:t>复现三属结果的主命令：</w:t>
      </w:r>
    </w:p>
    <w:p>
      <w:pPr>
        <w:ind w:firstLine="0"/>
      </w:pPr>
      <w:r>
        <w:rPr>
          <w:rFonts w:ascii="Consolas" w:hAnsi="Consolas"/>
          <w:sz w:val="19"/>
        </w:rPr>
        <w:t>`</w:t>
      </w:r>
    </w:p>
    <w:p>
      <w:pPr>
        <w:ind w:firstLine="0"/>
      </w:pPr>
      <w:r>
        <w:t>python tools/chain_genus.py --genus &lt;属名&gt; --chunk 40</w:t>
      </w:r>
    </w:p>
    <w:p>
      <w:pPr>
        <w:ind w:firstLine="0"/>
      </w:pPr>
      <w:r>
        <w:rPr>
          <w:rFonts w:ascii="Consolas" w:hAnsi="Consolas"/>
          <w:sz w:val="19"/>
        </w:rPr>
        <w:t>`</w:t>
      </w:r>
    </w:p>
    <w:p>
      <w:pPr>
        <w:ind w:firstLine="0"/>
      </w:pPr>
      <w:r>
        <w:t>该命令依次完成：取种清单 → 按 40 种分块审计 → 合并 → 补全链（四方核验、反向审计、序列轴、分类库、汇总）。</w:t>
      </w:r>
    </w:p>
    <w:p>
      <w:pPr>
        <w:pStyle w:val="Heading2"/>
      </w:pPr>
      <w:r>
        <w:t>参考文献</w:t>
      </w:r>
    </w:p>
    <w:p>
      <w:pPr>
        <w:pStyle w:val="ListNumber"/>
        <w:spacing w:after="60"/>
      </w:pPr>
      <w:r>
        <w:t xml:space="preserve">Guralnick R, Conlin T, Deck J, Stucky BJ, Cellinese N. The trouble with triplets in biodiversity informatics: a data-driven case against current identifier practices. </w:t>
      </w:r>
      <w:r>
        <w:rPr>
          <w:i/>
        </w:rPr>
        <w:t>PLoS ONE</w:t>
      </w:r>
      <w:r>
        <w:t>. 2014;9(12):e114069. doi:10.1371/journal.pone.0114069.</w:t>
      </w:r>
    </w:p>
    <w:p>
      <w:pPr>
        <w:pStyle w:val="ListNumber"/>
        <w:spacing w:after="60"/>
      </w:pPr>
      <w:r>
        <w:t xml:space="preserve">Kannan S, Sharma S, Ciufo S, Clark K, Turner S, Kitts PA, Schoch CL, DiCuccio M, Kimchi A. Collection and curation of prokaryotic genome assemblies from type strains at NCBI. </w:t>
      </w:r>
      <w:r>
        <w:rPr>
          <w:i/>
        </w:rPr>
        <w:t>International Journal of Systematic and Evolutionary Microbiology</w:t>
      </w:r>
      <w:r>
        <w:t>. 2023;73:005707. doi:10.1099/ijsem.0.005707.</w:t>
      </w:r>
    </w:p>
    <w:p>
      <w:pPr>
        <w:pStyle w:val="ListNumber"/>
        <w:spacing w:after="60"/>
      </w:pPr>
      <w:r>
        <w:t xml:space="preserve">Renner SS, Scherz MD, Schoch CL, Gottschling M, Vences M. Improving the gold standard in NCBI GenBank and related databases: DNA sequences from type specimens and type strains. </w:t>
      </w:r>
      <w:r>
        <w:rPr>
          <w:i/>
        </w:rPr>
        <w:t>Systematic Biology</w:t>
      </w:r>
      <w:r>
        <w:t>. 2024;73(2):486–494. doi:10.1093/sysbio/syad068.</w:t>
      </w:r>
    </w:p>
    <w:p>
      <w:pPr>
        <w:pStyle w:val="ListNumber"/>
        <w:spacing w:after="60"/>
      </w:pPr>
      <w:r>
        <w:t xml:space="preserve">Hawksworth DL. The Amsterdam Declaration on fungal nomenclature. </w:t>
      </w:r>
      <w:r>
        <w:rPr>
          <w:i/>
        </w:rPr>
        <w:t>IMA Fungus</w:t>
      </w:r>
      <w:r>
        <w:t>. 2011;2:105–112. PMID: 22679594.</w:t>
      </w:r>
    </w:p>
    <w:p>
      <w:pPr>
        <w:pStyle w:val="ListNumber"/>
        <w:spacing w:after="60"/>
      </w:pPr>
      <w:r>
        <w:t xml:space="preserve">Taylor JW. One Fungus = One Name: DNA and fungal nomenclature twenty years after PCR. </w:t>
      </w:r>
      <w:r>
        <w:rPr>
          <w:i/>
        </w:rPr>
        <w:t>IMA Fungus</w:t>
      </w:r>
      <w:r>
        <w:t>. 2011;2:113–120. PMID: 22679595.</w:t>
      </w:r>
    </w:p>
    <w:p>
      <w:pPr>
        <w:pStyle w:val="ListNumber"/>
        <w:spacing w:after="60"/>
      </w:pPr>
      <w:r>
        <w:t xml:space="preserve">Réblová M, Nekvindová J, Bauchová L, Hernández-Restrepo M. Pleurophragmium parvisporum (Ascomycota): one name, seven stories — a case highlighting the need for verification of strains from public culture collections. </w:t>
      </w:r>
      <w:r>
        <w:rPr>
          <w:i/>
        </w:rPr>
        <w:t>IMA Fungus</w:t>
      </w:r>
      <w:r>
        <w:t>. 2025;16. doi:10.3897/imafungus.16.173033. PMID: 41347007.</w:t>
      </w:r>
    </w:p>
    <w:p>
      <w:pPr>
        <w:pStyle w:val="ListNumber"/>
        <w:spacing w:after="60"/>
      </w:pPr>
      <w:r>
        <w:t xml:space="preserve">Kennedy AH, Schoch CL, Marrero G, Brover V, Robbertse B. Publicly available and validated DNA reference sequences are critical to fungal identification and global plant protection efforts: a use-case in Colletotrichum. </w:t>
      </w:r>
      <w:r>
        <w:rPr>
          <w:i/>
        </w:rPr>
        <w:t>Plant Disease</w:t>
      </w:r>
      <w:r>
        <w:t>. 2022;106(6). doi:10.1094/PDIS-09-21-2083-SR. PMID: 35538602.</w:t>
      </w:r>
    </w:p>
    <w:p>
      <w:pPr>
        <w:pStyle w:val="ListNumber"/>
        <w:spacing w:after="60"/>
      </w:pPr>
      <w:r>
        <w:t xml:space="preserve">Pereira DS, Hilário S, Gonçalves MFM, Phillips AJL. Diaporthe species on palms: molecular re-assessment and species boundaries delimitation in the D. arecae species complex. </w:t>
      </w:r>
      <w:r>
        <w:rPr>
          <w:i/>
        </w:rPr>
        <w:t>Microorganisms</w:t>
      </w:r>
      <w:r>
        <w:t>. 2023;11:2717. PMID: 38004729.</w:t>
      </w:r>
    </w:p>
    <w:p>
      <w:pPr>
        <w:pStyle w:val="ListNumber"/>
        <w:spacing w:after="60"/>
      </w:pPr>
      <w:r>
        <w:t xml:space="preserve">Pereira DS, Phillips AJL. Diaporthe species on palms — integrative taxonomic approach for species boundaries delimitation in the genus Diaporthe, with the description of D. pygmaeae sp. nov. </w:t>
      </w:r>
      <w:r>
        <w:rPr>
          <w:i/>
        </w:rPr>
        <w:t>Studies in Mycology</w:t>
      </w:r>
      <w:r>
        <w:t>. 2024;109:487–594. PMID: 39717652.</w:t>
      </w:r>
    </w:p>
    <w:p>
      <w:pPr>
        <w:pStyle w:val="ListNumber"/>
        <w:spacing w:after="60"/>
      </w:pPr>
      <w:r>
        <w:t xml:space="preserve">Hilário S, Gonçalves MFM, Alves A. Using genealogical concordance and coalescent-based species delimitation to assess species boundaries in the Diaporthe eres complex. </w:t>
      </w:r>
      <w:r>
        <w:rPr>
          <w:i/>
        </w:rPr>
        <w:t>Journal of Fungi</w:t>
      </w:r>
      <w:r>
        <w:t>. 2021;7:507. PMID: 34202282.</w:t>
      </w:r>
    </w:p>
    <w:p>
      <w:pPr>
        <w:pStyle w:val="ListNumber"/>
        <w:spacing w:after="60"/>
      </w:pPr>
      <w:r>
        <w:t xml:space="preserve">Hilário S, Santos L, Alves A. Diaporthe amygdali, a species complex or a complex species? </w:t>
      </w:r>
      <w:r>
        <w:rPr>
          <w:i/>
        </w:rPr>
        <w:t>Fungal Biology</w:t>
      </w:r>
      <w:r>
        <w:t>. 2021;125:505–518. PMID: 34140147.</w:t>
      </w:r>
    </w:p>
    <w:p>
      <w:pPr>
        <w:pStyle w:val="ListNumber"/>
        <w:spacing w:after="60"/>
      </w:pPr>
      <w:r>
        <w:t xml:space="preserve">Gao Y, Liu F, Duan W, Crous PW, Cai L. Diaporthe is paraphyletic. </w:t>
      </w:r>
      <w:r>
        <w:rPr>
          <w:i/>
        </w:rPr>
        <w:t>IMA Fungus</w:t>
      </w:r>
      <w:r>
        <w:t>. 2017;8:153–187. PMID: 28824846.</w:t>
      </w:r>
    </w:p>
    <w:p>
      <w:pPr>
        <w:ind w:firstLine="0"/>
      </w:pPr>
      <w:r>
        <w:rPr>
          <w:i/>
        </w:rPr>
        <w:t xml:space="preserve">（补注：4、5 两篇为 2011 年墨尔本国际植物学大会后"一菌一名"改革的纲领性文献；如正文需要直接引《墨尔本法规》条文，应另引 McNeill 等 2012 年出版的 </w:t>
      </w:r>
      <w:r>
        <w:t>International Code of Nomenclature for algae, fungi, and plants (Melbourne Code)</w:t>
      </w:r>
      <w:r>
        <w:rPr>
          <w:i/>
        </w:rPr>
        <w:t xml:space="preserve"> 纸质/在线版本，该文献不在 PubMed 中。）</w:t>
      </w:r>
    </w:p>
    <w:p>
      <w:pPr>
        <w:pStyle w:val="Heading2"/>
      </w:pPr>
      <w:r>
        <w:t>图表清单</w:t>
      </w:r>
    </w:p>
    <w:p>
      <w:pPr>
        <w:ind w:firstLine="0"/>
      </w:pPr>
      <w:r>
        <w:rPr>
          <w:b/>
        </w:rPr>
        <w:t>图（已成稿，600 dpi，另附 PDF 矢量版）</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18"/>
              </w:rPr>
            </w:r>
            <w:r>
              <w:rPr>
                <w:b/>
                <w:sz w:val="18"/>
              </w:rPr>
              <w:t>编号</w:t>
            </w:r>
          </w:p>
        </w:tc>
        <w:tc>
          <w:tcPr>
            <w:tcW w:type="dxa" w:w="1814"/>
          </w:tcPr>
          <w:p>
            <w:pPr>
              <w:jc w:val="center"/>
            </w:pPr>
            <w:r>
              <w:rPr>
                <w:b/>
                <w:sz w:val="18"/>
              </w:rPr>
            </w:r>
            <w:r>
              <w:rPr>
                <w:b/>
                <w:sz w:val="18"/>
              </w:rPr>
              <w:t>内容</w:t>
            </w:r>
          </w:p>
        </w:tc>
        <w:tc>
          <w:tcPr>
            <w:tcW w:type="dxa" w:w="1814"/>
          </w:tcPr>
          <w:p>
            <w:pPr>
              <w:jc w:val="center"/>
            </w:pPr>
            <w:r>
              <w:rPr>
                <w:b/>
                <w:sz w:val="18"/>
              </w:rPr>
            </w:r>
            <w:r>
              <w:rPr>
                <w:b/>
                <w:sz w:val="18"/>
              </w:rPr>
              <w:t>文件</w:t>
            </w:r>
          </w:p>
        </w:tc>
        <w:tc>
          <w:tcPr>
            <w:tcW w:type="dxa" w:w="1814"/>
          </w:tcPr>
          <w:p>
            <w:pPr>
              <w:jc w:val="center"/>
            </w:pPr>
            <w:r>
              <w:rPr>
                <w:b/>
                <w:sz w:val="18"/>
              </w:rPr>
            </w:r>
            <w:r>
              <w:rPr>
                <w:b/>
                <w:sz w:val="18"/>
              </w:rPr>
              <w:t>尺寸</w:t>
            </w:r>
          </w:p>
        </w:tc>
        <w:tc>
          <w:tcPr>
            <w:tcW w:type="dxa" w:w="1814"/>
          </w:tcPr>
          <w:p>
            <w:pPr>
              <w:jc w:val="center"/>
            </w:pPr>
            <w:r>
              <w:rPr>
                <w:b/>
                <w:sz w:val="18"/>
              </w:rPr>
            </w:r>
            <w:r>
              <w:rPr>
                <w:b/>
                <w:sz w:val="18"/>
              </w:rPr>
              <w:t>数据来源</w:t>
            </w:r>
          </w:p>
        </w:tc>
      </w:tr>
      <w:tr>
        <w:tc>
          <w:tcPr>
            <w:tcW w:type="dxa" w:w="1814"/>
          </w:tcPr>
          <w:p>
            <w:pPr>
              <w:jc w:val="center"/>
            </w:pPr>
            <w:r>
              <w:rPr>
                <w:sz w:val="18"/>
              </w:rPr>
            </w:r>
            <w:r>
              <w:rPr>
                <w:sz w:val="18"/>
              </w:rPr>
              <w:t>图 1</w:t>
            </w:r>
          </w:p>
        </w:tc>
        <w:tc>
          <w:tcPr>
            <w:tcW w:type="dxa" w:w="1814"/>
          </w:tcPr>
          <w:p>
            <w:pPr>
              <w:jc w:val="center"/>
            </w:pPr>
            <w:r>
              <w:rPr>
                <w:sz w:val="18"/>
              </w:rPr>
            </w:r>
            <w:r>
              <w:rPr>
                <w:sz w:val="18"/>
              </w:rPr>
              <w:t>审计流程与三个分母（流程框图）</w:t>
            </w:r>
          </w:p>
        </w:tc>
        <w:tc>
          <w:tcPr>
            <w:tcW w:type="dxa" w:w="1814"/>
          </w:tcPr>
          <w:p>
            <w:pPr>
              <w:jc w:val="center"/>
            </w:pPr>
            <w:r>
              <w:rPr>
                <w:sz w:val="18"/>
              </w:rPr>
            </w:r>
            <w:r>
              <w:rPr>
                <w:rFonts w:ascii="Consolas" w:hAnsi="Consolas"/>
                <w:sz w:val="18"/>
              </w:rPr>
              <w:t>Fig1_audit_flow</w:t>
            </w:r>
          </w:p>
        </w:tc>
        <w:tc>
          <w:tcPr>
            <w:tcW w:type="dxa" w:w="1814"/>
          </w:tcPr>
          <w:p>
            <w:pPr>
              <w:jc w:val="center"/>
            </w:pPr>
            <w:r>
              <w:rPr>
                <w:sz w:val="18"/>
              </w:rPr>
            </w:r>
            <w:r>
              <w:rPr>
                <w:sz w:val="18"/>
              </w:rPr>
              <w:t>17.4 × 11.4 cm</w:t>
            </w:r>
          </w:p>
        </w:tc>
        <w:tc>
          <w:tcPr>
            <w:tcW w:type="dxa" w:w="1814"/>
          </w:tcPr>
          <w:p>
            <w:pPr>
              <w:jc w:val="center"/>
            </w:pPr>
            <w:r>
              <w:rPr>
                <w:sz w:val="18"/>
              </w:rPr>
            </w:r>
            <w:r>
              <w:rPr>
                <w:sz w:val="18"/>
              </w:rPr>
              <w:t>2.2、3.1</w:t>
            </w:r>
          </w:p>
        </w:tc>
      </w:tr>
      <w:tr>
        <w:tc>
          <w:tcPr>
            <w:tcW w:type="dxa" w:w="1814"/>
          </w:tcPr>
          <w:p>
            <w:pPr>
              <w:jc w:val="center"/>
            </w:pPr>
            <w:r>
              <w:rPr>
                <w:sz w:val="18"/>
              </w:rPr>
            </w:r>
            <w:r>
              <w:rPr>
                <w:sz w:val="18"/>
              </w:rPr>
              <w:t>图 2</w:t>
            </w:r>
          </w:p>
        </w:tc>
        <w:tc>
          <w:tcPr>
            <w:tcW w:type="dxa" w:w="1814"/>
          </w:tcPr>
          <w:p>
            <w:pPr>
              <w:jc w:val="center"/>
            </w:pPr>
            <w:r>
              <w:rPr>
                <w:sz w:val="18"/>
              </w:rPr>
            </w:r>
            <w:r>
              <w:rPr>
                <w:sz w:val="18"/>
              </w:rPr>
              <w:t>三属可核率与机构构成（两面板）</w:t>
            </w:r>
          </w:p>
        </w:tc>
        <w:tc>
          <w:tcPr>
            <w:tcW w:type="dxa" w:w="1814"/>
          </w:tcPr>
          <w:p>
            <w:pPr>
              <w:jc w:val="center"/>
            </w:pPr>
            <w:r>
              <w:rPr>
                <w:sz w:val="18"/>
              </w:rPr>
            </w:r>
            <w:r>
              <w:rPr>
                <w:rFonts w:ascii="Consolas" w:hAnsi="Consolas"/>
                <w:sz w:val="18"/>
              </w:rPr>
              <w:t>Fig2_verifiability_composition</w:t>
            </w:r>
          </w:p>
        </w:tc>
        <w:tc>
          <w:tcPr>
            <w:tcW w:type="dxa" w:w="1814"/>
          </w:tcPr>
          <w:p>
            <w:pPr>
              <w:jc w:val="center"/>
            </w:pPr>
            <w:r>
              <w:rPr>
                <w:sz w:val="18"/>
              </w:rPr>
            </w:r>
            <w:r>
              <w:rPr>
                <w:sz w:val="18"/>
              </w:rPr>
              <w:t>17.3 × 7.7 cm</w:t>
            </w:r>
          </w:p>
        </w:tc>
        <w:tc>
          <w:tcPr>
            <w:tcW w:type="dxa" w:w="1814"/>
          </w:tcPr>
          <w:p>
            <w:pPr>
              <w:jc w:val="center"/>
            </w:pPr>
            <w:r>
              <w:rPr>
                <w:sz w:val="18"/>
              </w:rPr>
            </w:r>
            <w:r>
              <w:rPr>
                <w:sz w:val="18"/>
              </w:rPr>
              <w:t>三列表机构构成</w:t>
            </w:r>
          </w:p>
        </w:tc>
      </w:tr>
      <w:tr>
        <w:tc>
          <w:tcPr>
            <w:tcW w:type="dxa" w:w="1814"/>
          </w:tcPr>
          <w:p>
            <w:pPr>
              <w:jc w:val="center"/>
            </w:pPr>
            <w:r>
              <w:rPr>
                <w:sz w:val="18"/>
              </w:rPr>
            </w:r>
            <w:r>
              <w:rPr>
                <w:sz w:val="18"/>
              </w:rPr>
              <w:t>图 3</w:t>
            </w:r>
          </w:p>
        </w:tc>
        <w:tc>
          <w:tcPr>
            <w:tcW w:type="dxa" w:w="1814"/>
          </w:tcPr>
          <w:p>
            <w:pPr>
              <w:jc w:val="center"/>
            </w:pPr>
            <w:r>
              <w:rPr>
                <w:sz w:val="18"/>
              </w:rPr>
            </w:r>
            <w:r>
              <w:rPr>
                <w:sz w:val="18"/>
              </w:rPr>
              <w:t>三属号级不一致率与 95% CI（点 + 误差线）</w:t>
            </w:r>
          </w:p>
        </w:tc>
        <w:tc>
          <w:tcPr>
            <w:tcW w:type="dxa" w:w="1814"/>
          </w:tcPr>
          <w:p>
            <w:pPr>
              <w:jc w:val="center"/>
            </w:pPr>
            <w:r>
              <w:rPr>
                <w:sz w:val="18"/>
              </w:rPr>
            </w:r>
            <w:r>
              <w:rPr>
                <w:rFonts w:ascii="Consolas" w:hAnsi="Consolas"/>
                <w:sz w:val="18"/>
              </w:rPr>
              <w:t>Fig3_rate_CI</w:t>
            </w:r>
          </w:p>
        </w:tc>
        <w:tc>
          <w:tcPr>
            <w:tcW w:type="dxa" w:w="1814"/>
          </w:tcPr>
          <w:p>
            <w:pPr>
              <w:jc w:val="center"/>
            </w:pPr>
            <w:r>
              <w:rPr>
                <w:sz w:val="18"/>
              </w:rPr>
            </w:r>
            <w:r>
              <w:rPr>
                <w:sz w:val="18"/>
              </w:rPr>
              <w:t>12.0 × 8.6 cm</w:t>
            </w:r>
          </w:p>
        </w:tc>
        <w:tc>
          <w:tcPr>
            <w:tcW w:type="dxa" w:w="1814"/>
          </w:tcPr>
          <w:p>
            <w:pPr>
              <w:jc w:val="center"/>
            </w:pPr>
            <w:r>
              <w:rPr>
                <w:sz w:val="18"/>
              </w:rPr>
            </w:r>
            <w:r>
              <w:rPr>
                <w:sz w:val="18"/>
              </w:rPr>
              <w:t>表 5、3.1</w:t>
            </w:r>
          </w:p>
        </w:tc>
      </w:tr>
    </w:tbl>
    <w:p/>
    <w:p>
      <w:pPr>
        <w:ind w:firstLine="0"/>
      </w:pPr>
      <w:r>
        <w:t>图件格式：PNG（预览）/ PDF（矢量投稿）/ TIFF（600 dpi、RGB、LZW 压缩）；字体已嵌入，无 Type 3。</w:t>
      </w:r>
    </w:p>
    <w:p>
      <w:pPr>
        <w:ind w:firstLine="0"/>
      </w:pPr>
      <w:r>
        <w:t>存放目录：</w:t>
      </w:r>
      <w:r>
        <w:rPr>
          <w:rFonts w:ascii="Consolas" w:hAnsi="Consolas"/>
          <w:sz w:val="19"/>
        </w:rPr>
        <w:t>07_图数据/figures/</w:t>
      </w:r>
      <w:r>
        <w:t>。</w:t>
      </w:r>
    </w:p>
    <w:p>
      <w:pPr>
        <w:ind w:firstLine="0"/>
      </w:pPr>
      <w:r>
        <w:rPr>
          <w:b/>
        </w:rPr>
        <w:t>表（正文已编为表 1–8）</w:t>
      </w:r>
      <w:r>
        <w:t>：表 1 名字关系五种情形｜表 2 证据分级｜表 3 三个总数｜表 4 三属总体｜表 5 反向审计前后｜表 6 验证子样本裁决｜表 7 三属种级分歧裁决｜表 8 两库分工；</w:t>
      </w:r>
      <w:r>
        <w:rPr>
          <w:b/>
        </w:rPr>
        <w:t>同名异物四例对照</w:t>
      </w:r>
      <w:r>
        <w:t>见补充材料。</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4"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Times New Roman" w:hAnsi="Times New Roman"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