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05B00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B3A5C"/>
          <w:sz w:val="40"/>
          <w:szCs w:val="40"/>
        </w:rPr>
        <w:t>Co2Lion BP 2026 · 术语表补充</w:t>
      </w:r>
    </w:p>
    <w:p w14:paraId="14A2C372">
      <w:pPr>
        <w:spacing w:before="0" w:after="10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14个遗漏术语 · 含具体插入位置说明</w:t>
      </w:r>
    </w:p>
    <w:p w14:paraId="6C730ED5">
      <w:pPr>
        <w:spacing w:before="0" w:after="3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请将以下各组术语按标注位置插入BP正文术语表对应章节</w:t>
      </w:r>
    </w:p>
    <w:p w14:paraId="663E5AFB">
      <w:pPr>
        <w:spacing w:before="80" w:after="80"/>
      </w:pPr>
    </w:p>
    <w:p w14:paraId="4D7C76B7">
      <w:pPr>
        <w:pBdr>
          <w:bottom w:val="single" w:color="C9A84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第一组：补充至"政策法规类"末尾</w:t>
      </w:r>
    </w:p>
    <w:p w14:paraId="04F3092E">
      <w:pPr>
        <w:spacing w:before="6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以下4个术语补充至术语表"一、政策法规类"表格末尾，紧接在"人工智能+"条目之后。</w:t>
      </w:r>
    </w:p>
    <w:p w14:paraId="6B908626">
      <w:pPr>
        <w:spacing w:before="80"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4600"/>
      </w:tblGrid>
      <w:tr w14:paraId="2200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B0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双碳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DA68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碳达峰碳中和国家战略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AE5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中国2030年前碳达峰、2060年前碳中和的国家级气候承诺，简称"双碳"。是Co2Lion全部政策契合论述的根本依据，在BP"政策契合"章节中多次引用。</w:t>
            </w:r>
          </w:p>
        </w:tc>
      </w:tr>
      <w:tr w14:paraId="49772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999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西电东送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E4E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西部清洁能源向东部输送工程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6BC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将西部（云南、四川、新疆等地）的水电、风电、光伏清洁能源通过特高压电网输送至东部制造业密集省份。Co2Lion的GEC+模块将其碳价值数字化路由为出口产品的国际认可绿色信用，是"西值东送"品牌图腾的物理基础。</w:t>
            </w:r>
          </w:p>
        </w:tc>
      </w:tr>
      <w:tr w14:paraId="1176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519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LCA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65B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生命周期评估 · Life Cycle Assessment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CE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对产品从原材料获取、生产制造、使用到废弃全生命周期的环境影响进行量化评估。CBAM嵌入碳排放核算以LCA方法论为理论基础，是Co2Lion CBAM测算工具的数据核算框架依据。</w:t>
            </w:r>
          </w:p>
        </w:tc>
      </w:tr>
      <w:tr w14:paraId="1D08F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357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GHG Protocol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B7DF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温室气体核算体系 · Greenhouse Gas Protocol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B5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由世界资源研究所（WRI）和世界可持续发展工商理事会（WBCSD）共同制定，全球最广泛采用的企业温室气体排放核算和报告标准。是ISO 14067、CBAM申报及Co2Lion数据质量体系的重要参照框架。</w:t>
            </w:r>
          </w:p>
        </w:tc>
      </w:tr>
    </w:tbl>
    <w:p w14:paraId="3C1C4259">
      <w:pPr>
        <w:spacing w:before="60" w:after="80"/>
        <w:ind w:left="480"/>
      </w:pPr>
      <w:r>
        <w:rPr>
          <w:rFonts w:ascii="Arial" w:hAnsi="Arial" w:eastAsia="Arial" w:cs="Arial"/>
          <w:i/>
          <w:iCs/>
          <w:color w:val="885500"/>
          <w:sz w:val="20"/>
          <w:szCs w:val="20"/>
        </w:rPr>
        <w:t>📌 插入位置：术语表"一、政策法规类"表格 → "人工智能+"条目后，按上表顺序追加4行</w:t>
      </w:r>
    </w:p>
    <w:p w14:paraId="688982B2">
      <w:pPr>
        <w:spacing w:before="80" w:after="80"/>
      </w:pPr>
    </w:p>
    <w:p w14:paraId="38211EC3">
      <w:pPr>
        <w:pBdr>
          <w:bottom w:val="single" w:color="C9A84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第二组：补充至"技术协议类"相应位置</w:t>
      </w:r>
    </w:p>
    <w:p w14:paraId="72448990">
      <w:pPr>
        <w:spacing w:before="6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以下4个术语分别插入术语表"二、技术协议类（Co2Lion自研）"的指定位置。</w:t>
      </w:r>
    </w:p>
    <w:p w14:paraId="7B8D6658">
      <w:pPr>
        <w:spacing w:before="80"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4600"/>
      </w:tblGrid>
      <w:tr w14:paraId="2C53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F77F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GEC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C06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绿电证书 · Green Energy Certificate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6436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由电网机构签发的可再生能源电力消费凭证，证明持有方使用了特定数量的绿色电力。GEC+模块在此基础上增加了AI物理锚定和链上确权，是GEC的升级版。插入位置：GEC+条目之前（作为前置解释）。</w:t>
            </w:r>
          </w:p>
        </w:tc>
      </w:tr>
      <w:tr w14:paraId="6A0D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C33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Lv.4数据置信度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C71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数据置信度等级体系 · Data Confidence Level 4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C0E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Co2Lion数据质量分级标准体系：Lv.1人工填报（主观，易造假）→ Lv.2第三方核查（成本高）→ Lv.3软件系统采集（可核验）→ Lv.4 MAT物理传感器实时采集（最高级，欧盟CBAM接受免审核）。贯穿全文的核心竞争力表述。插入位置：MAT条目之后。</w:t>
            </w:r>
          </w:p>
        </w:tc>
      </w:tr>
      <w:tr w14:paraId="49CA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69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ETS时空平移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8F3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储能碳资产时移认证 · ETS Time-Space Shift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08D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基于ESC能算耦合账本，认证储能设备在低碳排放时段充电、高碳排放时段放电的"时移"行为所产生的碳减排量，将其转化为可在ETS或VCM中流通的碳资产。是Co2Lion商业化扩展层的核心机制。插入位置：ZKP条目之后。</w:t>
            </w:r>
          </w:p>
        </w:tc>
      </w:tr>
      <w:tr w14:paraId="41BE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14B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因子精算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634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工业原厂碳强度因子精算 · Factor Authority Network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CC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原厂（钢铁/铝业/水泥等重工业一级生产主体）针对自身1-9号生产工序展开精细化碳强度系数计算和CL-IVC确权，形成可被产业链下游企业直接引用的公共碳因子基础设施。是Co2Lion HengAI的战略扩展模块。插入位置：ETS时空平移条目之后。</w:t>
            </w:r>
          </w:p>
        </w:tc>
      </w:tr>
    </w:tbl>
    <w:p w14:paraId="4BE64144">
      <w:pPr>
        <w:spacing w:before="60" w:after="80"/>
        <w:ind w:left="480"/>
      </w:pPr>
      <w:r>
        <w:rPr>
          <w:rFonts w:ascii="Arial" w:hAnsi="Arial" w:eastAsia="Arial" w:cs="Arial"/>
          <w:i/>
          <w:iCs/>
          <w:color w:val="885500"/>
          <w:sz w:val="20"/>
          <w:szCs w:val="20"/>
        </w:rPr>
        <w:t>📌 插入位置：术语表"二、技术协议类" → GEC+前插入GEC；MAT后插入Lv.4；ZKP后插入ETS时空平移和因子精算</w:t>
      </w:r>
    </w:p>
    <w:p w14:paraId="73CD0836">
      <w:pPr>
        <w:spacing w:before="80" w:after="80"/>
      </w:pPr>
    </w:p>
    <w:p w14:paraId="46877536">
      <w:pPr>
        <w:pBdr>
          <w:bottom w:val="single" w:color="C9A84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第三组：补充至"金融与商业类"末尾</w:t>
      </w:r>
    </w:p>
    <w:p w14:paraId="5719CB59">
      <w:pPr>
        <w:spacing w:before="6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以下2个术语补充至术语表"金融与商业类"表格末尾。</w:t>
      </w:r>
    </w:p>
    <w:p w14:paraId="51277735">
      <w:pPr>
        <w:spacing w:before="80"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4600"/>
      </w:tblGrid>
      <w:tr w14:paraId="0DE11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C6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ESG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1D4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环境、社会与公司治理 · Environmental Social Governance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41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企业在环境保护、社会责任和公司治理三个维度的综合表现评价体系。国际买家和金融机构越来越要求供应商提供ESG合规证明，是Co2Lion服务于企业国际化竞争力的核心价值主张背景。</w:t>
            </w:r>
          </w:p>
        </w:tc>
      </w:tr>
      <w:tr w14:paraId="3F363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76D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链主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792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供应链核心主导企业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DA0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供应链中掌握终端市场准入权、主导采购标准和合规要求的头部出口企业。链主是Co2Lion供应链协同模块的核心付费主体，其推动的供应商数据填报是整个供应链网络效应的触发源头。</w:t>
            </w:r>
          </w:p>
        </w:tc>
      </w:tr>
    </w:tbl>
    <w:p w14:paraId="0EB98F6E">
      <w:pPr>
        <w:spacing w:before="60" w:after="80"/>
        <w:ind w:left="480"/>
      </w:pPr>
      <w:r>
        <w:rPr>
          <w:rFonts w:ascii="Arial" w:hAnsi="Arial" w:eastAsia="Arial" w:cs="Arial"/>
          <w:i/>
          <w:iCs/>
          <w:color w:val="885500"/>
          <w:sz w:val="20"/>
          <w:szCs w:val="20"/>
        </w:rPr>
        <w:t>📌 插入位置：术语表"金融与商业类" → VPP条目后，按上表顺序追加2行</w:t>
      </w:r>
    </w:p>
    <w:p w14:paraId="7B4A0DCA">
      <w:pPr>
        <w:spacing w:before="80" w:after="80"/>
      </w:pPr>
      <w:bookmarkStart w:id="0" w:name="_GoBack"/>
      <w:bookmarkEnd w:id="0"/>
    </w:p>
    <w:p w14:paraId="65828A9B">
      <w:pPr>
        <w:pBdr>
          <w:bottom w:val="single" w:color="C9A84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B3A5C"/>
          <w:sz w:val="36"/>
          <w:szCs w:val="36"/>
        </w:rPr>
        <w:t>第四组：补充至"行业机构与平台类"末尾</w:t>
      </w:r>
    </w:p>
    <w:p w14:paraId="0A3A73E7">
      <w:pPr>
        <w:spacing w:before="6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以下4个术语补充至术语表"行业机构与平台类"表格末尾。</w:t>
      </w:r>
    </w:p>
    <w:p w14:paraId="50343861">
      <w:pPr>
        <w:spacing w:before="80" w:after="80"/>
      </w:pP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4600"/>
      </w:tblGrid>
      <w:tr w14:paraId="62E44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3D20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BOM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FE03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物料清单 · Bill of Materials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42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产品制造所需全部原材料、零部件及数量的清单，包含产品核心成本结构信息。CL-IVC工业隐私协议的核心保护对象——供应商向甲方证明合规的同时，BOM配方绝对不可见，是数据主权承诺的最具体体现。</w:t>
            </w:r>
          </w:p>
        </w:tc>
      </w:tr>
      <w:tr w14:paraId="1A44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060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授权申报人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882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欧盟CBAM授权申报人 · EU Authorized CBAM Declarant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C4BE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经欧盟CBAM主管机构认证，有权代表进口商在CBAM Registry进行正式申报的主体资格。Co2Lion计划通过第二年收购欧盟报关行获取此资质，实现从"提供申报工具"到"直接完成申报"的服务升级。</w:t>
            </w:r>
          </w:p>
        </w:tc>
      </w:tr>
      <w:tr w14:paraId="0B07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60DC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CBAM Registry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D1E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欧盟CBAM申报注册系统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61D5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欧盟委员会官方运营的CBAM申报平台，授权申报人须在此提交进口产品嵌入碳排放数据及购买CBAM证书。Co2Lion欧盟海关直连模块的最终数据提交目标。</w:t>
            </w:r>
          </w:p>
        </w:tc>
      </w:tr>
      <w:tr w14:paraId="1E0E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91D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DMC样机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AC1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设计制造认证样机 · Design Manufacturing Certification Prototype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368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硬件产品从概念设计到批量量产前，经过完整设计验证、制造工艺验证和认证测试的关键阶段样机。方舟魔盒已完成DMC样机，验证了量产可行性和成本结构。</w:t>
            </w:r>
          </w:p>
        </w:tc>
      </w:tr>
    </w:tbl>
    <w:p w14:paraId="58E43996">
      <w:pPr>
        <w:spacing w:before="60" w:after="80"/>
        <w:ind w:left="480"/>
      </w:pPr>
      <w:r>
        <w:rPr>
          <w:rFonts w:ascii="Arial" w:hAnsi="Arial" w:eastAsia="Arial" w:cs="Arial"/>
          <w:i/>
          <w:iCs/>
          <w:color w:val="885500"/>
          <w:sz w:val="20"/>
          <w:szCs w:val="20"/>
        </w:rPr>
        <w:t>📌 插入位置：术语表"行业机构与平台类" → 十五五条目后，按上表顺序追加4行</w:t>
      </w:r>
    </w:p>
    <w:p w14:paraId="0079CEF2">
      <w:pPr>
        <w:spacing w:before="80" w:after="80"/>
      </w:pPr>
    </w:p>
    <w:p w14:paraId="3F6C5CDC">
      <w:pPr>
        <w:pBdr>
          <w:top w:val="single" w:color="CCCCCC" w:sz="4" w:space="8"/>
        </w:pBdr>
        <w:spacing w:before="400" w:after="80"/>
      </w:pPr>
    </w:p>
    <w:p w14:paraId="3296AC28">
      <w:pPr>
        <w:spacing w:before="80" w:after="40"/>
        <w:jc w:val="center"/>
      </w:pPr>
      <w:r>
        <w:rPr>
          <w:rFonts w:ascii="Arial" w:hAnsi="Arial" w:eastAsia="Arial" w:cs="Arial"/>
          <w:b/>
          <w:bCs/>
          <w:color w:val="1B3A5C"/>
          <w:sz w:val="22"/>
          <w:szCs w:val="22"/>
        </w:rPr>
        <w:t>补充完成后，术语表总计收录：32（原有）+ 14（补充）= 46个术语</w:t>
      </w:r>
    </w:p>
    <w:p w14:paraId="5E044A82">
      <w:pPr>
        <w:spacing w:before="0" w:after="4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Co2Lion · 方舟数字科技 · BP 2026 术语表补充文件</w:t>
      </w:r>
    </w:p>
    <w:sectPr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DC906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1278</Words>
  <Characters>1601</Characters>
  <TotalTime>518</TotalTime>
  <ScaleCrop>false</ScaleCrop>
  <LinksUpToDate>false</LinksUpToDate>
  <CharactersWithSpaces>1650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2026-06-07T13:15:00Z</dcterms:created>
  <dc:creator>Un-named</dc:creator>
  <cp:lastModifiedBy>owen_xiang</cp:lastModifiedBy>
  <dcterms:modified xsi:type="dcterms:W3CDTF">2026-06-12T16:05:20Z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eyJoZGlkIjoiNDg1MjY0MjBkOWRjMjUwNTY4Y2E1YjA3YTMwZDk3Y2YiLCJ1c2VySWQiOiI2MzA0MDI2NzEifQ==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09A13FF703BF43949F71518E7DB1547F_12</vt:lpwstr>
  </property>
</Properties>
</file>