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800" w:after="200"/>
        <w:jc w:val="center"/>
      </w:pPr>
      <w:bookmarkStart w:id="0" w:name="_GoBack"/>
      <w:bookmarkEnd w:id="0"/>
      <w:r>
        <w:rPr>
          <w:rFonts w:ascii="Arial" w:hAnsi="Arial" w:eastAsia="Arial" w:cs="Arial"/>
          <w:b/>
          <w:bCs/>
          <w:color w:val="1B3A5C"/>
          <w:sz w:val="56"/>
          <w:szCs w:val="56"/>
        </w:rPr>
        <w:t>Co2Lion · 方舟数字科技</w:t>
      </w:r>
    </w:p>
    <w:p>
      <w:pPr>
        <w:spacing w:before="80" w:after="80"/>
        <w:jc w:val="center"/>
      </w:pPr>
      <w:r>
        <w:rPr>
          <w:rFonts w:ascii="Arial" w:hAnsi="Arial" w:eastAsia="Arial" w:cs="Arial"/>
          <w:b/>
          <w:bCs/>
          <w:color w:val="0B6E4F"/>
          <w:sz w:val="40"/>
          <w:szCs w:val="40"/>
        </w:rPr>
        <w:t>融资商业计划书</w:t>
      </w:r>
    </w:p>
    <w:p>
      <w:pPr>
        <w:spacing w:before="120" w:after="400"/>
        <w:jc w:val="center"/>
      </w:pPr>
      <w:r>
        <w:rPr>
          <w:rFonts w:ascii="Arial" w:hAnsi="Arial" w:eastAsia="Arial" w:cs="Arial"/>
          <w:color w:val="666666"/>
          <w:sz w:val="26"/>
          <w:szCs w:val="26"/>
        </w:rPr>
        <w:t>种子 / 天使轮  ·  人民币3,000万元  ·  2026</w:t>
      </w:r>
    </w:p>
    <w:p>
      <w:pPr>
        <w:spacing w:before="200" w:after="200"/>
        <w:jc w:val="center"/>
      </w:pPr>
      <w:r>
        <w:drawing>
          <wp:inline distT="0" distB="0" distL="114300" distR="114300">
            <wp:extent cx="4305300" cy="24955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r="5833"/>
                    <a:stretch>
                      <a:fillRect/>
                    </a:stretch>
                  </pic:blipFill>
                  <pic:spPr>
                    <a:xfrm>
                      <a:off x="0" y="0"/>
                      <a:ext cx="4305300" cy="2495550"/>
                    </a:xfrm>
                    <a:prstGeom prst="rect">
                      <a:avLst/>
                    </a:prstGeom>
                    <a:noFill/>
                    <a:ln>
                      <a:noFill/>
                    </a:ln>
                    <a:effectLst/>
                  </pic:spPr>
                </pic:pic>
              </a:graphicData>
            </a:graphic>
          </wp:inline>
        </w:drawing>
      </w:r>
    </w:p>
    <w:p>
      <w:pPr>
        <w:spacing w:before="200" w:after="80"/>
        <w:jc w:val="center"/>
      </w:pPr>
      <w:r>
        <w:rPr>
          <w:rFonts w:ascii="Arial" w:hAnsi="Arial" w:eastAsia="Arial" w:cs="Arial"/>
          <w:i/>
          <w:iCs/>
          <w:color w:val="888888"/>
          <w:sz w:val="20"/>
          <w:szCs w:val="20"/>
        </w:rPr>
        <w:t>方舟魔盒（MAT边缘感知网关）· DMC样机已完成</w:t>
      </w:r>
    </w:p>
    <w:p>
      <w:pPr>
        <w:spacing w:before="60" w:after="60"/>
      </w:pPr>
    </w:p>
    <w:p>
      <w:pPr>
        <w:spacing w:before="60" w:after="60"/>
        <w:jc w:val="center"/>
        <w:rPr>
          <w:rFonts w:hint="eastAsia" w:eastAsia="宋体"/>
          <w:lang w:eastAsia="zh-CN"/>
        </w:rPr>
      </w:pPr>
      <w:r>
        <w:rPr>
          <w:rFonts w:hint="eastAsia" w:eastAsia="宋体"/>
          <w:lang w:eastAsia="zh-CN"/>
        </w:rPr>
        <w:drawing>
          <wp:inline distT="0" distB="0" distL="114300" distR="114300">
            <wp:extent cx="1412240" cy="1984375"/>
            <wp:effectExtent l="0" t="0" r="0" b="0"/>
            <wp:docPr id="2" name="图片 3" descr="碳循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碳循LOGO"/>
                    <pic:cNvPicPr>
                      <a:picLocks noChangeAspect="1"/>
                    </pic:cNvPicPr>
                  </pic:nvPicPr>
                  <pic:blipFill>
                    <a:blip r:embed="rId5"/>
                    <a:srcRect l="22307" t="7767" r="21059" b="12656"/>
                    <a:stretch>
                      <a:fillRect/>
                    </a:stretch>
                  </pic:blipFill>
                  <pic:spPr>
                    <a:xfrm>
                      <a:off x="0" y="0"/>
                      <a:ext cx="1412240" cy="1984375"/>
                    </a:xfrm>
                    <a:prstGeom prst="rect">
                      <a:avLst/>
                    </a:prstGeom>
                    <a:noFill/>
                    <a:ln>
                      <a:noFill/>
                    </a:ln>
                  </pic:spPr>
                </pic:pic>
              </a:graphicData>
            </a:graphic>
          </wp:inline>
        </w:drawing>
      </w:r>
    </w:p>
    <w:p>
      <w:pPr>
        <w:spacing w:before="400" w:after="40"/>
        <w:jc w:val="center"/>
      </w:pPr>
      <w:r>
        <w:rPr>
          <w:rFonts w:ascii="Arial" w:hAnsi="Arial" w:eastAsia="Arial" w:cs="Arial"/>
          <w:b/>
          <w:bCs/>
          <w:color w:val="C9A84C"/>
          <w:sz w:val="36"/>
          <w:szCs w:val="36"/>
        </w:rPr>
        <w:t>西值东送，全球大同</w:t>
      </w:r>
    </w:p>
    <w:p>
      <w:pPr>
        <w:spacing w:before="40" w:after="400"/>
        <w:jc w:val="center"/>
      </w:pPr>
      <w:r>
        <w:rPr>
          <w:rFonts w:ascii="Arial" w:hAnsi="Arial" w:eastAsia="Arial" w:cs="Arial"/>
          <w:color w:val="1B3A5C"/>
          <w:sz w:val="26"/>
          <w:szCs w:val="26"/>
        </w:rPr>
        <w:t>国家级绿色贸易数字基础设施</w:t>
      </w:r>
    </w:p>
    <w:p>
      <w:pPr>
        <w:spacing w:before="600" w:after="40"/>
        <w:jc w:val="center"/>
      </w:pPr>
      <w:r>
        <w:rPr>
          <w:rFonts w:ascii="Arial" w:hAnsi="Arial" w:eastAsia="Arial" w:cs="Arial"/>
          <w:color w:val="666666"/>
          <w:sz w:val="22"/>
          <w:szCs w:val="22"/>
        </w:rPr>
        <w:t xml:space="preserve">www.co2lion.com  · </w:t>
      </w:r>
      <w:r>
        <w:rPr>
          <w:rFonts w:hint="eastAsia" w:eastAsia="宋体" w:cs="Arial"/>
          <w:color w:val="666666"/>
          <w:sz w:val="22"/>
          <w:szCs w:val="22"/>
          <w:lang w:val="en-US" w:eastAsia="zh-CN"/>
        </w:rPr>
        <w:t>www.</w:t>
      </w:r>
      <w:r>
        <w:rPr>
          <w:rFonts w:ascii="Arial" w:hAnsi="Arial" w:eastAsia="Arial" w:cs="Arial"/>
          <w:color w:val="666666"/>
          <w:sz w:val="22"/>
          <w:szCs w:val="22"/>
        </w:rPr>
        <w:t>co2lion.cn</w:t>
      </w:r>
    </w:p>
    <w:p>
      <w:pPr>
        <w:jc w:val="center"/>
      </w:pPr>
      <w:r>
        <w:rPr>
          <w:rFonts w:ascii="Arial" w:hAnsi="Arial" w:eastAsia="Arial" w:cs="Arial"/>
          <w:color w:val="666666"/>
          <w:sz w:val="22"/>
          <w:szCs w:val="22"/>
        </w:rPr>
        <w:t>深圳前海深港合作区</w:t>
      </w:r>
    </w:p>
    <w:p>
      <w:r>
        <w:br w:type="page"/>
      </w:r>
    </w:p>
    <w:p>
      <w:pPr>
        <w:spacing w:before="600" w:after="300"/>
        <w:jc w:val="center"/>
      </w:pPr>
      <w:r>
        <w:rPr>
          <w:rFonts w:ascii="Arial" w:hAnsi="Arial" w:eastAsia="Arial" w:cs="Arial"/>
          <w:b/>
          <w:bCs/>
          <w:color w:val="1B3A5C"/>
          <w:sz w:val="36"/>
          <w:szCs w:val="36"/>
        </w:rPr>
        <w:t>法律声明与保密协议</w:t>
      </w:r>
    </w:p>
    <w:p>
      <w:pPr>
        <w:spacing w:before="0" w:after="300"/>
        <w:jc w:val="center"/>
      </w:pPr>
      <w:r>
        <w:rPr>
          <w:rFonts w:ascii="Arial" w:hAnsi="Arial" w:eastAsia="Arial" w:cs="Arial"/>
          <w:i/>
          <w:iCs/>
          <w:color w:val="666666"/>
          <w:sz w:val="22"/>
          <w:szCs w:val="22"/>
        </w:rPr>
        <w:t>Legal Notice &amp; Confidentiality Statement</w:t>
      </w:r>
    </w:p>
    <w:p>
      <w:pPr>
        <w:pBdr>
          <w:bottom w:val="single" w:color="C9A84C" w:sz="4" w:space="4"/>
        </w:pBdr>
        <w:spacing w:before="40" w:after="200"/>
      </w:pPr>
    </w:p>
    <w:p>
      <w:pPr>
        <w:spacing w:before="60" w:after="60"/>
      </w:pPr>
    </w:p>
    <w:p>
      <w:pPr>
        <w:spacing w:before="200" w:after="100"/>
      </w:pPr>
      <w:r>
        <w:rPr>
          <w:rFonts w:ascii="Arial" w:hAnsi="Arial" w:eastAsia="Arial" w:cs="Arial"/>
          <w:b/>
          <w:bCs/>
          <w:color w:val="1B3A5C"/>
          <w:sz w:val="24"/>
          <w:szCs w:val="24"/>
        </w:rPr>
        <w:t>一、文件性质</w:t>
      </w:r>
    </w:p>
    <w:p>
      <w:pPr>
        <w:spacing w:before="80" w:after="100"/>
        <w:jc w:val="both"/>
      </w:pPr>
      <w:r>
        <w:rPr>
          <w:rFonts w:ascii="Arial" w:hAnsi="Arial" w:eastAsia="Arial" w:cs="Arial"/>
          <w:b w:val="0"/>
          <w:bCs w:val="0"/>
          <w:i w:val="0"/>
          <w:iCs w:val="0"/>
          <w:color w:val="333333"/>
          <w:sz w:val="22"/>
          <w:szCs w:val="22"/>
        </w:rPr>
        <w:t>本商业计划书（以下简称"本文件"）由Co2Lion · 方舟数字科技有限公司（以下简称"本公司"）编制，仅供已获本公司书面授权的特定接收方（以下简称"接收方"）在评估与本公司潜在合作或投资事宜时参考使用。</w:t>
      </w:r>
    </w:p>
    <w:p>
      <w:pPr>
        <w:spacing w:before="80" w:after="100"/>
        <w:jc w:val="both"/>
      </w:pPr>
      <w:r>
        <w:rPr>
          <w:rFonts w:ascii="Arial" w:hAnsi="Arial" w:eastAsia="Arial" w:cs="Arial"/>
          <w:b w:val="0"/>
          <w:bCs w:val="0"/>
          <w:i w:val="0"/>
          <w:iCs w:val="0"/>
          <w:color w:val="333333"/>
          <w:sz w:val="22"/>
          <w:szCs w:val="22"/>
        </w:rPr>
        <w:t>本文件不构成任何形式的证券发行邀请、投资建议、融资要约或合同要约，亦不构成任何形式的法律、税务、审计或监管意见。</w:t>
      </w:r>
    </w:p>
    <w:p>
      <w:pPr>
        <w:spacing w:before="60" w:after="60"/>
      </w:pPr>
    </w:p>
    <w:p>
      <w:pPr>
        <w:spacing w:before="200" w:after="100"/>
      </w:pPr>
      <w:r>
        <w:rPr>
          <w:rFonts w:ascii="Arial" w:hAnsi="Arial" w:eastAsia="Arial" w:cs="Arial"/>
          <w:b/>
          <w:bCs/>
          <w:color w:val="1B3A5C"/>
          <w:sz w:val="24"/>
          <w:szCs w:val="24"/>
        </w:rPr>
        <w:t>二、保密义务</w:t>
      </w:r>
    </w:p>
    <w:p>
      <w:pPr>
        <w:spacing w:before="80" w:after="100"/>
        <w:jc w:val="both"/>
      </w:pPr>
      <w:r>
        <w:rPr>
          <w:rFonts w:ascii="Arial" w:hAnsi="Arial" w:eastAsia="Arial" w:cs="Arial"/>
          <w:b w:val="0"/>
          <w:bCs w:val="0"/>
          <w:i w:val="0"/>
          <w:iCs w:val="0"/>
          <w:color w:val="333333"/>
          <w:sz w:val="22"/>
          <w:szCs w:val="22"/>
        </w:rPr>
        <w:t>本文件所载全部内容，包括但不限于商业模式、技术架构、财务数据、市场分析、战略规划、合作意向及团队信息，均属本公司商业机密，受中华人民共和国《保守国家秘密法》《反不正当竞争法》及相关知识产权法律法规保护。</w:t>
      </w:r>
    </w:p>
    <w:p>
      <w:pPr>
        <w:spacing w:before="80" w:after="100"/>
        <w:jc w:val="both"/>
      </w:pPr>
      <w:r>
        <w:rPr>
          <w:rFonts w:ascii="Arial" w:hAnsi="Arial" w:eastAsia="Arial" w:cs="Arial"/>
          <w:b w:val="0"/>
          <w:bCs w:val="0"/>
          <w:i w:val="0"/>
          <w:iCs w:val="0"/>
          <w:color w:val="333333"/>
          <w:sz w:val="22"/>
          <w:szCs w:val="22"/>
        </w:rPr>
        <w:t>接收方承诺：</w:t>
      </w:r>
    </w:p>
    <w:p>
      <w:pPr>
        <w:pStyle w:val="18"/>
        <w:numPr>
          <w:ilvl w:val="0"/>
          <w:numId w:val="1"/>
        </w:numPr>
        <w:spacing w:before="40" w:after="40"/>
      </w:pPr>
      <w:r>
        <w:rPr>
          <w:rFonts w:ascii="Arial" w:hAnsi="Arial" w:eastAsia="Arial" w:cs="Arial"/>
          <w:color w:val="333333"/>
          <w:sz w:val="22"/>
          <w:szCs w:val="22"/>
        </w:rPr>
        <w:t>未经本公司事先书面同意，不得将本文件全部或部分内容以任何形式向任何第三方披露、传阅、复制或引用；</w:t>
      </w:r>
    </w:p>
    <w:p>
      <w:pPr>
        <w:pStyle w:val="18"/>
        <w:numPr>
          <w:ilvl w:val="0"/>
          <w:numId w:val="1"/>
        </w:numPr>
        <w:spacing w:before="40" w:after="40"/>
      </w:pPr>
      <w:r>
        <w:rPr>
          <w:rFonts w:ascii="Arial" w:hAnsi="Arial" w:eastAsia="Arial" w:cs="Arial"/>
          <w:color w:val="333333"/>
          <w:sz w:val="22"/>
          <w:szCs w:val="22"/>
        </w:rPr>
        <w:t>不得将本文件内容用于评估本次潜在合作或投资以外的任何目的；</w:t>
      </w:r>
    </w:p>
    <w:p>
      <w:pPr>
        <w:pStyle w:val="18"/>
        <w:numPr>
          <w:ilvl w:val="0"/>
          <w:numId w:val="1"/>
        </w:numPr>
        <w:spacing w:before="40" w:after="40"/>
      </w:pPr>
      <w:r>
        <w:rPr>
          <w:rFonts w:ascii="Arial" w:hAnsi="Arial" w:eastAsia="Arial" w:cs="Arial"/>
          <w:color w:val="333333"/>
          <w:sz w:val="22"/>
          <w:szCs w:val="22"/>
        </w:rPr>
        <w:t>如决定不推进合作，应立即销毁或归还本文件所有载体，并书面确认已履行上述义务；</w:t>
      </w:r>
    </w:p>
    <w:p>
      <w:pPr>
        <w:pStyle w:val="18"/>
        <w:numPr>
          <w:ilvl w:val="0"/>
          <w:numId w:val="1"/>
        </w:numPr>
        <w:spacing w:before="40" w:after="40"/>
      </w:pPr>
      <w:r>
        <w:rPr>
          <w:rFonts w:ascii="Arial" w:hAnsi="Arial" w:eastAsia="Arial" w:cs="Arial"/>
          <w:color w:val="333333"/>
          <w:sz w:val="22"/>
          <w:szCs w:val="22"/>
        </w:rPr>
        <w:t>接收方应采取不低于保护其自身同等级别机密信息的措施，保护本文件内容。</w:t>
      </w:r>
    </w:p>
    <w:p>
      <w:pPr>
        <w:spacing w:before="60" w:after="60"/>
      </w:pPr>
    </w:p>
    <w:p>
      <w:pPr>
        <w:spacing w:before="200" w:after="100"/>
      </w:pPr>
      <w:r>
        <w:rPr>
          <w:rFonts w:ascii="Arial" w:hAnsi="Arial" w:eastAsia="Arial" w:cs="Arial"/>
          <w:b/>
          <w:bCs/>
          <w:color w:val="1B3A5C"/>
          <w:sz w:val="24"/>
          <w:szCs w:val="24"/>
        </w:rPr>
        <w:t>三、前瞻性陈述免责</w:t>
      </w:r>
    </w:p>
    <w:p>
      <w:pPr>
        <w:spacing w:before="80" w:after="100"/>
        <w:jc w:val="both"/>
      </w:pPr>
      <w:r>
        <w:rPr>
          <w:rFonts w:ascii="Arial" w:hAnsi="Arial" w:eastAsia="Arial" w:cs="Arial"/>
          <w:b w:val="0"/>
          <w:bCs w:val="0"/>
          <w:i w:val="0"/>
          <w:iCs w:val="0"/>
          <w:color w:val="333333"/>
          <w:sz w:val="22"/>
          <w:szCs w:val="22"/>
        </w:rPr>
        <w:t>本文件所载财务预测、市场规模估算、业务发展里程碑及估值判断，均基于本公司管理层在本文件编制日合理可得的信息、假设及判断。上述内容涉及对未来事件的预期，受多种已知及未知风险、不确定性因素和其他因素影响，实际结果可能与本文件预测存在重大差异。</w:t>
      </w:r>
    </w:p>
    <w:p>
      <w:pPr>
        <w:spacing w:before="80" w:after="100"/>
        <w:jc w:val="both"/>
      </w:pPr>
      <w:r>
        <w:rPr>
          <w:rFonts w:ascii="Arial" w:hAnsi="Arial" w:eastAsia="Arial" w:cs="Arial"/>
          <w:b w:val="0"/>
          <w:bCs w:val="0"/>
          <w:i w:val="0"/>
          <w:iCs w:val="0"/>
          <w:color w:val="333333"/>
          <w:sz w:val="22"/>
          <w:szCs w:val="22"/>
        </w:rPr>
        <w:t>本公司不就上述前瞻性陈述的准确性、完整性或可实现性作出任何明示或暗示的保证，亦不承担因依赖上述信息所产生的任何直接或间接损失。接收方应自行对本文件所载信息进行独立尽职调查及专业评估。</w:t>
      </w:r>
    </w:p>
    <w:p>
      <w:pPr>
        <w:spacing w:before="60" w:after="60"/>
      </w:pPr>
    </w:p>
    <w:p>
      <w:pPr>
        <w:spacing w:before="200" w:after="100"/>
      </w:pPr>
      <w:r>
        <w:rPr>
          <w:rFonts w:ascii="Arial" w:hAnsi="Arial" w:eastAsia="Arial" w:cs="Arial"/>
          <w:b/>
          <w:bCs/>
          <w:color w:val="1B3A5C"/>
          <w:sz w:val="24"/>
          <w:szCs w:val="24"/>
        </w:rPr>
        <w:t>四、数据说明</w:t>
      </w:r>
    </w:p>
    <w:p>
      <w:pPr>
        <w:spacing w:before="80" w:after="100"/>
        <w:jc w:val="both"/>
      </w:pPr>
      <w:r>
        <w:rPr>
          <w:rFonts w:ascii="Arial" w:hAnsi="Arial" w:eastAsia="Arial" w:cs="Arial"/>
          <w:b w:val="0"/>
          <w:bCs w:val="0"/>
          <w:i w:val="0"/>
          <w:iCs w:val="0"/>
          <w:color w:val="333333"/>
          <w:sz w:val="22"/>
          <w:szCs w:val="22"/>
        </w:rPr>
        <w:t>本文件中标注为"系统预演数据"或"基于联盟潜在覆盖估算"的数字，为基于方舟联盟创始理事节点潜在供应链覆盖的演示测算，不代表已实现的商业数据。本公司已在正文相关位置对此进行明确说明。</w:t>
      </w:r>
    </w:p>
    <w:p>
      <w:pPr>
        <w:spacing w:before="80" w:after="100"/>
        <w:jc w:val="both"/>
      </w:pPr>
      <w:r>
        <w:rPr>
          <w:rFonts w:ascii="Arial" w:hAnsi="Arial" w:eastAsia="Arial" w:cs="Arial"/>
          <w:b w:val="0"/>
          <w:bCs w:val="0"/>
          <w:i w:val="0"/>
          <w:iCs w:val="0"/>
          <w:color w:val="333333"/>
          <w:sz w:val="22"/>
          <w:szCs w:val="22"/>
        </w:rPr>
        <w:t>市场规模数据来源于公开研究报告及行业数据，本公司不对第三方数据的准确性承担责任。</w:t>
      </w:r>
    </w:p>
    <w:p>
      <w:pPr>
        <w:spacing w:before="60" w:after="60"/>
      </w:pPr>
    </w:p>
    <w:p>
      <w:pPr>
        <w:spacing w:before="200" w:after="100"/>
      </w:pPr>
      <w:r>
        <w:rPr>
          <w:rFonts w:ascii="Arial" w:hAnsi="Arial" w:eastAsia="Arial" w:cs="Arial"/>
          <w:b/>
          <w:bCs/>
          <w:color w:val="1B3A5C"/>
          <w:sz w:val="24"/>
          <w:szCs w:val="24"/>
        </w:rPr>
        <w:t>五、知识产权</w:t>
      </w:r>
    </w:p>
    <w:p>
      <w:pPr>
        <w:spacing w:before="80" w:after="100"/>
        <w:jc w:val="both"/>
      </w:pPr>
      <w:r>
        <w:rPr>
          <w:rFonts w:ascii="Arial" w:hAnsi="Arial" w:eastAsia="Arial" w:cs="Arial"/>
          <w:b w:val="0"/>
          <w:bCs w:val="0"/>
          <w:i w:val="0"/>
          <w:iCs w:val="0"/>
          <w:color w:val="333333"/>
          <w:sz w:val="22"/>
          <w:szCs w:val="22"/>
        </w:rPr>
        <w:t>本文件及其所载全部内容的知识产权归本公司所有。"Co2Lion"、"方舟魔盒"、"CL-GTS"、"CL-IVC"、"HengAI"、"西值东送，全球大同"及相关标识为本公司商标或正在申请注册的商标，未经授权不得使用。</w:t>
      </w:r>
    </w:p>
    <w:p>
      <w:pPr>
        <w:spacing w:before="60" w:after="60"/>
      </w:pPr>
    </w:p>
    <w:p>
      <w:pPr>
        <w:spacing w:before="200" w:after="100"/>
      </w:pPr>
      <w:r>
        <w:rPr>
          <w:rFonts w:ascii="Arial" w:hAnsi="Arial" w:eastAsia="Arial" w:cs="Arial"/>
          <w:b/>
          <w:bCs/>
          <w:color w:val="1B3A5C"/>
          <w:sz w:val="24"/>
          <w:szCs w:val="24"/>
        </w:rPr>
        <w:t>六、法律适用与争议解决</w:t>
      </w:r>
    </w:p>
    <w:p>
      <w:pPr>
        <w:spacing w:before="80" w:after="100"/>
        <w:jc w:val="both"/>
      </w:pPr>
      <w:r>
        <w:rPr>
          <w:rFonts w:ascii="Arial" w:hAnsi="Arial" w:eastAsia="Arial" w:cs="Arial"/>
          <w:b w:val="0"/>
          <w:bCs w:val="0"/>
          <w:i w:val="0"/>
          <w:iCs w:val="0"/>
          <w:color w:val="333333"/>
          <w:sz w:val="22"/>
          <w:szCs w:val="22"/>
        </w:rPr>
        <w:t>本声明及本文件的解释、效力及争议解决均适用中华人民共和国法律。因本文件或本声明产生的任何争议，各方应首先协商解决；协商不成的，提交深圳仲裁委员会，按其届时有效的仲裁规则以仲裁方式解决。</w:t>
      </w:r>
    </w:p>
    <w:p>
      <w:pPr>
        <w:spacing w:before="60" w:after="60"/>
      </w:pPr>
    </w:p>
    <w:p>
      <w:pPr>
        <w:pBdr>
          <w:top w:val="single" w:color="CCCCCC" w:sz="4" w:space="8"/>
        </w:pBdr>
        <w:spacing w:before="300" w:after="60"/>
      </w:pPr>
    </w:p>
    <w:p>
      <w:pPr>
        <w:spacing w:before="60" w:after="40"/>
        <w:jc w:val="center"/>
      </w:pPr>
      <w:r>
        <w:rPr>
          <w:rFonts w:ascii="Arial" w:hAnsi="Arial" w:eastAsia="Arial" w:cs="Arial"/>
          <w:color w:val="666666"/>
          <w:sz w:val="20"/>
          <w:szCs w:val="20"/>
        </w:rPr>
        <w:t>本文件编制日期：2026年</w:t>
      </w:r>
    </w:p>
    <w:p>
      <w:pPr>
        <w:spacing w:before="0" w:after="40"/>
        <w:jc w:val="center"/>
      </w:pPr>
      <w:r>
        <w:rPr>
          <w:rFonts w:ascii="Arial" w:hAnsi="Arial" w:eastAsia="Arial" w:cs="Arial"/>
          <w:color w:val="666666"/>
          <w:sz w:val="20"/>
          <w:szCs w:val="20"/>
        </w:rPr>
        <w:t>Co2Lion · 方舟数字科技有限公司</w:t>
      </w:r>
    </w:p>
    <w:p>
      <w:pPr>
        <w:spacing w:before="0" w:after="40"/>
        <w:jc w:val="center"/>
      </w:pPr>
      <w:r>
        <w:rPr>
          <w:rFonts w:ascii="Arial" w:hAnsi="Arial" w:eastAsia="Arial" w:cs="Arial"/>
          <w:color w:val="666666"/>
          <w:sz w:val="20"/>
          <w:szCs w:val="20"/>
        </w:rPr>
        <w:t>深圳前海深港合作区</w:t>
      </w:r>
    </w:p>
    <w:p>
      <w:pPr>
        <w:spacing w:before="60" w:after="0"/>
        <w:jc w:val="center"/>
      </w:pPr>
      <w:r>
        <w:rPr>
          <w:rFonts w:ascii="Arial" w:hAnsi="Arial" w:eastAsia="Arial" w:cs="Arial"/>
          <w:b/>
          <w:bCs/>
          <w:color w:val="CC0000"/>
          <w:sz w:val="20"/>
          <w:szCs w:val="20"/>
        </w:rPr>
        <w:t>⚠  本文件含有商业机密，仅供被授权接收方阅读，请勿以任何形式传阅或复制</w:t>
      </w:r>
    </w:p>
    <w:p>
      <w:r>
        <w:br w:type="page"/>
      </w:r>
    </w:p>
    <w:p>
      <w:pPr>
        <w:pBdr>
          <w:bottom w:val="single" w:color="C9A84C" w:sz="8" w:space="4"/>
        </w:pBdr>
        <w:spacing w:before="480" w:after="200"/>
      </w:pPr>
      <w:r>
        <w:rPr>
          <w:rFonts w:ascii="Arial" w:hAnsi="Arial" w:eastAsia="Arial" w:cs="Arial"/>
          <w:b/>
          <w:bCs/>
          <w:color w:val="1B3A5C"/>
          <w:sz w:val="36"/>
          <w:szCs w:val="36"/>
        </w:rPr>
        <w:t>壹  执行摘要</w:t>
      </w:r>
    </w:p>
    <w:p>
      <w:pPr>
        <w:spacing w:before="320" w:after="140"/>
      </w:pPr>
      <w:r>
        <w:rPr>
          <w:rFonts w:ascii="Arial" w:hAnsi="Arial" w:eastAsia="Arial" w:cs="Arial"/>
          <w:b/>
          <w:bCs/>
          <w:color w:val="0B6E4F"/>
          <w:sz w:val="28"/>
          <w:szCs w:val="28"/>
        </w:rPr>
        <w:t>企业定位</w:t>
      </w:r>
    </w:p>
    <w:p>
      <w:pPr>
        <w:spacing w:before="80" w:after="100"/>
        <w:jc w:val="both"/>
      </w:pPr>
      <w:r>
        <w:rPr>
          <w:rFonts w:ascii="Arial" w:hAnsi="Arial" w:eastAsia="Arial" w:cs="Arial"/>
          <w:b w:val="0"/>
          <w:bCs w:val="0"/>
          <w:i w:val="0"/>
          <w:iCs w:val="0"/>
          <w:color w:val="333333"/>
          <w:sz w:val="22"/>
          <w:szCs w:val="22"/>
        </w:rPr>
        <w:t>Co2Lion（方舟数字科技）正在建设中国制造业出海碳合规的数字基础设施。基于自主研发的CL-GTS技术体系（Protocol v16.0 Full Stack），Co2Lion为出口制造企业提供从物理数据采集到国际合规申报的全链路解决方案，同时通过HengAI智能平台构建以人为单元的碳主权社群组织。</w:t>
      </w:r>
    </w:p>
    <w:p>
      <w:pPr>
        <w:spacing w:before="80" w:after="100"/>
        <w:jc w:val="both"/>
      </w:pPr>
      <w:r>
        <w:rPr>
          <w:rFonts w:ascii="Arial" w:hAnsi="Arial" w:eastAsia="Arial" w:cs="Arial"/>
          <w:b w:val="0"/>
          <w:bCs w:val="0"/>
          <w:i w:val="0"/>
          <w:iCs w:val="0"/>
          <w:color w:val="333333"/>
          <w:sz w:val="22"/>
          <w:szCs w:val="22"/>
        </w:rPr>
        <w:t>公司注册于深圳前海深港合作区，具备数据跨境合规通道。现为国家级绿色贸易数据试点单位，参与ISO 14067产品碳足迹标准技术工作。</w:t>
      </w:r>
    </w:p>
    <w:p>
      <w:pPr>
        <w:spacing w:before="60" w:after="60"/>
      </w:pPr>
    </w:p>
    <w:p>
      <w:pPr>
        <w:spacing w:before="320" w:after="140"/>
      </w:pPr>
      <w:r>
        <w:rPr>
          <w:rFonts w:ascii="Arial" w:hAnsi="Arial" w:eastAsia="Arial" w:cs="Arial"/>
          <w:b/>
          <w:bCs/>
          <w:color w:val="0B6E4F"/>
          <w:sz w:val="28"/>
          <w:szCs w:val="28"/>
        </w:rPr>
        <w:t>核心凭证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凭证类型</w:t>
            </w:r>
          </w:p>
        </w:tc>
        <w:tc>
          <w:tcPr>
            <w:tcW w:w="65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政策身份</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国家级绿色贸易数据试点单位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标准参与</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ISO 14067产品碳足迹标准技术工作参与单位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注册地</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深圳前海深港合作区（数据跨境合规通道）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联盟网络</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方舟联盟：国网/南网系 · 顺丰/京东系 · 宁德/比亚迪系 · 银行/金控系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产品进展</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HengAI V1已上线，V2商业版预计2026年6月中旬完整上线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硬件进展</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方舟魔盒DMC样机完成，硬件毛利率超过70%</w:t>
            </w:r>
          </w:p>
        </w:tc>
      </w:tr>
    </w:tbl>
    <w:p>
      <w:pPr>
        <w:spacing w:before="60" w:after="60"/>
      </w:pPr>
    </w:p>
    <w:p>
      <w:pPr>
        <w:spacing w:before="320" w:after="140"/>
      </w:pPr>
      <w:r>
        <w:rPr>
          <w:rFonts w:ascii="Arial" w:hAnsi="Arial" w:eastAsia="Arial" w:cs="Arial"/>
          <w:b/>
          <w:bCs/>
          <w:color w:val="0B6E4F"/>
          <w:sz w:val="28"/>
          <w:szCs w:val="28"/>
        </w:rPr>
        <w:t>融资概要</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项目</w:t>
            </w:r>
          </w:p>
        </w:tc>
        <w:tc>
          <w:tcPr>
            <w:tcW w:w="65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本轮融资金额</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人民币3,000万元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轮次</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种子/天使轮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Pre-money估值目标</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人民币8亿—12亿元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出让股权比例</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3年ARR目标</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人民币4.5亿元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优先对接基金</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国家绿色发展基金 · 广东省/深圳市政府引导基金 · 国家中小企业发展基金</w:t>
            </w:r>
          </w:p>
        </w:tc>
      </w:tr>
    </w:tbl>
    <w:p>
      <w:r>
        <w:br w:type="page"/>
      </w:r>
    </w:p>
    <w:p>
      <w:pPr>
        <w:pBdr>
          <w:bottom w:val="single" w:color="C9A84C" w:sz="8" w:space="4"/>
        </w:pBdr>
        <w:spacing w:before="480" w:after="200"/>
      </w:pPr>
      <w:r>
        <w:rPr>
          <w:rFonts w:ascii="Arial" w:hAnsi="Arial" w:eastAsia="Arial" w:cs="Arial"/>
          <w:b/>
          <w:bCs/>
          <w:color w:val="1B3A5C"/>
          <w:sz w:val="36"/>
          <w:szCs w:val="36"/>
        </w:rPr>
        <w:t>贰  创始人与使命</w:t>
      </w:r>
    </w:p>
    <w:p>
      <w:pPr>
        <w:spacing w:before="320" w:after="140"/>
      </w:pPr>
      <w:r>
        <w:rPr>
          <w:rFonts w:ascii="Arial" w:hAnsi="Arial" w:eastAsia="Arial" w:cs="Arial"/>
          <w:b/>
          <w:bCs/>
          <w:color w:val="0B6E4F"/>
          <w:sz w:val="28"/>
          <w:szCs w:val="28"/>
        </w:rPr>
        <w:t>创始人独白</w:t>
      </w:r>
    </w:p>
    <w:p>
      <w:pPr>
        <w:pBdr>
          <w:left w:val="single" w:color="C9A84C" w:sz="12" w:space="12"/>
        </w:pBdr>
        <w:spacing w:before="120" w:after="120"/>
        <w:ind w:left="720" w:right="720"/>
      </w:pPr>
      <w:r>
        <w:rPr>
          <w:rFonts w:ascii="Arial" w:hAnsi="Arial" w:eastAsia="Arial" w:cs="Arial"/>
          <w:i/>
          <w:iCs/>
          <w:color w:val="555555"/>
          <w:sz w:val="22"/>
          <w:szCs w:val="22"/>
        </w:rPr>
        <w:t>我看见，中国制造的集装箱堆满全球，却常因一张薄薄的数据单而被拒之门外；我看见，西部广袤的清洁能源如江河奔流，却因缺乏"数字桥梁"，其价值难以抵达东部的工厂。这不只是贸易的痛点，更是对建设者汗水的不公。Co2Lion的初心，是做那颗定海神针。我们不碰电力红线，只修数据通途；我们不空谈主义，只解决生存与发展问题。为中国制造守住国门，为绿色资产正本清源。</w:t>
      </w:r>
    </w:p>
    <w:p>
      <w:pPr>
        <w:spacing w:before="60" w:after="60"/>
      </w:pPr>
    </w:p>
    <w:p>
      <w:pPr>
        <w:spacing w:before="320" w:after="140"/>
      </w:pPr>
      <w:r>
        <w:rPr>
          <w:rFonts w:ascii="Arial" w:hAnsi="Arial" w:eastAsia="Arial" w:cs="Arial"/>
          <w:b/>
          <w:bCs/>
          <w:color w:val="0B6E4F"/>
          <w:sz w:val="28"/>
          <w:szCs w:val="28"/>
        </w:rPr>
        <w:t>品牌精神图腾：西值东送，全球大同</w:t>
      </w:r>
    </w:p>
    <w:p>
      <w:pPr>
        <w:spacing w:before="80" w:after="100"/>
        <w:jc w:val="both"/>
      </w:pPr>
      <w:r>
        <w:rPr>
          <w:rFonts w:ascii="Arial" w:hAnsi="Arial" w:eastAsia="Arial" w:cs="Arial"/>
          <w:b w:val="0"/>
          <w:bCs w:val="0"/>
          <w:i w:val="0"/>
          <w:iCs w:val="0"/>
          <w:color w:val="333333"/>
          <w:sz w:val="22"/>
          <w:szCs w:val="22"/>
        </w:rPr>
        <w:t>"西电东送"是物理世界的壮举，将西部清洁能源输送至东部，驱动了世界工厂的运转。Co2Lion的"西值东送"，是数字世界的升维——让这份绿色能源的价值，穿越数据鸿沟，抵达每一件出口产品，成为中国制造在全球碳博弈中的绿色定价权。</w:t>
      </w:r>
    </w:p>
    <w:p>
      <w:pPr>
        <w:spacing w:before="80" w:after="100"/>
        <w:jc w:val="both"/>
      </w:pPr>
      <w:r>
        <w:rPr>
          <w:rFonts w:ascii="Arial" w:hAnsi="Arial" w:eastAsia="Arial" w:cs="Arial"/>
          <w:b w:val="0"/>
          <w:bCs w:val="0"/>
          <w:i w:val="0"/>
          <w:iCs w:val="0"/>
          <w:color w:val="333333"/>
          <w:sz w:val="22"/>
          <w:szCs w:val="22"/>
        </w:rPr>
        <w:t>"全球大同"，取自"和而不同，天下大同"。贸易壁垒如CBAM，不过是治标；标准互通与生态共生，才是治本。Co2Lion以中国智慧，为全球供应链提供一套打破隔阂、互利共赢的技术解决方案，是人类命运共同体理念的技术实践样本。</w:t>
      </w:r>
    </w:p>
    <w:p>
      <w:pPr>
        <w:spacing w:before="60" w:after="60"/>
      </w:pPr>
    </w:p>
    <w:p>
      <w:pPr>
        <w:spacing w:before="320" w:after="140"/>
      </w:pPr>
      <w:r>
        <w:rPr>
          <w:rFonts w:ascii="Arial" w:hAnsi="Arial" w:eastAsia="Arial" w:cs="Arial"/>
          <w:b/>
          <w:bCs/>
          <w:color w:val="0B6E4F"/>
          <w:sz w:val="28"/>
          <w:szCs w:val="28"/>
        </w:rPr>
        <w:t>创始团队</w:t>
      </w:r>
    </w:p>
    <w:p>
      <w:pPr>
        <w:spacing w:before="200" w:after="100"/>
      </w:pPr>
      <w:r>
        <w:rPr>
          <w:rFonts w:ascii="Arial" w:hAnsi="Arial" w:eastAsia="Arial" w:cs="Arial"/>
          <w:b/>
          <w:bCs/>
          <w:color w:val="1B3A5C"/>
          <w:sz w:val="24"/>
          <w:szCs w:val="24"/>
        </w:rPr>
        <w:t>创始人</w:t>
      </w:r>
    </w:p>
    <w:p>
      <w:pPr>
        <w:spacing w:before="80" w:after="100"/>
        <w:jc w:val="both"/>
      </w:pPr>
      <w:r>
        <w:rPr>
          <w:rFonts w:ascii="Arial" w:hAnsi="Arial" w:eastAsia="Arial" w:cs="Arial"/>
          <w:b w:val="0"/>
          <w:bCs w:val="0"/>
          <w:i w:val="0"/>
          <w:iCs w:val="0"/>
          <w:color w:val="333333"/>
          <w:sz w:val="22"/>
          <w:szCs w:val="22"/>
        </w:rPr>
        <w:t>资深战略家，20年大湾区政商深耕，具备横跨政府、产业、资本三个维度的顶层设计力与资源整合力。CL-GTS技术体系与碳所有权协议（COP）框架的提出者与建构者。</w:t>
      </w:r>
    </w:p>
    <w:p>
      <w:pPr>
        <w:spacing w:before="200" w:after="100"/>
      </w:pPr>
      <w:r>
        <w:rPr>
          <w:rFonts w:ascii="Arial" w:hAnsi="Arial" w:eastAsia="Arial" w:cs="Arial"/>
          <w:b/>
          <w:bCs/>
          <w:color w:val="1B3A5C"/>
          <w:sz w:val="24"/>
          <w:szCs w:val="24"/>
        </w:rPr>
        <w:t>联合创始人 Magen</w:t>
      </w:r>
    </w:p>
    <w:p>
      <w:pPr>
        <w:spacing w:before="80" w:after="100"/>
        <w:jc w:val="both"/>
      </w:pPr>
      <w:r>
        <w:rPr>
          <w:rFonts w:ascii="Arial" w:hAnsi="Arial" w:eastAsia="Arial" w:cs="Arial"/>
          <w:b w:val="0"/>
          <w:bCs w:val="0"/>
          <w:i w:val="0"/>
          <w:iCs w:val="0"/>
          <w:color w:val="333333"/>
          <w:sz w:val="22"/>
          <w:szCs w:val="22"/>
        </w:rPr>
        <w:t>拥有逾10年美国顶级零售集团（门店规模18,000+）亚洲买手及Team负责人资历。经手的中国供应商采购目录不低于3,000家，每家均为员工规模3,000人以上的大型认证制造企业，遍布江浙、广东及越南、印度等地，全部具备对美及欧盟出口的实际运营经验。</w:t>
      </w:r>
    </w:p>
    <w:p>
      <w:pPr>
        <w:spacing w:before="80" w:after="100"/>
        <w:jc w:val="both"/>
      </w:pPr>
      <w:r>
        <w:rPr>
          <w:rFonts w:ascii="Arial" w:hAnsi="Arial" w:eastAsia="Arial" w:cs="Arial"/>
          <w:b w:val="0"/>
          <w:bCs w:val="0"/>
          <w:i w:val="0"/>
          <w:iCs w:val="0"/>
          <w:color w:val="333333"/>
          <w:sz w:val="22"/>
          <w:szCs w:val="22"/>
        </w:rPr>
        <w:t>这一资源网络是Co2Lion冷启动的直接弹药——3,000家大型认证工厂是CBAM合规压力最集中、预算能力最强的目标客群，Magen与这些企业之间存在多年真实商业信任关系。</w:t>
      </w:r>
    </w:p>
    <w:p>
      <w:pPr>
        <w:spacing w:before="200" w:after="100"/>
      </w:pPr>
      <w:r>
        <w:rPr>
          <w:rFonts w:ascii="Arial" w:hAnsi="Arial" w:eastAsia="Arial" w:cs="Arial"/>
          <w:b/>
          <w:bCs/>
          <w:color w:val="1B3A5C"/>
          <w:sz w:val="24"/>
          <w:szCs w:val="24"/>
        </w:rPr>
        <w:t>核心团队组建计划</w:t>
      </w:r>
    </w:p>
    <w:p>
      <w:pPr>
        <w:spacing w:before="80" w:after="100"/>
        <w:jc w:val="both"/>
      </w:pPr>
      <w:r>
        <w:rPr>
          <w:rFonts w:ascii="Arial" w:hAnsi="Arial" w:eastAsia="Arial" w:cs="Arial"/>
          <w:b w:val="0"/>
          <w:bCs w:val="0"/>
          <w:i w:val="0"/>
          <w:iCs w:val="0"/>
          <w:color w:val="333333"/>
          <w:sz w:val="22"/>
          <w:szCs w:val="22"/>
        </w:rPr>
        <w:t>本轮融资到账后3个月内完成核心4人入职：碳技术首席专家、ZKP算法工程师、大湾区商务拓展负责人、海外合规顾问。</w:t>
      </w:r>
    </w:p>
    <w:p>
      <w:r>
        <w:br w:type="page"/>
      </w:r>
    </w:p>
    <w:p>
      <w:pPr>
        <w:pBdr>
          <w:bottom w:val="single" w:color="C9A84C" w:sz="8" w:space="4"/>
        </w:pBdr>
        <w:spacing w:before="480" w:after="200"/>
      </w:pPr>
      <w:r>
        <w:rPr>
          <w:rFonts w:ascii="Arial" w:hAnsi="Arial" w:eastAsia="Arial" w:cs="Arial"/>
          <w:b/>
          <w:bCs/>
          <w:color w:val="1B3A5C"/>
          <w:sz w:val="36"/>
          <w:szCs w:val="36"/>
        </w:rPr>
        <w:t>叁  市场时机</w:t>
      </w:r>
    </w:p>
    <w:p>
      <w:pPr>
        <w:spacing w:before="320" w:after="140"/>
      </w:pPr>
      <w:r>
        <w:rPr>
          <w:rFonts w:ascii="Arial" w:hAnsi="Arial" w:eastAsia="Arial" w:cs="Arial"/>
          <w:b/>
          <w:bCs/>
          <w:color w:val="0B6E4F"/>
          <w:sz w:val="28"/>
          <w:szCs w:val="28"/>
        </w:rPr>
        <w:t>CBAM已进入实质清算期</w:t>
      </w:r>
    </w:p>
    <w:p>
      <w:pPr>
        <w:spacing w:before="80" w:after="100"/>
        <w:jc w:val="both"/>
      </w:pPr>
      <w:r>
        <w:rPr>
          <w:rFonts w:ascii="Arial" w:hAnsi="Arial" w:eastAsia="Arial" w:cs="Arial"/>
          <w:b w:val="0"/>
          <w:bCs w:val="0"/>
          <w:i w:val="0"/>
          <w:iCs w:val="0"/>
          <w:color w:val="333333"/>
          <w:sz w:val="22"/>
          <w:szCs w:val="22"/>
        </w:rPr>
        <w:t>2026年1月1日，欧盟碳边界调节机制（CBAM）正式进入付费阶段，欧盟明确拒绝默认值申报，违规处罚为碳价三倍。中国是受影响规模最大的出口国。</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指标</w:t>
            </w:r>
          </w:p>
        </w:tc>
        <w:tc>
          <w:tcPr>
            <w:tcW w:w="2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数据</w:t>
            </w:r>
          </w:p>
        </w:tc>
        <w:tc>
          <w:tcPr>
            <w:tcW w:w="39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CBAM生效时间</w:t>
            </w:r>
          </w:p>
        </w:tc>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2026.01.01</w:t>
            </w:r>
          </w:p>
        </w:tc>
        <w:tc>
          <w:tcPr>
            <w:tcW w:w="39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已进入实质清算期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中国年度碳税敞口</w:t>
            </w:r>
          </w:p>
        </w:tc>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€150—200亿</w:t>
            </w:r>
          </w:p>
        </w:tc>
        <w:tc>
          <w:tcPr>
            <w:tcW w:w="39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按EU ETS碳价€75/tCO₂e测算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受影响中国出口企业</w:t>
            </w:r>
          </w:p>
        </w:tc>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3—8万家</w:t>
            </w:r>
          </w:p>
        </w:tc>
        <w:tc>
          <w:tcPr>
            <w:tcW w:w="39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钢铁、铝、化肥、水泥、电力五大类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中小企业占比</w:t>
            </w:r>
          </w:p>
        </w:tc>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80%以上</w:t>
            </w:r>
          </w:p>
        </w:tc>
        <w:tc>
          <w:tcPr>
            <w:tcW w:w="39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几乎没有可用的专业合规工具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缺乏实测数据的成本代价</w:t>
            </w:r>
          </w:p>
        </w:tc>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高估15%—30%</w:t>
            </w:r>
          </w:p>
        </w:tc>
        <w:tc>
          <w:tcPr>
            <w:tcW w:w="39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使用欧盟默认碳因子的惩罚溢价</w:t>
            </w:r>
          </w:p>
        </w:tc>
      </w:tr>
    </w:tbl>
    <w:p>
      <w:pPr>
        <w:spacing w:before="60" w:after="60"/>
      </w:pPr>
    </w:p>
    <w:p>
      <w:pPr>
        <w:spacing w:before="320" w:after="140"/>
      </w:pPr>
      <w:r>
        <w:rPr>
          <w:rFonts w:ascii="Arial" w:hAnsi="Arial" w:eastAsia="Arial" w:cs="Arial"/>
          <w:b/>
          <w:bCs/>
          <w:color w:val="0B6E4F"/>
          <w:sz w:val="28"/>
          <w:szCs w:val="28"/>
        </w:rPr>
        <w:t>市场规模（TAM / SAM / SOM）</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200"/>
        <w:gridCol w:w="39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市场层次</w:t>
            </w:r>
          </w:p>
        </w:tc>
        <w:tc>
          <w:tcPr>
            <w:tcW w:w="3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规模估算</w:t>
            </w:r>
          </w:p>
        </w:tc>
        <w:tc>
          <w:tcPr>
            <w:tcW w:w="39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覆盖范围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TAM 可触达总市场</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超过人民币3,000亿/年</w:t>
            </w:r>
          </w:p>
        </w:tc>
        <w:tc>
          <w:tcPr>
            <w:tcW w:w="39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CBAM合规+供应链数据+绿色金融+GCA算力+VCM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SAM 可服务市场</w:t>
            </w:r>
          </w:p>
        </w:tc>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约人民币35亿/年（稳定期）</w:t>
            </w:r>
          </w:p>
        </w:tc>
        <w:tc>
          <w:tcPr>
            <w:tcW w:w="39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大湾区先行，聚焦铝钢化肥出口企业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SOM 3年目标</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人民币4.5亿ARR</w:t>
            </w:r>
          </w:p>
        </w:tc>
        <w:tc>
          <w:tcPr>
            <w:tcW w:w="39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10,000家出口商+10万供应链节点</w:t>
            </w:r>
          </w:p>
        </w:tc>
      </w:tr>
    </w:tbl>
    <w:p>
      <w:r>
        <w:br w:type="page"/>
      </w:r>
    </w:p>
    <w:p>
      <w:pPr>
        <w:pBdr>
          <w:bottom w:val="single" w:color="C9A84C" w:sz="8" w:space="4"/>
        </w:pBdr>
        <w:spacing w:before="480" w:after="200"/>
      </w:pPr>
      <w:r>
        <w:rPr>
          <w:rFonts w:ascii="Arial" w:hAnsi="Arial" w:eastAsia="Arial" w:cs="Arial"/>
          <w:b/>
          <w:bCs/>
          <w:color w:val="1B3A5C"/>
          <w:sz w:val="36"/>
          <w:szCs w:val="36"/>
        </w:rPr>
        <w:t>肆  解决方案：四层架构</w:t>
      </w:r>
    </w:p>
    <w:p>
      <w:pPr>
        <w:spacing w:before="80" w:after="100"/>
        <w:jc w:val="both"/>
      </w:pPr>
      <w:r>
        <w:rPr>
          <w:rFonts w:ascii="Arial" w:hAnsi="Arial" w:eastAsia="Arial" w:cs="Arial"/>
          <w:b w:val="0"/>
          <w:bCs w:val="0"/>
          <w:i w:val="0"/>
          <w:iCs w:val="0"/>
          <w:color w:val="333333"/>
          <w:sz w:val="22"/>
          <w:szCs w:val="22"/>
        </w:rPr>
        <w:t>Co2Lion不是工具的集合，是四个层次协同运作的完整生态系统。每一层都可相对独立运行，也可深度互联——当互联自然形成时，将是Co2Lion最深的护城河。</w:t>
      </w:r>
    </w:p>
    <w:p>
      <w:pPr>
        <w:spacing w:before="60" w:after="60"/>
      </w:pPr>
    </w:p>
    <w:p>
      <w:pPr>
        <w:spacing w:before="320" w:after="140"/>
      </w:pPr>
      <w:r>
        <w:rPr>
          <w:rFonts w:ascii="Arial" w:hAnsi="Arial" w:eastAsia="Arial" w:cs="Arial"/>
          <w:b/>
          <w:bCs/>
          <w:color w:val="0B6E4F"/>
          <w:sz w:val="28"/>
          <w:szCs w:val="28"/>
        </w:rPr>
        <w:t>第一层：物理锚定</w:t>
      </w:r>
    </w:p>
    <w:p>
      <w:pPr>
        <w:spacing w:before="200" w:after="100"/>
      </w:pPr>
      <w:r>
        <w:rPr>
          <w:rFonts w:ascii="Arial" w:hAnsi="Arial" w:eastAsia="Arial" w:cs="Arial"/>
          <w:b/>
          <w:bCs/>
          <w:color w:val="1B3A5C"/>
          <w:sz w:val="24"/>
          <w:szCs w:val="24"/>
        </w:rPr>
        <w:t>方舟魔盒（MAT边缘感知网关）</w:t>
      </w:r>
    </w:p>
    <w:p>
      <w:pPr>
        <w:spacing w:before="120" w:after="80"/>
        <w:jc w:val="center"/>
      </w:pPr>
      <w:r>
        <w:drawing>
          <wp:inline distT="0" distB="0" distL="114300" distR="114300">
            <wp:extent cx="4000500" cy="2181225"/>
            <wp:effectExtent l="0" t="0" r="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4"/>
                    <a:srcRect/>
                    <a:stretch>
                      <a:fillRect/>
                    </a:stretch>
                  </pic:blipFill>
                  <pic:spPr>
                    <a:xfrm>
                      <a:off x="0" y="0"/>
                      <a:ext cx="4000500" cy="2181225"/>
                    </a:xfrm>
                    <a:prstGeom prst="rect">
                      <a:avLst/>
                    </a:prstGeom>
                    <a:noFill/>
                    <a:ln>
                      <a:noFill/>
                    </a:ln>
                    <a:effectLst/>
                  </pic:spPr>
                </pic:pic>
              </a:graphicData>
            </a:graphic>
          </wp:inline>
        </w:drawing>
      </w:r>
    </w:p>
    <w:p>
      <w:pPr>
        <w:spacing w:before="80" w:after="100"/>
        <w:jc w:val="both"/>
      </w:pPr>
      <w:r>
        <w:rPr>
          <w:rFonts w:ascii="Arial" w:hAnsi="Arial" w:eastAsia="Arial" w:cs="Arial"/>
          <w:b w:val="0"/>
          <w:bCs w:val="0"/>
          <w:i w:val="0"/>
          <w:iCs w:val="0"/>
          <w:color w:val="333333"/>
          <w:sz w:val="22"/>
          <w:szCs w:val="22"/>
        </w:rPr>
        <w:t>方舟魔盒是整个体系的数据原点。安装于工厂配电柜，实时采集"源网荷储"全维度能耗数据，数据置信度Lv.4，欧盟CBAM申报免审核，平均节税15%—35%。</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参数</w:t>
            </w:r>
          </w:p>
        </w:tc>
        <w:tc>
          <w:tcPr>
            <w:tcW w:w="65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DMC样机状态</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已完成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超过70%，随ODM/OEM规模化量产持续优化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建议零售定价</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人民币1,500—2,500元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硬件毛利率</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约87%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首批量产计划</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3,000台（2026年Q3就绪）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量产策略</w:t>
            </w:r>
          </w:p>
        </w:tc>
        <w:tc>
          <w:tcPr>
            <w:tcW w:w="65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ODM/OEM多渠道 + 软件补丁下载升级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数据置信度</w:t>
            </w:r>
          </w:p>
        </w:tc>
        <w:tc>
          <w:tcPr>
            <w:tcW w:w="65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Lv.4（欧盟CBAM免审核最高等级）</w:t>
            </w:r>
          </w:p>
        </w:tc>
      </w:tr>
    </w:tbl>
    <w:p>
      <w:pPr>
        <w:spacing w:before="80" w:after="100"/>
        <w:jc w:val="both"/>
      </w:pPr>
      <w:r>
        <w:rPr>
          <w:rFonts w:ascii="Arial" w:hAnsi="Arial" w:eastAsia="Arial" w:cs="Arial"/>
          <w:b w:val="0"/>
          <w:bCs w:val="0"/>
          <w:i w:val="0"/>
          <w:iCs w:val="0"/>
          <w:color w:val="333333"/>
          <w:sz w:val="22"/>
          <w:szCs w:val="22"/>
        </w:rPr>
        <w:t>核心战略价值：魔盒一旦安装，这家工厂的碳数据采集永久绑定在Co2Lion体系内，形成比任何软件合同都更牢固的客户锁定机制。</w:t>
      </w:r>
    </w:p>
    <w:p>
      <w:pPr>
        <w:spacing w:before="60" w:after="60"/>
      </w:pPr>
    </w:p>
    <w:p>
      <w:pPr>
        <w:spacing w:before="320" w:after="140"/>
        <w:rPr>
          <w:rFonts w:ascii="Arial" w:hAnsi="Arial" w:eastAsia="Arial" w:cs="Arial"/>
          <w:b/>
          <w:bCs/>
          <w:color w:val="0B6E4F"/>
          <w:sz w:val="28"/>
          <w:szCs w:val="28"/>
        </w:rPr>
      </w:pPr>
      <w:r>
        <w:rPr>
          <w:rFonts w:ascii="Arial" w:hAnsi="Arial" w:eastAsia="Arial" w:cs="Arial"/>
          <w:b/>
          <w:bCs/>
          <w:color w:val="0B6E4F"/>
          <w:sz w:val="28"/>
          <w:szCs w:val="28"/>
        </w:rPr>
        <w:t>第二层：技术协议（CL-GTS核心）</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GEC</w:t>
            </w:r>
          </w:p>
        </w:tc>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绿电证书 · Green Energy Certificate</w:t>
            </w:r>
          </w:p>
        </w:tc>
        <w:tc>
          <w:tcPr>
            <w:tcW w:w="4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由电网机构签发的可再生能源电力消费凭证，证明持有方使用了特定数量的绿色电力。GEC+模块在此基础上增加了AI物理锚定和链上确权，是GEC的升级版。插入位置：GEC+条目之前（作为前置解释）。</w:t>
            </w:r>
          </w:p>
        </w:tc>
      </w:tr>
    </w:tbl>
    <w:p>
      <w:pPr>
        <w:spacing w:before="200" w:after="100"/>
      </w:pPr>
      <w:r>
        <w:rPr>
          <w:rFonts w:ascii="Arial" w:hAnsi="Arial" w:eastAsia="Arial" w:cs="Arial"/>
          <w:b/>
          <w:bCs/>
          <w:color w:val="1B3A5C"/>
          <w:sz w:val="24"/>
          <w:szCs w:val="24"/>
        </w:rPr>
        <w:t>GEC+ 方舟关税碳盾 · 外循环贸易盾</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将中国西电东送清洁能源优势，通过AI物理锚定转化为出口产品国际认可的绿色信用，使中国制造从成本竞争升维至绿色定价权竞争。这是中国独有的结构性优势，其他任何国家的出口商都无法复制。</w:t>
      </w:r>
    </w:p>
    <w:p>
      <w:pPr>
        <w:spacing w:before="80" w:after="100"/>
        <w:jc w:val="both"/>
        <w:rPr>
          <w:rFonts w:ascii="Arial" w:hAnsi="Arial" w:eastAsia="Arial" w:cs="Arial"/>
          <w:b w:val="0"/>
          <w:bCs w:val="0"/>
          <w:i w:val="0"/>
          <w:iCs w:val="0"/>
          <w:color w:val="333333"/>
          <w:sz w:val="22"/>
          <w:szCs w:val="22"/>
        </w:rPr>
      </w:pPr>
    </w:p>
    <w:p>
      <w:pPr>
        <w:spacing w:before="200" w:after="100"/>
      </w:pPr>
      <w:r>
        <w:rPr>
          <w:rFonts w:ascii="Arial" w:hAnsi="Arial" w:eastAsia="Arial" w:cs="Arial"/>
          <w:b/>
          <w:bCs/>
          <w:color w:val="1B3A5C"/>
          <w:sz w:val="24"/>
          <w:szCs w:val="24"/>
        </w:rPr>
        <w:t>CL-IVC 工业隐私协议 · 主权盾</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行业级零知识证明（ZKP）验证电路，实现"数据可用不可见，物理不出域"。供应商向甲方证明合规的同时，BOM配方与成本结构绝对保密。这解决了供应链数据填报的根本信任困境，是整个商业文明重构的技术基础。</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Lv.4数据置信度</w:t>
            </w:r>
          </w:p>
        </w:tc>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数据置信度等级体系 · Data Confidence Level 4</w:t>
            </w:r>
          </w:p>
        </w:tc>
        <w:tc>
          <w:tcPr>
            <w:tcW w:w="4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Co2Lion数据质量分级标准体系：Lv.1人工填报（主观，易造假）→ Lv.2第三方核查（成本高）→ Lv.3软件系统采集（可核验）→ Lv.4 MAT物理传感器实时采集（最高级，欧盟CBAM接受免审核）。贯穿全文的核心竞争力表述。插入位置：MAT条目之后。</w:t>
            </w:r>
          </w:p>
        </w:tc>
      </w:tr>
    </w:tbl>
    <w:p>
      <w:pPr>
        <w:spacing w:before="80" w:after="100"/>
        <w:jc w:val="both"/>
        <w:rPr>
          <w:rFonts w:ascii="Arial" w:hAnsi="Arial" w:eastAsia="Arial" w:cs="Arial"/>
          <w:b w:val="0"/>
          <w:bCs w:val="0"/>
          <w:i w:val="0"/>
          <w:iCs w:val="0"/>
          <w:color w:val="333333"/>
          <w:sz w:val="22"/>
          <w:szCs w:val="22"/>
        </w:rPr>
      </w:pPr>
    </w:p>
    <w:p>
      <w:pPr>
        <w:spacing w:before="320" w:after="140"/>
      </w:pPr>
      <w:r>
        <w:rPr>
          <w:rFonts w:ascii="Arial" w:hAnsi="Arial" w:eastAsia="Arial" w:cs="Arial"/>
          <w:b/>
          <w:bCs/>
          <w:color w:val="0B6E4F"/>
          <w:sz w:val="28"/>
          <w:szCs w:val="28"/>
        </w:rPr>
        <w:t>第三层：商业化扩展（外循环价值）</w:t>
      </w:r>
    </w:p>
    <w:p>
      <w:pPr>
        <w:spacing w:before="80" w:after="100"/>
        <w:jc w:val="both"/>
      </w:pPr>
      <w:r>
        <w:rPr>
          <w:rFonts w:ascii="Arial" w:hAnsi="Arial" w:eastAsia="Arial" w:cs="Arial"/>
          <w:b w:val="0"/>
          <w:bCs w:val="0"/>
          <w:i w:val="0"/>
          <w:iCs w:val="0"/>
          <w:color w:val="333333"/>
          <w:sz w:val="22"/>
          <w:szCs w:val="22"/>
        </w:rPr>
        <w:t>建立在合规数据持续积累之上，产生超越合规本身的独立商业价值，同时为制造企业提供对抗内循环周期性波动的结构性收益来源。</w:t>
      </w:r>
    </w:p>
    <w:p>
      <w:pPr>
        <w:spacing w:before="200" w:after="100"/>
      </w:pPr>
      <w:r>
        <w:rPr>
          <w:rFonts w:ascii="Arial" w:hAnsi="Arial" w:eastAsia="Arial" w:cs="Arial"/>
          <w:b/>
          <w:bCs/>
          <w:color w:val="1B3A5C"/>
          <w:sz w:val="24"/>
          <w:szCs w:val="24"/>
        </w:rPr>
        <w:t>能源资产信用映射</w:t>
      </w:r>
    </w:p>
    <w:p>
      <w:pPr>
        <w:spacing w:before="80" w:after="100"/>
        <w:jc w:val="both"/>
      </w:pPr>
      <w:r>
        <w:rPr>
          <w:rFonts w:ascii="Arial" w:hAnsi="Arial" w:eastAsia="Arial" w:cs="Arial"/>
          <w:b w:val="0"/>
          <w:bCs w:val="0"/>
          <w:i w:val="0"/>
          <w:iCs w:val="0"/>
          <w:color w:val="333333"/>
          <w:sz w:val="22"/>
          <w:szCs w:val="22"/>
        </w:rPr>
        <w:t>基于魔盒底层数据的商业化延伸。通过Green-Fi路由将减排投入转化为金融级碳信用资产，辅助银行精准风控，综合能效提升10%以上，将沉睡的碳资产变为可变现收益。</w:t>
      </w:r>
    </w:p>
    <w:p>
      <w:pPr>
        <w:spacing w:before="200" w:after="100"/>
      </w:pPr>
      <w:r>
        <w:rPr>
          <w:rFonts w:ascii="Arial" w:hAnsi="Arial" w:eastAsia="Arial" w:cs="Arial"/>
          <w:b/>
          <w:bCs/>
          <w:color w:val="1B3A5C"/>
          <w:sz w:val="24"/>
          <w:szCs w:val="24"/>
        </w:rPr>
        <w:t>ETS时空平移与GCA算力碳审计</w:t>
      </w:r>
    </w:p>
    <w:p>
      <w:pPr>
        <w:spacing w:before="80" w:after="100"/>
        <w:jc w:val="both"/>
      </w:pPr>
      <w:r>
        <w:rPr>
          <w:rFonts w:ascii="Arial" w:hAnsi="Arial" w:eastAsia="Arial" w:cs="Arial"/>
          <w:b w:val="0"/>
          <w:bCs w:val="0"/>
          <w:i w:val="0"/>
          <w:iCs w:val="0"/>
          <w:color w:val="333333"/>
          <w:sz w:val="22"/>
          <w:szCs w:val="22"/>
        </w:rPr>
        <w:t>ETS时空平移：将储能资产的充放电行为转化为可认证碳减排量，激活中国500GWh+储能规模的碳货币化潜力；通过实时碳因子智能调度帮助制造企业将CBAM税款降低8%—15%。当制造业内循环周期性下行时，储能碳资产提供独立现金流，是企业穿越周期的内在驱动力。</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GCA算力碳审计：填补全球AI算力绿色认证标准空白，为东数西算战略下的西部绿色智算中心颁发国际可信"零碳算力护照"，将西部清洁能源优势转化为算力市场的绿色溢价。中国数据中心2030年用电量预计达8,000亿kWh，GCA认证服务潜在市场达人民币40亿—160亿元/年。</w:t>
      </w:r>
    </w:p>
    <w:p>
      <w:pPr>
        <w:spacing w:before="80" w:after="100"/>
        <w:jc w:val="both"/>
        <w:rPr>
          <w:rFonts w:ascii="Arial" w:hAnsi="Arial" w:eastAsia="Arial" w:cs="Arial"/>
          <w:b w:val="0"/>
          <w:bCs w:val="0"/>
          <w:i w:val="0"/>
          <w:iCs w:val="0"/>
          <w:color w:val="333333"/>
          <w:sz w:val="22"/>
          <w:szCs w:val="22"/>
        </w:rPr>
      </w:pP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ETS时空平移</w:t>
            </w:r>
          </w:p>
        </w:tc>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储能碳资产时移认证 · ETS Time-Space Shift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基于ESC能算耦合账本，认证储能设备在低碳排放时段充电、高碳排放时段放电的"时移"行为所产生的碳减排量，将其转化为可在ETS或VCM中流通的碳资产。是Co2Lion商业化扩展层的核心机制。插入位置：ZKP条目之后。</w:t>
            </w:r>
          </w:p>
        </w:tc>
      </w:tr>
    </w:tbl>
    <w:p>
      <w:pPr>
        <w:spacing w:before="80" w:after="100"/>
        <w:jc w:val="both"/>
        <w:rPr>
          <w:rFonts w:ascii="Arial" w:hAnsi="Arial" w:eastAsia="Arial" w:cs="Arial"/>
          <w:b w:val="0"/>
          <w:bCs w:val="0"/>
          <w:i w:val="0"/>
          <w:iCs w:val="0"/>
          <w:color w:val="333333"/>
          <w:sz w:val="22"/>
          <w:szCs w:val="22"/>
        </w:rPr>
      </w:pPr>
    </w:p>
    <w:p>
      <w:pPr>
        <w:spacing w:before="320" w:after="140"/>
      </w:pPr>
      <w:r>
        <w:rPr>
          <w:rFonts w:ascii="Arial" w:hAnsi="Arial" w:eastAsia="Arial" w:cs="Arial"/>
          <w:b/>
          <w:bCs/>
          <w:color w:val="0B6E4F"/>
          <w:sz w:val="28"/>
          <w:szCs w:val="28"/>
        </w:rPr>
        <w:t>第四层：HengAI（恒·爱）· 碳文明社群基础设施与AI智能体</w:t>
      </w:r>
    </w:p>
    <w:p>
      <w:pPr>
        <w:spacing w:before="80" w:after="100"/>
        <w:jc w:val="both"/>
      </w:pPr>
      <w:r>
        <w:rPr>
          <w:rFonts w:ascii="Arial" w:hAnsi="Arial" w:eastAsia="Arial" w:cs="Arial"/>
          <w:b w:val="0"/>
          <w:bCs w:val="0"/>
          <w:i w:val="0"/>
          <w:iCs w:val="0"/>
          <w:color w:val="333333"/>
          <w:sz w:val="22"/>
          <w:szCs w:val="22"/>
        </w:rPr>
        <w:t>HengAI，取"恒久守护，以爱驱动"之意。它是Co2Lion技术体系的AI智能中枢，也是创始人独创两个全球价值维度的数字化执行机构：其一，Co2Lion全球碳所有权协议（Carbon Ownership Protocol·COP）的运营主体；其二，"每一顿减排都有主人"——终结全球气候行动三十年匿名贡献的价值宣言。</w:t>
      </w:r>
    </w:p>
    <w:p>
      <w:pPr>
        <w:spacing w:before="200" w:after="100"/>
      </w:pPr>
      <w:r>
        <w:rPr>
          <w:rFonts w:ascii="Arial" w:hAnsi="Arial" w:eastAsia="Arial" w:cs="Arial"/>
          <w:b/>
          <w:bCs/>
          <w:color w:val="1B3A5C"/>
          <w:sz w:val="24"/>
          <w:szCs w:val="24"/>
        </w:rPr>
        <w:t>HengAI的三重身份</w:t>
      </w:r>
    </w:p>
    <w:p>
      <w:pPr>
        <w:spacing w:before="80" w:after="100"/>
        <w:jc w:val="both"/>
      </w:pPr>
      <w:r>
        <w:rPr>
          <w:rFonts w:ascii="Arial" w:hAnsi="Arial" w:eastAsia="Arial" w:cs="Arial"/>
          <w:b w:val="0"/>
          <w:bCs w:val="0"/>
          <w:i w:val="0"/>
          <w:iCs w:val="0"/>
          <w:color w:val="333333"/>
          <w:sz w:val="22"/>
          <w:szCs w:val="22"/>
        </w:rPr>
        <w:t>第一重身份：国家"人工智能+"战略的碳领域直接响应者。2025年国发〔2025〕11号文明确"人工智能+制造"为国家重点方向，工信部八部门专项行动要求到2027年实现制造业全流程智能化。HengAI的14个业务模块，是AI智能体在碳合规、供应链协同、绿色金融三个制造业核心场景的具体落地，与国家政策方向高度契合。</w:t>
      </w:r>
    </w:p>
    <w:p>
      <w:pPr>
        <w:spacing w:before="80" w:after="100"/>
        <w:jc w:val="both"/>
      </w:pPr>
      <w:r>
        <w:rPr>
          <w:rFonts w:ascii="Arial" w:hAnsi="Arial" w:eastAsia="Arial" w:cs="Arial"/>
          <w:b w:val="0"/>
          <w:bCs w:val="0"/>
          <w:i w:val="0"/>
          <w:iCs w:val="0"/>
          <w:color w:val="333333"/>
          <w:sz w:val="22"/>
          <w:szCs w:val="22"/>
        </w:rPr>
        <w:t>第二重身份：碳合规时代的职业身份基础设施。HengAI的全球参照是LinkedIn——护城河不是功能，而是每个用户在平台上积累的不可转移的职业资本。每一位合规负责人在HengAI上的碳贡献档案（推动了多少供应商、核验了多少减排量、完成了多少申报），是他在碳合规时代的数字主权资产，随时间积累增值，构成任何竞争对手都无法复制的用户锁定机制。</w:t>
      </w:r>
    </w:p>
    <w:p>
      <w:pPr>
        <w:spacing w:before="80" w:after="100"/>
        <w:jc w:val="both"/>
      </w:pPr>
      <w:r>
        <w:rPr>
          <w:rFonts w:ascii="Arial" w:hAnsi="Arial" w:eastAsia="Arial" w:cs="Arial"/>
          <w:b w:val="0"/>
          <w:bCs w:val="0"/>
          <w:i w:val="0"/>
          <w:iCs w:val="0"/>
          <w:color w:val="333333"/>
          <w:sz w:val="22"/>
          <w:szCs w:val="22"/>
        </w:rPr>
        <w:t>第三重身份：供应链协同向产能撮合平台的进化引擎。当HengAI的供应链数据积累到足够密度，碳数据将成为全球制造业产能撮合的新信任基础设施——买方可基于供应商的真实碳评级、数据置信度和减排趋势进行选择，卖方可凭借碳资产积累获得更优质的订单匹配。这是从"合规工具"到"绿色产能交易平台"的降维打击，商业天花板从合规SaaS升维至供应链交易平台。</w:t>
      </w:r>
    </w:p>
    <w:p>
      <w:pPr>
        <w:spacing w:before="200" w:after="100"/>
      </w:pPr>
      <w:r>
        <w:rPr>
          <w:rFonts w:ascii="Arial" w:hAnsi="Arial" w:eastAsia="Arial" w:cs="Arial"/>
          <w:b/>
          <w:bCs/>
          <w:color w:val="1B3A5C"/>
          <w:sz w:val="24"/>
          <w:szCs w:val="24"/>
        </w:rPr>
        <w:t>COP · 碳所有权协议框架：终结气候行动的匿名时代</w:t>
      </w:r>
    </w:p>
    <w:p>
      <w:pPr>
        <w:spacing w:before="80" w:after="100"/>
        <w:jc w:val="both"/>
      </w:pPr>
      <w:r>
        <w:rPr>
          <w:rFonts w:ascii="Arial" w:hAnsi="Arial" w:eastAsia="Arial" w:cs="Arial"/>
          <w:b w:val="0"/>
          <w:bCs w:val="0"/>
          <w:i w:val="0"/>
          <w:iCs w:val="0"/>
          <w:color w:val="333333"/>
          <w:sz w:val="22"/>
          <w:szCs w:val="22"/>
        </w:rPr>
        <w:t>过去三十年的气候行动存在一个系统性缺陷：所有的减排都是匿名的。企业减排了，但减排行为的所有权归属是模糊的；供应链贡献了减排，但没有人知道具体是哪个节点做了什么。这导致了三个系统性问题：减排激励不足、数据失真、信任缺失——并最终造成了自愿碳市场的信任危机（2023年以来Verra碳信用质量争议、国际碳信用"洗绿"指控让整个VCM市场陷入信用危机）。</w:t>
      </w:r>
    </w:p>
    <w:p>
      <w:pPr>
        <w:spacing w:before="80" w:after="100"/>
        <w:jc w:val="both"/>
      </w:pPr>
      <w:r>
        <w:rPr>
          <w:rFonts w:ascii="Arial" w:hAnsi="Arial" w:eastAsia="Arial" w:cs="Arial"/>
          <w:b w:val="0"/>
          <w:bCs w:val="0"/>
          <w:i w:val="0"/>
          <w:iCs w:val="0"/>
          <w:color w:val="333333"/>
          <w:sz w:val="22"/>
          <w:szCs w:val="22"/>
        </w:rPr>
        <w:t>Co2Lion提出的COP（Carbon Ownership Protocol）是这个问题的根本解法。之所以叫"协议"而不叫"标准"或"体系"，是因为"协议"有两层含义同时成立：技术协议（数据格式、存证标准）和社会契约（参与者之间关于数据权属的共识）。COP这个缩写与联合国气候大会COP（Conference of Parties）形成战略性呼应——联合国COP谈排放责任，Co2Lion COP谈减排资产；一虚一实，构成平行对话的全球框架。</w:t>
      </w:r>
    </w:p>
    <w:p>
      <w:pPr>
        <w:spacing w:before="200" w:after="100"/>
      </w:pPr>
      <w:r>
        <w:rPr>
          <w:rFonts w:ascii="Arial" w:hAnsi="Arial" w:eastAsia="Arial" w:cs="Arial"/>
          <w:b/>
          <w:bCs/>
          <w:color w:val="1B3A5C"/>
          <w:sz w:val="24"/>
          <w:szCs w:val="24"/>
        </w:rPr>
        <w:t>Carbon Ownership Summit · 年度碳所有权峰会</w:t>
      </w:r>
    </w:p>
    <w:p>
      <w:pPr>
        <w:spacing w:before="80" w:after="100"/>
        <w:jc w:val="both"/>
      </w:pPr>
      <w:r>
        <w:rPr>
          <w:rFonts w:ascii="Arial" w:hAnsi="Arial" w:eastAsia="Arial" w:cs="Arial"/>
          <w:b w:val="0"/>
          <w:bCs w:val="0"/>
          <w:i w:val="0"/>
          <w:iCs w:val="0"/>
          <w:color w:val="333333"/>
          <w:sz w:val="22"/>
          <w:szCs w:val="22"/>
        </w:rPr>
        <w:t>COS峰会是COP协议社群凝聚力的年度高光时刻，基于HengAI平台真实数据发布三大榜单：</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榜单名称</w:t>
            </w:r>
          </w:p>
        </w:tc>
        <w:tc>
          <w:tcPr>
            <w:tcW w:w="3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评选标准</w:t>
            </w:r>
          </w:p>
        </w:tc>
        <w:tc>
          <w:tcPr>
            <w:tcW w:w="3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年度最佳碳城池企业</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碳数据质量最高、积累最完整、减排趋势最优的供应链体系</w:t>
            </w:r>
          </w:p>
        </w:tc>
        <w:tc>
          <w:tcPr>
            <w:tcW w:w="3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企业荣誉动机，政府表彰对象，行业标杆示范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年度最佳碳协作案例</w:t>
            </w:r>
          </w:p>
        </w:tc>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甲乙双方共同推动减排成效最显著的供应链组合</w:t>
            </w:r>
          </w:p>
        </w:tc>
        <w:tc>
          <w:tcPr>
            <w:tcW w:w="3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商业文明重构的真实案例，媒体报道的天然素材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年度碳所有权贡献者</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推动最多供应商节点建立碳档案的个人合规负责人</w:t>
            </w:r>
          </w:p>
        </w:tc>
        <w:tc>
          <w:tcPr>
            <w:tcW w:w="3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职业背书价值，个人荣誉激励，社群凝聚核心</w:t>
            </w:r>
          </w:p>
        </w:tc>
      </w:tr>
    </w:tbl>
    <w:p>
      <w:pPr>
        <w:spacing w:before="80" w:after="100"/>
        <w:jc w:val="both"/>
      </w:pPr>
      <w:r>
        <w:rPr>
          <w:rFonts w:ascii="Arial" w:hAnsi="Arial" w:eastAsia="Arial" w:cs="Arial"/>
          <w:b w:val="0"/>
          <w:bCs w:val="0"/>
          <w:i w:val="0"/>
          <w:iCs w:val="0"/>
          <w:color w:val="333333"/>
          <w:sz w:val="22"/>
          <w:szCs w:val="22"/>
        </w:rPr>
        <w:t>榜单的力量：让参与者有真实荣誉激励，让旁观者有加入的理由，让媒体有报道的角度，让政府有表彰的对象。COS不是一个企业活动，是一个正在形成的全球碳主权社群的年度仪式。</w:t>
      </w:r>
    </w:p>
    <w:p>
      <w:pPr>
        <w:spacing w:before="80" w:after="100"/>
        <w:jc w:val="both"/>
      </w:pPr>
      <w:r>
        <w:rPr>
          <w:rFonts w:ascii="Arial" w:hAnsi="Arial" w:eastAsia="Arial" w:cs="Arial"/>
          <w:b w:val="0"/>
          <w:bCs w:val="0"/>
          <w:i w:val="0"/>
          <w:iCs w:val="0"/>
          <w:color w:val="333333"/>
          <w:sz w:val="22"/>
          <w:szCs w:val="22"/>
        </w:rPr>
        <w:t>HengAI V2商业版预计2026年6月中旬完整上线，实现会员付费及全业务场景100%运行。</w:t>
      </w:r>
    </w:p>
    <w:p>
      <w:pPr>
        <w:spacing w:before="320" w:after="140"/>
      </w:pPr>
      <w:r>
        <w:rPr>
          <w:rFonts w:ascii="Arial" w:hAnsi="Arial" w:eastAsia="Arial" w:cs="Arial"/>
          <w:b/>
          <w:bCs/>
          <w:color w:val="0B6E4F"/>
          <w:sz w:val="28"/>
          <w:szCs w:val="28"/>
        </w:rPr>
        <w:t>第五模块（战略扩展）：工业原厂 · 因子精算</w:t>
      </w:r>
    </w:p>
    <w:p>
      <w:pPr>
        <w:shd w:val="clear" w:color="auto" w:fill="1B3A5C"/>
        <w:spacing w:before="80" w:after="100"/>
      </w:pPr>
      <w:r>
        <w:rPr>
          <w:rFonts w:ascii="Arial" w:hAnsi="Arial" w:eastAsia="Arial" w:cs="Arial"/>
          <w:b/>
          <w:bCs/>
          <w:color w:val="FFFFFF"/>
          <w:sz w:val="20"/>
          <w:szCs w:val="20"/>
        </w:rPr>
        <w:t xml:space="preserve">  Factor Authority Network · 产业链碳因子公共基础设施  </w:t>
      </w:r>
    </w:p>
    <w:p>
      <w:pPr>
        <w:spacing w:before="80" w:after="100"/>
        <w:jc w:val="both"/>
      </w:pPr>
      <w:r>
        <w:rPr>
          <w:rFonts w:ascii="Arial" w:hAnsi="Arial" w:eastAsia="Arial" w:cs="Arial"/>
          <w:b w:val="0"/>
          <w:bCs w:val="0"/>
          <w:i w:val="0"/>
          <w:iCs w:val="0"/>
          <w:color w:val="333333"/>
          <w:sz w:val="22"/>
          <w:szCs w:val="22"/>
        </w:rPr>
        <w:t>这是HengAI个人工作台【企业法规库】下方计划新增的战略模块，直接面向钢铁、铝业、水泥三大重工业原厂，将原厂确权碳因子变成产业链公共基础设施。</w:t>
      </w:r>
    </w:p>
    <w:p>
      <w:pPr>
        <w:spacing w:before="200" w:after="100"/>
      </w:pPr>
      <w:r>
        <w:rPr>
          <w:rFonts w:ascii="Arial" w:hAnsi="Arial" w:eastAsia="Arial" w:cs="Arial"/>
          <w:b/>
          <w:bCs/>
          <w:color w:val="1B3A5C"/>
          <w:sz w:val="24"/>
          <w:szCs w:val="24"/>
        </w:rPr>
        <w:t>三方博弈的商业心理设计</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000"/>
        <w:gridCol w:w="4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角色</w:t>
            </w:r>
          </w:p>
        </w:tc>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心理定位</w:t>
            </w:r>
          </w:p>
        </w:tc>
        <w:tc>
          <w:tcPr>
            <w:tcW w:w="47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核心交互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下游中小企业</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众筹式呼救：我是为了生存，请求大哥哥拉我一把</w:t>
            </w:r>
          </w:p>
        </w:tc>
        <w:tc>
          <w:tcPr>
            <w:tcW w:w="4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CBAM测算发现高额罚款时，引导"点亮需求"而非"投诉"，点击【发起产业链绿色协同助力】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Lv.4+专家用户</w:t>
            </w:r>
          </w:p>
        </w:tc>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科学定音，拒绝眼药水：充当技术评估员而非报信者</w:t>
            </w:r>
          </w:p>
        </w:tc>
        <w:tc>
          <w:tcPr>
            <w:tcW w:w="4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生成《产业链碳税敞口技术风险评估》——给原厂领导层送"政绩素材"，告知不确权将流失多少外贸订单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重工业原厂</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救世主式回归：让大厂感到主动而非被动</w:t>
            </w:r>
          </w:p>
        </w:tc>
        <w:tc>
          <w:tcPr>
            <w:tcW w:w="4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进入模块看到【产业链诉求热力图】："1,420家下游兄弟单位期待您的绿色指引，您的一个确权动作将为中国制造挽回€1.2亿跨境利润"</w:t>
            </w:r>
          </w:p>
        </w:tc>
      </w:tr>
    </w:tbl>
    <w:p>
      <w:pPr>
        <w:spacing w:before="200" w:after="100"/>
      </w:pPr>
      <w:r>
        <w:rPr>
          <w:rFonts w:ascii="Arial" w:hAnsi="Arial" w:eastAsia="Arial" w:cs="Arial"/>
          <w:b/>
          <w:bCs/>
          <w:color w:val="1B3A5C"/>
          <w:sz w:val="24"/>
          <w:szCs w:val="24"/>
        </w:rPr>
        <w:t>数据主权核心承诺</w:t>
      </w:r>
    </w:p>
    <w:p>
      <w:pPr>
        <w:spacing w:before="80" w:after="100"/>
        <w:jc w:val="both"/>
      </w:pPr>
      <w:r>
        <w:rPr>
          <w:rFonts w:ascii="Arial" w:hAnsi="Arial" w:eastAsia="Arial" w:cs="Arial"/>
          <w:b w:val="0"/>
          <w:bCs w:val="0"/>
          <w:i w:val="0"/>
          <w:iCs w:val="0"/>
          <w:color w:val="333333"/>
          <w:sz w:val="22"/>
          <w:szCs w:val="22"/>
        </w:rPr>
        <w:t>原则：数据不出域，真相通全球。所有焦炭、电力、配方比等敏感数值绝对禁止离开浏览器本地缓存；后端API只接收计算后的【单位碳强度系数】。这是Co2Lion对原厂最核心的保密承诺——我们不需要知道你的配方，只要那个能帮下游通关的"盖章结果"。</w:t>
      </w:r>
    </w:p>
    <w:p>
      <w:pPr>
        <w:spacing w:before="200" w:after="100"/>
      </w:pPr>
      <w:r>
        <w:rPr>
          <w:rFonts w:ascii="Arial" w:hAnsi="Arial" w:eastAsia="Arial" w:cs="Arial"/>
          <w:b/>
          <w:bCs/>
          <w:color w:val="1B3A5C"/>
          <w:sz w:val="24"/>
          <w:szCs w:val="24"/>
        </w:rPr>
        <w:t>工序覆盖标准</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42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行业</w:t>
            </w:r>
          </w:p>
        </w:tc>
        <w:tc>
          <w:tcPr>
            <w:tcW w:w="4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工序覆盖</w:t>
            </w:r>
          </w:p>
        </w:tc>
        <w:tc>
          <w:tcPr>
            <w:tcW w:w="37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标准兼容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钢铁</w:t>
            </w:r>
          </w:p>
        </w:tc>
        <w:tc>
          <w:tcPr>
            <w:tcW w:w="4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焦化、球团、烧结、炼铁、炼钢、转炉、电炉、掺烧等1-9号精细化工序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100%兼容中钢协（CISA）标准报表样式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铝业</w:t>
            </w:r>
          </w:p>
        </w:tc>
        <w:tc>
          <w:tcPr>
            <w:tcW w:w="4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氧化铝、电解铝、铸造、加工等全工序建模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符合中国有色金属工业协会标准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水泥</w:t>
            </w:r>
          </w:p>
        </w:tc>
        <w:tc>
          <w:tcPr>
            <w:tcW w:w="4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原料制备、熟料煅烧、水泥粉磨等核心工序</w:t>
            </w:r>
          </w:p>
        </w:tc>
        <w:tc>
          <w:tcPr>
            <w:tcW w:w="3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符合中国水泥协会及CBAM覆盖要求</w:t>
            </w:r>
          </w:p>
        </w:tc>
      </w:tr>
    </w:tbl>
    <w:p>
      <w:pPr>
        <w:spacing w:before="200" w:after="100"/>
      </w:pPr>
      <w:r>
        <w:rPr>
          <w:rFonts w:ascii="Arial" w:hAnsi="Arial" w:eastAsia="Arial" w:cs="Arial"/>
          <w:b/>
          <w:bCs/>
          <w:color w:val="1B3A5C"/>
          <w:sz w:val="24"/>
          <w:szCs w:val="24"/>
        </w:rPr>
        <w:t>产业链联动闭环</w:t>
      </w: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原厂在模块中完成因子精算并存入结果，进入公共因子核验池；下游企业刷新页面时，系统通过CL-COP协议自动匹配原厂数据；原本红色的"罚款警告"瞬间变为绿色的"已由原厂确权"。链主感谢原厂，原厂收获口碑、数据和政策安全。首位响应并完成确权的大厂，入选【CL-GCOPO绿色出海先行者名录】。</w:t>
      </w:r>
    </w:p>
    <w:p>
      <w:pPr>
        <w:spacing w:before="80" w:after="100"/>
        <w:jc w:val="both"/>
        <w:rPr>
          <w:rFonts w:ascii="Arial" w:hAnsi="Arial" w:eastAsia="Arial" w:cs="Arial"/>
          <w:b w:val="0"/>
          <w:bCs w:val="0"/>
          <w:i w:val="0"/>
          <w:iCs w:val="0"/>
          <w:color w:val="333333"/>
          <w:sz w:val="22"/>
          <w:szCs w:val="22"/>
        </w:rPr>
      </w:pP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因子精算</w:t>
            </w:r>
          </w:p>
        </w:tc>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工业原厂碳强度因子精算 · Factor Authority Network</w:t>
            </w:r>
          </w:p>
        </w:tc>
        <w:tc>
          <w:tcPr>
            <w:tcW w:w="4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原厂（钢铁/铝业/水泥等重工业一级生产主体）针对自身1-9号生产工序展开精细化碳强度系数计算和CL-IVC确权，形成可被产业链下游企业直接引用的公共碳因子基础设施。是Co2Lion HengAI的战略扩展模块。插入位置：ETS时空平移条目之后。</w:t>
            </w:r>
          </w:p>
        </w:tc>
      </w:tr>
    </w:tbl>
    <w:p>
      <w:pPr>
        <w:spacing w:before="80" w:after="100"/>
        <w:jc w:val="both"/>
        <w:rPr>
          <w:rFonts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p>
    <w:p>
      <w:r>
        <w:br w:type="page"/>
      </w:r>
    </w:p>
    <w:p>
      <w:pPr>
        <w:pBdr>
          <w:bottom w:val="single" w:color="C9A84C" w:sz="8" w:space="4"/>
        </w:pBdr>
        <w:spacing w:before="480" w:after="200"/>
      </w:pPr>
      <w:r>
        <w:rPr>
          <w:rFonts w:ascii="Arial" w:hAnsi="Arial" w:eastAsia="Arial" w:cs="Arial"/>
          <w:b/>
          <w:bCs/>
          <w:color w:val="1B3A5C"/>
          <w:sz w:val="36"/>
          <w:szCs w:val="36"/>
        </w:rPr>
        <w:t>伍  方舟联盟</w:t>
      </w:r>
    </w:p>
    <w:p>
      <w:pPr>
        <w:spacing w:before="80" w:after="100"/>
        <w:jc w:val="both"/>
      </w:pPr>
      <w:r>
        <w:rPr>
          <w:rFonts w:ascii="Arial" w:hAnsi="Arial" w:eastAsia="Arial" w:cs="Arial"/>
          <w:b w:val="0"/>
          <w:bCs w:val="0"/>
          <w:i w:val="0"/>
          <w:iCs w:val="0"/>
          <w:color w:val="333333"/>
          <w:sz w:val="22"/>
          <w:szCs w:val="22"/>
        </w:rPr>
        <w:t>Co2Lion围绕四大产业体系，以竞争性排他策略推进具有实质性进展的战略合作布局。联盟核心机制：Co2Lion以CL-IVC私有节点赋能各联盟方，数据不出域，价值互联，各方在CBAM合规降本增效的共同利益下形成深度捆绑。</w:t>
      </w:r>
    </w:p>
    <w:p>
      <w:pPr>
        <w:spacing w:before="60" w:after="60"/>
      </w:pP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400"/>
        <w:gridCol w:w="33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体系</w:t>
            </w:r>
          </w:p>
        </w:tc>
        <w:tc>
          <w:tcPr>
            <w:tcW w:w="2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方向</w:t>
            </w:r>
          </w:p>
        </w:tc>
        <w:tc>
          <w:tcPr>
            <w:tcW w:w="24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当前状态</w:t>
            </w:r>
          </w:p>
        </w:tc>
        <w:tc>
          <w:tcPr>
            <w:tcW w:w="33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战略价值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物流与流通</w:t>
            </w:r>
          </w:p>
        </w:tc>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顺丰/京东系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掌握跨境出口货运数据，精准识别CBAM高影响客户，是Co2Lion触达出口企业的高效渠道引擎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金融体系</w:t>
            </w:r>
          </w:p>
        </w:tc>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银行/金控系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创始人已建立直接对话，深度接触中</w:t>
            </w:r>
          </w:p>
        </w:tc>
        <w:tc>
          <w:tcPr>
            <w:tcW w:w="33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Green-Fi路由落地，绿色信贷产品碳数据评分支撑，碳资产金融化的直接接入方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电力系统</w:t>
            </w:r>
          </w:p>
        </w:tc>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国网/南网系</w:t>
            </w:r>
          </w:p>
        </w:tc>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绿电数据源头接入，西电东送价值路由的物理基础，GEC+认证的权威数据来源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新能源制造</w:t>
            </w:r>
          </w:p>
        </w:tc>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宁德/比亚迪系</w:t>
            </w:r>
          </w:p>
        </w:tc>
        <w:tc>
          <w:tcPr>
            <w:tcW w:w="24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战略目标方向，路径清晰</w:t>
            </w:r>
          </w:p>
        </w:tc>
        <w:tc>
          <w:tcPr>
            <w:tcW w:w="33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储能资产ETS时移认证核心场景，制造流碳数据锚点</w:t>
            </w:r>
          </w:p>
        </w:tc>
      </w:tr>
    </w:tbl>
    <w:p>
      <w:pPr>
        <w:spacing w:before="60" w:after="60"/>
      </w:pPr>
    </w:p>
    <w:p>
      <w:pPr>
        <w:spacing w:before="80" w:after="100"/>
        <w:jc w:val="both"/>
      </w:pPr>
      <w:r>
        <w:rPr>
          <w:rFonts w:ascii="Arial" w:hAnsi="Arial" w:eastAsia="Arial" w:cs="Arial"/>
          <w:b w:val="0"/>
          <w:bCs w:val="0"/>
          <w:i w:val="0"/>
          <w:iCs w:val="0"/>
          <w:color w:val="333333"/>
          <w:sz w:val="22"/>
          <w:szCs w:val="22"/>
        </w:rPr>
        <w:t>物流方向的特殊战略价值：顺丰/京东系每天处理数百万票跨境货运，其中对欧出口货物的发货方正是Co2Lion最精准的目标客户。创始人与物流体系的直接对话，本质上是在构建一条以货运数据为索引的精准获客渠道——这是"让Co2Lion出现在用户已经在走的路上"这一获客逻辑的最佳实践。</w:t>
      </w:r>
    </w:p>
    <w:p>
      <w:r>
        <w:br w:type="page"/>
      </w:r>
    </w:p>
    <w:p>
      <w:pPr>
        <w:pBdr>
          <w:bottom w:val="single" w:color="C9A84C" w:sz="8" w:space="4"/>
        </w:pBdr>
        <w:spacing w:before="480" w:after="200"/>
      </w:pPr>
      <w:r>
        <w:rPr>
          <w:rFonts w:ascii="Arial" w:hAnsi="Arial" w:eastAsia="Arial" w:cs="Arial"/>
          <w:b/>
          <w:bCs/>
          <w:color w:val="1B3A5C"/>
          <w:sz w:val="36"/>
          <w:szCs w:val="36"/>
        </w:rPr>
        <w:t>陆  商业模式与收入预测</w:t>
      </w:r>
    </w:p>
    <w:p>
      <w:pPr>
        <w:spacing w:before="320" w:after="140"/>
      </w:pPr>
      <w:r>
        <w:rPr>
          <w:rFonts w:ascii="Arial" w:hAnsi="Arial" w:eastAsia="Arial" w:cs="Arial"/>
          <w:b/>
          <w:bCs/>
          <w:color w:val="0B6E4F"/>
          <w:sz w:val="28"/>
          <w:szCs w:val="28"/>
        </w:rPr>
        <w:t>六层收入架构</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43"/>
        <w:gridCol w:w="1457"/>
        <w:gridCol w:w="3643"/>
        <w:gridCol w:w="11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43"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收入层</w:t>
            </w:r>
          </w:p>
        </w:tc>
        <w:tc>
          <w:tcPr>
            <w:tcW w:w="1457"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启动时间</w:t>
            </w:r>
          </w:p>
        </w:tc>
        <w:tc>
          <w:tcPr>
            <w:tcW w:w="3643"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定价逻辑</w:t>
            </w:r>
          </w:p>
        </w:tc>
        <w:tc>
          <w:tcPr>
            <w:tcW w:w="1157"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毛利率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HengAI订阅（个人+企业）</w:t>
            </w:r>
          </w:p>
        </w:tc>
        <w:tc>
          <w:tcPr>
            <w:tcW w:w="14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 Q3</w:t>
            </w:r>
          </w:p>
        </w:tc>
        <w:tc>
          <w:tcPr>
            <w:tcW w:w="36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个人¥99/月，企业¥9,800—68,000/年</w:t>
            </w:r>
          </w:p>
        </w:tc>
        <w:tc>
          <w:tcPr>
            <w:tcW w:w="11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方舟魔盒硬件</w:t>
            </w:r>
          </w:p>
        </w:tc>
        <w:tc>
          <w:tcPr>
            <w:tcW w:w="14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2026 Q3</w:t>
            </w:r>
          </w:p>
        </w:tc>
        <w:tc>
          <w:tcPr>
            <w:tcW w:w="36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定价¥1,980，毛利率&gt;70%</w:t>
            </w:r>
          </w:p>
        </w:tc>
        <w:tc>
          <w:tcPr>
            <w:tcW w:w="11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供应链节点数据服务</w:t>
            </w:r>
          </w:p>
        </w:tc>
        <w:tc>
          <w:tcPr>
            <w:tcW w:w="14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 Q4</w:t>
            </w:r>
          </w:p>
        </w:tc>
        <w:tc>
          <w:tcPr>
            <w:tcW w:w="36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供应商节点年费¥980</w:t>
            </w:r>
          </w:p>
        </w:tc>
        <w:tc>
          <w:tcPr>
            <w:tcW w:w="11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绿色金融数据API</w:t>
            </w:r>
          </w:p>
        </w:tc>
        <w:tc>
          <w:tcPr>
            <w:tcW w:w="14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Q1</w:t>
            </w:r>
          </w:p>
        </w:tc>
        <w:tc>
          <w:tcPr>
            <w:tcW w:w="36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金融机构调用，按次计费</w:t>
            </w:r>
          </w:p>
        </w:tc>
        <w:tc>
          <w:tcPr>
            <w:tcW w:w="11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ETS时移+GCA算力认证</w:t>
            </w:r>
          </w:p>
        </w:tc>
        <w:tc>
          <w:tcPr>
            <w:tcW w:w="14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Q3</w:t>
            </w:r>
          </w:p>
        </w:tc>
        <w:tc>
          <w:tcPr>
            <w:tcW w:w="364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认证服务费+碳资产开发分成</w:t>
            </w:r>
          </w:p>
        </w:tc>
        <w:tc>
          <w:tcPr>
            <w:tcW w:w="1157"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碳信用开发服务</w:t>
            </w:r>
          </w:p>
        </w:tc>
        <w:tc>
          <w:tcPr>
            <w:tcW w:w="14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2028</w:t>
            </w:r>
          </w:p>
        </w:tc>
        <w:tc>
          <w:tcPr>
            <w:tcW w:w="364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协助进入VCM，收取20—30%服务费</w:t>
            </w:r>
          </w:p>
        </w:tc>
        <w:tc>
          <w:tcPr>
            <w:tcW w:w="1157"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65%</w:t>
            </w:r>
          </w:p>
        </w:tc>
      </w:tr>
    </w:tbl>
    <w:p>
      <w:pPr>
        <w:spacing w:before="80" w:after="100"/>
        <w:jc w:val="both"/>
      </w:pPr>
      <w:r>
        <w:rPr>
          <w:rFonts w:ascii="Arial" w:hAnsi="Arial" w:eastAsia="Arial" w:cs="Arial"/>
          <w:b/>
          <w:bCs/>
          <w:i w:val="0"/>
          <w:iCs w:val="0"/>
          <w:color w:val="333333"/>
          <w:sz w:val="22"/>
          <w:szCs w:val="22"/>
        </w:rPr>
        <w:t>综合毛利率目标：82%</w:t>
      </w:r>
    </w:p>
    <w:p>
      <w:pPr>
        <w:spacing w:before="60" w:after="60"/>
      </w:pPr>
    </w:p>
    <w:p>
      <w:pPr>
        <w:spacing w:before="320" w:after="140"/>
      </w:pPr>
      <w:r>
        <w:rPr>
          <w:rFonts w:ascii="Arial" w:hAnsi="Arial" w:eastAsia="Arial" w:cs="Arial"/>
          <w:b/>
          <w:bCs/>
          <w:color w:val="0B6E4F"/>
          <w:sz w:val="28"/>
          <w:szCs w:val="28"/>
        </w:rPr>
        <w:t>三年ARR预测</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3"/>
        <w:gridCol w:w="1590"/>
        <w:gridCol w:w="1515"/>
        <w:gridCol w:w="1722"/>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73"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时间节点</w:t>
            </w:r>
          </w:p>
        </w:tc>
        <w:tc>
          <w:tcPr>
            <w:tcW w:w="159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付费出口商</w:t>
            </w:r>
          </w:p>
        </w:tc>
        <w:tc>
          <w:tcPr>
            <w:tcW w:w="1515"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魔盒装机</w:t>
            </w:r>
          </w:p>
        </w:tc>
        <w:tc>
          <w:tcPr>
            <w:tcW w:w="1722"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供应链节点</w:t>
            </w:r>
          </w:p>
        </w:tc>
        <w:tc>
          <w:tcPr>
            <w:tcW w:w="2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 Q4</w:t>
            </w:r>
          </w:p>
        </w:tc>
        <w:tc>
          <w:tcPr>
            <w:tcW w:w="159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200家</w:t>
            </w:r>
          </w:p>
        </w:tc>
        <w:tc>
          <w:tcPr>
            <w:tcW w:w="1515"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200台</w:t>
            </w:r>
          </w:p>
        </w:tc>
        <w:tc>
          <w:tcPr>
            <w:tcW w:w="1722"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人民币596万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Q2</w:t>
            </w:r>
          </w:p>
        </w:tc>
        <w:tc>
          <w:tcPr>
            <w:tcW w:w="159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800家</w:t>
            </w:r>
          </w:p>
        </w:tc>
        <w:tc>
          <w:tcPr>
            <w:tcW w:w="1515"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800台</w:t>
            </w:r>
          </w:p>
        </w:tc>
        <w:tc>
          <w:tcPr>
            <w:tcW w:w="1722"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人民币2,384万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Q4</w:t>
            </w:r>
          </w:p>
        </w:tc>
        <w:tc>
          <w:tcPr>
            <w:tcW w:w="159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2,000家</w:t>
            </w:r>
          </w:p>
        </w:tc>
        <w:tc>
          <w:tcPr>
            <w:tcW w:w="1515"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2,000台</w:t>
            </w:r>
          </w:p>
        </w:tc>
        <w:tc>
          <w:tcPr>
            <w:tcW w:w="1722"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人民币5,960万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3"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2028 Q2</w:t>
            </w:r>
          </w:p>
        </w:tc>
        <w:tc>
          <w:tcPr>
            <w:tcW w:w="159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5,000家</w:t>
            </w:r>
          </w:p>
        </w:tc>
        <w:tc>
          <w:tcPr>
            <w:tcW w:w="1515"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5,000台</w:t>
            </w:r>
          </w:p>
        </w:tc>
        <w:tc>
          <w:tcPr>
            <w:tcW w:w="1722"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50,000家</w:t>
            </w:r>
          </w:p>
        </w:tc>
        <w:tc>
          <w:tcPr>
            <w:tcW w:w="2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人民币1.49亿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3"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2028 Q4（目标）</w:t>
            </w:r>
          </w:p>
        </w:tc>
        <w:tc>
          <w:tcPr>
            <w:tcW w:w="159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10,000家</w:t>
            </w:r>
          </w:p>
        </w:tc>
        <w:tc>
          <w:tcPr>
            <w:tcW w:w="1515"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10,000台</w:t>
            </w:r>
          </w:p>
        </w:tc>
        <w:tc>
          <w:tcPr>
            <w:tcW w:w="1722"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100,000家</w:t>
            </w:r>
          </w:p>
        </w:tc>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人民币3亿（基础层）</w:t>
            </w:r>
          </w:p>
        </w:tc>
      </w:tr>
    </w:tbl>
    <w:p>
      <w:pPr>
        <w:spacing w:before="60" w:after="60"/>
      </w:pPr>
    </w:p>
    <w:p>
      <w:pPr>
        <w:spacing w:before="80" w:after="100"/>
        <w:jc w:val="both"/>
      </w:pPr>
      <w:r>
        <w:rPr>
          <w:rFonts w:ascii="Arial" w:hAnsi="Arial" w:eastAsia="Arial" w:cs="Arial"/>
          <w:b w:val="0"/>
          <w:bCs w:val="0"/>
          <w:i w:val="0"/>
          <w:iCs w:val="0"/>
          <w:color w:val="333333"/>
          <w:sz w:val="22"/>
          <w:szCs w:val="22"/>
        </w:rPr>
        <w:t>ETS时移与GCA认证业务2027年Q3启动后，作为第三条独立收入曲线叠加：</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时间</w:t>
            </w:r>
          </w:p>
        </w:tc>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ETS+GCA收入</w:t>
            </w:r>
          </w:p>
        </w:tc>
        <w:tc>
          <w:tcPr>
            <w:tcW w:w="40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合计ARR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Q4</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人民币500万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人民币6,460万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2028 Q4</w:t>
            </w:r>
          </w:p>
        </w:tc>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人民币1.5亿</w:t>
            </w:r>
          </w:p>
        </w:tc>
        <w:tc>
          <w:tcPr>
            <w:tcW w:w="40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人民币4.5亿（3年目标）</w:t>
            </w:r>
          </w:p>
        </w:tc>
      </w:tr>
    </w:tbl>
    <w:p>
      <w:pPr>
        <w:spacing w:before="60" w:after="60"/>
      </w:pPr>
    </w:p>
    <w:p>
      <w:pPr>
        <w:spacing w:before="80" w:after="100"/>
        <w:jc w:val="both"/>
      </w:pPr>
      <w:r>
        <w:rPr>
          <w:rFonts w:ascii="Arial" w:hAnsi="Arial" w:eastAsia="Arial" w:cs="Arial"/>
          <w:b/>
          <w:bCs/>
          <w:i w:val="0"/>
          <w:iCs w:val="0"/>
          <w:color w:val="333333"/>
          <w:sz w:val="26"/>
          <w:szCs w:val="26"/>
        </w:rPr>
        <w:t>3年ARR总目标：人民币4.5亿元</w:t>
      </w:r>
    </w:p>
    <w:p>
      <w:r>
        <w:br w:type="page"/>
      </w:r>
    </w:p>
    <w:p>
      <w:pPr>
        <w:pBdr>
          <w:bottom w:val="single" w:color="C9A84C" w:sz="8" w:space="4"/>
        </w:pBdr>
        <w:spacing w:before="480" w:after="200"/>
      </w:pPr>
      <w:r>
        <w:rPr>
          <w:rFonts w:ascii="Arial" w:hAnsi="Arial" w:eastAsia="Arial" w:cs="Arial"/>
          <w:b/>
          <w:bCs/>
          <w:color w:val="1B3A5C"/>
          <w:sz w:val="36"/>
          <w:szCs w:val="36"/>
        </w:rPr>
        <w:t>柒  竞争格局与差异化壁垒</w:t>
      </w:r>
    </w:p>
    <w:p>
      <w:pPr>
        <w:spacing w:before="320" w:after="140"/>
      </w:pPr>
      <w:r>
        <w:rPr>
          <w:rFonts w:ascii="Arial" w:hAnsi="Arial" w:eastAsia="Arial" w:cs="Arial"/>
          <w:b/>
          <w:bCs/>
          <w:color w:val="0B6E4F"/>
          <w:sz w:val="28"/>
          <w:szCs w:val="28"/>
        </w:rPr>
        <w:t>竞争参与者分类</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8"/>
        <w:gridCol w:w="2610"/>
        <w:gridCol w:w="50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58"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竞争类型</w:t>
            </w:r>
          </w:p>
        </w:tc>
        <w:tc>
          <w:tcPr>
            <w:tcW w:w="261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代表机构</w:t>
            </w:r>
          </w:p>
        </w:tc>
        <w:tc>
          <w:tcPr>
            <w:tcW w:w="5032"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局限性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传统碳管理咨询</w:t>
            </w:r>
          </w:p>
        </w:tc>
        <w:tc>
          <w:tcPr>
            <w:tcW w:w="261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德勤、毕马威、普华永道</w:t>
            </w:r>
          </w:p>
        </w:tc>
        <w:tc>
          <w:tcPr>
            <w:tcW w:w="5032"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单次项目30—80万，不可规模化，中小企业负担不起，无持续数据采集能力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国内碳管理SaaS</w:t>
            </w:r>
          </w:p>
        </w:tc>
        <w:tc>
          <w:tcPr>
            <w:tcW w:w="261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碳阻迹、远景碳管理</w:t>
            </w:r>
          </w:p>
        </w:tc>
        <w:tc>
          <w:tcPr>
            <w:tcW w:w="5032"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数据Lv.2人工填报，欧盟认可度低，缺乏供应链穿透，无硬件置信度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ERP碳模块</w:t>
            </w:r>
          </w:p>
        </w:tc>
        <w:tc>
          <w:tcPr>
            <w:tcW w:w="261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用友、金蝶</w:t>
            </w:r>
          </w:p>
        </w:tc>
        <w:tc>
          <w:tcPr>
            <w:tcW w:w="5032"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附属功能，部署周期6—12个月，无法应对CBAM紧迫需求，数据不可信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58"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欧盟官方工具</w:t>
            </w:r>
          </w:p>
        </w:tc>
        <w:tc>
          <w:tcPr>
            <w:tcW w:w="261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CBAM Registry</w:t>
            </w:r>
          </w:p>
        </w:tc>
        <w:tc>
          <w:tcPr>
            <w:tcW w:w="5032"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仅解决申报问题，不解决数据采集和质量问题，中小企业核心痛点未触达</w:t>
            </w:r>
          </w:p>
        </w:tc>
      </w:tr>
    </w:tbl>
    <w:p>
      <w:pPr>
        <w:spacing w:before="60" w:after="60"/>
      </w:pPr>
    </w:p>
    <w:p>
      <w:pPr>
        <w:spacing w:before="320" w:after="140"/>
      </w:pPr>
      <w:r>
        <w:rPr>
          <w:rFonts w:ascii="Arial" w:hAnsi="Arial" w:eastAsia="Arial" w:cs="Arial"/>
          <w:b/>
          <w:bCs/>
          <w:color w:val="0B6E4F"/>
          <w:sz w:val="28"/>
          <w:szCs w:val="28"/>
        </w:rPr>
        <w:t>Co2Lion差异化壁垒矩阵</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1500"/>
        <w:gridCol w:w="1500"/>
        <w:gridCol w:w="2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竞争维度</w:t>
            </w:r>
          </w:p>
        </w:tc>
        <w:tc>
          <w:tcPr>
            <w:tcW w:w="1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传统咨询</w:t>
            </w:r>
          </w:p>
        </w:tc>
        <w:tc>
          <w:tcPr>
            <w:tcW w:w="1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碳SaaS</w:t>
            </w:r>
          </w:p>
        </w:tc>
        <w:tc>
          <w:tcPr>
            <w:tcW w:w="1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ERP模块</w:t>
            </w:r>
          </w:p>
        </w:tc>
        <w:tc>
          <w:tcPr>
            <w:tcW w:w="2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Co2Lion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数据置信度</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Lv.2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Lv.2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Lv.4 物理采集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服务可规模化</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中小企业可负担</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供应链全链路穿透</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有限</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全链路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数据主权保护</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ZKP零知识证明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碳资产变现路径</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Green-Fi + VCM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反周期收益能力</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ETS时移 + GCA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网络效应</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无</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弱</w:t>
            </w:r>
          </w:p>
        </w:tc>
        <w:tc>
          <w:tcPr>
            <w:tcW w:w="1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弱</w:t>
            </w:r>
          </w:p>
        </w:tc>
        <w:tc>
          <w:tcPr>
            <w:tcW w:w="2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强（供应链节点）</w:t>
            </w:r>
          </w:p>
        </w:tc>
      </w:tr>
    </w:tbl>
    <w:p>
      <w:pPr>
        <w:spacing w:before="60" w:after="60"/>
      </w:pPr>
    </w:p>
    <w:p>
      <w:pPr>
        <w:spacing w:before="320" w:after="140"/>
      </w:pPr>
      <w:r>
        <w:rPr>
          <w:rFonts w:ascii="Arial" w:hAnsi="Arial" w:eastAsia="Arial" w:cs="Arial"/>
          <w:b/>
          <w:bCs/>
          <w:color w:val="0B6E4F"/>
          <w:sz w:val="28"/>
          <w:szCs w:val="28"/>
        </w:rPr>
        <w:t>三层不可替代性</w:t>
      </w:r>
    </w:p>
    <w:p>
      <w:pPr>
        <w:spacing w:before="200" w:after="100"/>
      </w:pPr>
      <w:r>
        <w:rPr>
          <w:rFonts w:ascii="Arial" w:hAnsi="Arial" w:eastAsia="Arial" w:cs="Arial"/>
          <w:b/>
          <w:bCs/>
          <w:color w:val="1B3A5C"/>
          <w:sz w:val="24"/>
          <w:szCs w:val="24"/>
        </w:rPr>
        <w:t>第一层：数据质量壁垒（硬件锁定）</w:t>
      </w:r>
    </w:p>
    <w:p>
      <w:pPr>
        <w:spacing w:before="80" w:after="100"/>
        <w:jc w:val="both"/>
      </w:pPr>
      <w:r>
        <w:rPr>
          <w:rFonts w:ascii="Arial" w:hAnsi="Arial" w:eastAsia="Arial" w:cs="Arial"/>
          <w:b w:val="0"/>
          <w:bCs w:val="0"/>
          <w:i w:val="0"/>
          <w:iCs w:val="0"/>
          <w:color w:val="333333"/>
          <w:sz w:val="22"/>
          <w:szCs w:val="22"/>
        </w:rPr>
        <w:t>Lv.4物理采集与Lv.2人工填报的差距，是欧盟海关免审核与保留审查权的差距。方舟魔盒一旦安装，竞争对手无法用纯软件手段提供同等质量数据——这是无法被复制的硬件护城河。</w:t>
      </w:r>
    </w:p>
    <w:p>
      <w:pPr>
        <w:spacing w:before="200" w:after="100"/>
      </w:pPr>
      <w:r>
        <w:rPr>
          <w:rFonts w:ascii="Arial" w:hAnsi="Arial" w:eastAsia="Arial" w:cs="Arial"/>
          <w:b/>
          <w:bCs/>
          <w:color w:val="1B3A5C"/>
          <w:sz w:val="24"/>
          <w:szCs w:val="24"/>
        </w:rPr>
        <w:t>第二层：数据网络效应（供应链锁定）</w:t>
      </w:r>
    </w:p>
    <w:p>
      <w:pPr>
        <w:spacing w:before="80" w:after="100"/>
        <w:jc w:val="both"/>
      </w:pPr>
      <w:r>
        <w:rPr>
          <w:rFonts w:ascii="Arial" w:hAnsi="Arial" w:eastAsia="Arial" w:cs="Arial"/>
          <w:b w:val="0"/>
          <w:bCs w:val="0"/>
          <w:i w:val="0"/>
          <w:iCs w:val="0"/>
          <w:color w:val="333333"/>
          <w:sz w:val="22"/>
          <w:szCs w:val="22"/>
        </w:rPr>
        <w:t>每一家出口商进入Co2Lion，带动其供应商节点进入平台。节点的碳数据又服务于多家出口商申报需求。网络价值随节点数量非线性增长，且碳数据的时间连续性使迁移成本极高。</w:t>
      </w:r>
    </w:p>
    <w:p>
      <w:pPr>
        <w:spacing w:before="200" w:after="100"/>
      </w:pPr>
      <w:r>
        <w:rPr>
          <w:rFonts w:ascii="Arial" w:hAnsi="Arial" w:eastAsia="Arial" w:cs="Arial"/>
          <w:b/>
          <w:bCs/>
          <w:color w:val="1B3A5C"/>
          <w:sz w:val="24"/>
          <w:szCs w:val="24"/>
        </w:rPr>
        <w:t>第三层：价值主张壁垒（商业逻辑升维）</w:t>
      </w:r>
    </w:p>
    <w:p>
      <w:pPr>
        <w:spacing w:before="80" w:after="100"/>
        <w:jc w:val="both"/>
      </w:pPr>
      <w:r>
        <w:rPr>
          <w:rFonts w:ascii="Arial" w:hAnsi="Arial" w:eastAsia="Arial" w:cs="Arial"/>
          <w:b w:val="0"/>
          <w:bCs w:val="0"/>
          <w:i w:val="0"/>
          <w:iCs w:val="0"/>
          <w:color w:val="333333"/>
          <w:sz w:val="22"/>
          <w:szCs w:val="22"/>
        </w:rPr>
        <w:t>所有竞争对手的价值主张是"帮你合规"——成本逻辑，合规完成即关系结束。</w:t>
      </w:r>
    </w:p>
    <w:p>
      <w:pPr>
        <w:spacing w:before="80" w:after="100"/>
        <w:jc w:val="both"/>
      </w:pPr>
      <w:r>
        <w:rPr>
          <w:rFonts w:ascii="Arial" w:hAnsi="Arial" w:eastAsia="Arial" w:cs="Arial"/>
          <w:b w:val="0"/>
          <w:bCs w:val="0"/>
          <w:i w:val="0"/>
          <w:iCs w:val="0"/>
          <w:color w:val="333333"/>
          <w:sz w:val="22"/>
          <w:szCs w:val="22"/>
        </w:rPr>
        <w:t>Co2Lion的价值主张是：低成本、高效、超预期地解决合规之痛，同时将合规行为转化为可积累、可升值、可变现的数字资产——投资逻辑，用户为了积累收益而持续付费。</w:t>
      </w:r>
    </w:p>
    <w:p>
      <w:pPr>
        <w:spacing w:before="80" w:after="100"/>
        <w:jc w:val="both"/>
      </w:pPr>
      <w:r>
        <w:rPr>
          <w:rFonts w:ascii="Arial" w:hAnsi="Arial" w:eastAsia="Arial" w:cs="Arial"/>
          <w:b w:val="0"/>
          <w:bCs w:val="0"/>
          <w:i w:val="0"/>
          <w:iCs w:val="0"/>
          <w:color w:val="333333"/>
          <w:sz w:val="22"/>
          <w:szCs w:val="22"/>
        </w:rPr>
        <w:t>这个逻辑切换改变的不是功能，是用户与合规这件事的根本关系。</w:t>
      </w:r>
    </w:p>
    <w:p>
      <w:pPr>
        <w:spacing w:before="60" w:after="60"/>
      </w:pPr>
    </w:p>
    <w:p>
      <w:pPr>
        <w:spacing w:before="320" w:after="140"/>
      </w:pPr>
      <w:r>
        <w:rPr>
          <w:rFonts w:ascii="Arial" w:hAnsi="Arial" w:eastAsia="Arial" w:cs="Arial"/>
          <w:b/>
          <w:bCs/>
          <w:color w:val="0B6E4F"/>
          <w:sz w:val="28"/>
          <w:szCs w:val="28"/>
        </w:rPr>
        <w:t>竞争格局的时间维度与地缘保护</w:t>
      </w:r>
    </w:p>
    <w:p>
      <w:pPr>
        <w:spacing w:before="200" w:after="100"/>
      </w:pPr>
      <w:r>
        <w:rPr>
          <w:rFonts w:ascii="Arial" w:hAnsi="Arial" w:eastAsia="Arial" w:cs="Arial"/>
          <w:b/>
          <w:bCs/>
          <w:color w:val="1B3A5C"/>
          <w:sz w:val="24"/>
          <w:szCs w:val="24"/>
        </w:rPr>
        <w:t>政策托举逻辑</w:t>
      </w:r>
    </w:p>
    <w:p>
      <w:pPr>
        <w:spacing w:before="80" w:after="100"/>
        <w:jc w:val="both"/>
      </w:pPr>
      <w:r>
        <w:rPr>
          <w:rFonts w:ascii="Arial" w:hAnsi="Arial" w:eastAsia="Arial" w:cs="Arial"/>
          <w:b w:val="0"/>
          <w:bCs w:val="0"/>
          <w:i w:val="0"/>
          <w:iCs w:val="0"/>
          <w:color w:val="333333"/>
          <w:sz w:val="22"/>
          <w:szCs w:val="22"/>
        </w:rPr>
        <w:t>政府不会直接下场提供合规服务，但需要有能力的第三方民间企业承接这个角色。Co2Lion这类具备技术能力、数据积累和国际视野的民间企业，是政府眼中的"种子选手"——一旦证明能力，极可能被作为国家试点单位予以背书和托举。</w:t>
      </w:r>
    </w:p>
    <w:p>
      <w:pPr>
        <w:spacing w:before="200" w:after="100"/>
      </w:pPr>
      <w:r>
        <w:rPr>
          <w:rFonts w:ascii="Arial" w:hAnsi="Arial" w:eastAsia="Arial" w:cs="Arial"/>
          <w:b/>
          <w:bCs/>
          <w:color w:val="1B3A5C"/>
          <w:sz w:val="24"/>
          <w:szCs w:val="24"/>
        </w:rPr>
        <w:t>地缘政治护城河</w:t>
      </w:r>
    </w:p>
    <w:p>
      <w:pPr>
        <w:spacing w:before="80" w:after="100"/>
        <w:jc w:val="both"/>
      </w:pPr>
      <w:r>
        <w:rPr>
          <w:rFonts w:ascii="Arial" w:hAnsi="Arial" w:eastAsia="Arial" w:cs="Arial"/>
          <w:b w:val="0"/>
          <w:bCs w:val="0"/>
          <w:i w:val="0"/>
          <w:iCs w:val="0"/>
          <w:color w:val="333333"/>
          <w:sz w:val="22"/>
          <w:szCs w:val="22"/>
        </w:rPr>
        <w:t>在当前地缘政治格局下，国内制造企业不可能把核心工厂数据交给外国平台。CL-IVC工业隐私协议的"数据不出域"设计，天然契合国家数据安全政策，为外国竞争对手设置了不可逾越的政策性壁垒。</w:t>
      </w:r>
    </w:p>
    <w:p>
      <w:pPr>
        <w:spacing w:before="200" w:after="100"/>
      </w:pPr>
      <w:r>
        <w:rPr>
          <w:rFonts w:ascii="Arial" w:hAnsi="Arial" w:eastAsia="Arial" w:cs="Arial"/>
          <w:b/>
          <w:bCs/>
          <w:color w:val="1B3A5C"/>
          <w:sz w:val="24"/>
          <w:szCs w:val="24"/>
        </w:rPr>
        <w:t>大厂调船策略</w:t>
      </w:r>
    </w:p>
    <w:p>
      <w:pPr>
        <w:spacing w:before="80" w:after="100"/>
        <w:jc w:val="both"/>
      </w:pPr>
      <w:r>
        <w:rPr>
          <w:rFonts w:ascii="Arial" w:hAnsi="Arial" w:eastAsia="Arial" w:cs="Arial"/>
          <w:b w:val="0"/>
          <w:bCs w:val="0"/>
          <w:i w:val="0"/>
          <w:iCs w:val="0"/>
          <w:color w:val="333333"/>
          <w:sz w:val="22"/>
          <w:szCs w:val="22"/>
        </w:rPr>
        <w:t>国内头部科技企业（华为云等）利用现有企业客户基础进入碳合规赛道，是Co2Lion需要关注的中期竞争变量。Co2Lion的应对策略是：在大厂进入前完成供应链数据资产和客户锁定的规模积累，使潜在竞争者的最优选择从"进入竞争"转变为"合作或收购"。Co2Lion已就此方向设计了清晰的阶梯式合作路径。</w:t>
      </w:r>
    </w:p>
    <w:p>
      <w:r>
        <w:br w:type="page"/>
      </w:r>
    </w:p>
    <w:p>
      <w:pPr>
        <w:pBdr>
          <w:bottom w:val="single" w:color="C9A84C" w:sz="8" w:space="4"/>
        </w:pBdr>
        <w:spacing w:before="480" w:after="200"/>
      </w:pPr>
      <w:r>
        <w:rPr>
          <w:rFonts w:ascii="Arial" w:hAnsi="Arial" w:eastAsia="Arial" w:cs="Arial"/>
          <w:b/>
          <w:bCs/>
          <w:color w:val="1B3A5C"/>
          <w:sz w:val="36"/>
          <w:szCs w:val="36"/>
        </w:rPr>
        <w:t>捌  政策契合与社会价值</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6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国家战略</w:t>
            </w:r>
          </w:p>
        </w:tc>
        <w:tc>
          <w:tcPr>
            <w:tcW w:w="60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Co2Lion的对应价值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"双碳"目标（碳达峰碳中和）</w:t>
            </w:r>
          </w:p>
        </w:tc>
        <w:tc>
          <w:tcPr>
            <w:tcW w:w="6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为中小出口企业提供可量化减排数据基础设施，填补ETS数据质量短板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数据要素市场化（"数据二十条"）</w:t>
            </w:r>
          </w:p>
        </w:tc>
        <w:tc>
          <w:tcPr>
            <w:tcW w:w="60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供应链碳数据在深圳数据交易所完成资产确权，探索碳数据跨境合规新路径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制造业绿色转型与新质生产力</w:t>
            </w:r>
          </w:p>
        </w:tc>
        <w:tc>
          <w:tcPr>
            <w:tcW w:w="6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"西值东送"将西部清洁能源转化为出口制造业绿色竞争优势，是新质生产力的生动实践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东数西算与新型储能</w:t>
            </w:r>
          </w:p>
        </w:tc>
        <w:tc>
          <w:tcPr>
            <w:tcW w:w="60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GCA认证服务东数西算战略，ETS时移配合国家新型储能发展规划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粤港澳大湾区绿色金融示范</w:t>
            </w:r>
          </w:p>
        </w:tc>
        <w:tc>
          <w:tcPr>
            <w:tcW w:w="6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注册深圳前海，Green-Fi对接大湾区绿色信贷，香港Core Climate提供碳信用国际化通道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一带一路绿色发展</w:t>
            </w:r>
          </w:p>
        </w:tc>
        <w:tc>
          <w:tcPr>
            <w:tcW w:w="60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全球南方碳合规标准输出，以中国制造供应链为载体推动碳主权框架国际化</w:t>
            </w:r>
          </w:p>
        </w:tc>
      </w:tr>
    </w:tbl>
    <w:p>
      <w:pPr>
        <w:spacing w:before="60" w:after="60"/>
      </w:pPr>
    </w:p>
    <w:p>
      <w:pPr>
        <w:spacing w:before="320" w:after="140"/>
      </w:pPr>
      <w:r>
        <w:rPr>
          <w:rFonts w:ascii="Arial" w:hAnsi="Arial" w:eastAsia="Arial" w:cs="Arial"/>
          <w:b/>
          <w:bCs/>
          <w:color w:val="0B6E4F"/>
          <w:sz w:val="28"/>
          <w:szCs w:val="28"/>
        </w:rPr>
        <w:t>"十五五"前瞻：国家碳足迹管理体系</w:t>
      </w:r>
    </w:p>
    <w:p>
      <w:pPr>
        <w:spacing w:before="80" w:after="100"/>
        <w:jc w:val="both"/>
      </w:pPr>
      <w:r>
        <w:rPr>
          <w:rFonts w:ascii="Arial" w:hAnsi="Arial" w:eastAsia="Arial" w:cs="Arial"/>
          <w:b w:val="0"/>
          <w:bCs w:val="0"/>
          <w:i w:val="0"/>
          <w:iCs w:val="0"/>
          <w:color w:val="333333"/>
          <w:sz w:val="22"/>
          <w:szCs w:val="22"/>
        </w:rPr>
        <w:t>根据国家发改委等部门规划，"十五五"期间（2026—2030年）核心目标：</w:t>
      </w:r>
    </w:p>
    <w:p>
      <w:pPr>
        <w:pStyle w:val="18"/>
        <w:numPr>
          <w:ilvl w:val="0"/>
          <w:numId w:val="1"/>
        </w:numPr>
        <w:spacing w:before="40" w:after="40"/>
      </w:pPr>
      <w:r>
        <w:rPr>
          <w:rFonts w:ascii="Arial" w:hAnsi="Arial" w:eastAsia="Arial" w:cs="Arial"/>
          <w:color w:val="333333"/>
          <w:sz w:val="22"/>
          <w:szCs w:val="22"/>
        </w:rPr>
        <w:t>2027年：初步建立国家碳足迹管理体系，覆盖重点出口产品品类</w:t>
      </w:r>
    </w:p>
    <w:p>
      <w:pPr>
        <w:pStyle w:val="18"/>
        <w:numPr>
          <w:ilvl w:val="0"/>
          <w:numId w:val="1"/>
        </w:numPr>
        <w:spacing w:before="40" w:after="40"/>
      </w:pPr>
      <w:r>
        <w:rPr>
          <w:rFonts w:ascii="Arial" w:hAnsi="Arial" w:eastAsia="Arial" w:cs="Arial"/>
          <w:color w:val="333333"/>
          <w:sz w:val="22"/>
          <w:szCs w:val="22"/>
        </w:rPr>
        <w:t>2030年（十五五末）：实现与欧盟、国际主要标准的互认机制</w:t>
      </w:r>
    </w:p>
    <w:p>
      <w:pPr>
        <w:spacing w:before="60" w:after="60"/>
      </w:pPr>
    </w:p>
    <w:p>
      <w:pPr>
        <w:spacing w:before="80" w:after="100"/>
        <w:jc w:val="both"/>
      </w:pPr>
      <w:r>
        <w:rPr>
          <w:rFonts w:ascii="Arial" w:hAnsi="Arial" w:eastAsia="Arial" w:cs="Arial"/>
          <w:b w:val="0"/>
          <w:bCs w:val="0"/>
          <w:i w:val="0"/>
          <w:iCs w:val="0"/>
          <w:color w:val="333333"/>
          <w:sz w:val="22"/>
          <w:szCs w:val="22"/>
        </w:rPr>
        <w:t>Co2Lion的动态碳因子库和行业碳强度基准数据，正是国家急需建立的"本土化碳足迹数据库"的雏形。基于当前已有的国家级绿色贸易数据试点身份和ISO 14067标准参与资质，Co2Lion具备在2027年前申请成为国家标准"试点单位"和"起草单位"的实质性条件。</w:t>
      </w:r>
    </w:p>
    <w:p>
      <w:pPr>
        <w:spacing w:before="80" w:after="100"/>
        <w:jc w:val="both"/>
      </w:pPr>
      <w:r>
        <w:rPr>
          <w:rFonts w:ascii="Arial" w:hAnsi="Arial" w:eastAsia="Arial" w:cs="Arial"/>
          <w:b w:val="0"/>
          <w:bCs w:val="0"/>
          <w:i w:val="0"/>
          <w:iCs w:val="0"/>
          <w:color w:val="333333"/>
          <w:sz w:val="22"/>
          <w:szCs w:val="22"/>
        </w:rPr>
        <w:t>一旦达成这一身份，Co2Lion的数据标准将成为国家认可的行业基准，所有需要按国标申报的企业都将以Co2Lion的数据格式为参照——这是商业层面无法用金钱购买的竞争优势。</w:t>
      </w:r>
    </w:p>
    <w:p>
      <w:pPr>
        <w:spacing w:before="60" w:after="60"/>
      </w:pPr>
    </w:p>
    <w:p>
      <w:pPr>
        <w:spacing w:before="320" w:after="140"/>
      </w:pPr>
      <w:r>
        <w:rPr>
          <w:rFonts w:ascii="Arial" w:hAnsi="Arial" w:eastAsia="Arial" w:cs="Arial"/>
          <w:b/>
          <w:bCs/>
          <w:color w:val="0B6E4F"/>
          <w:sz w:val="28"/>
          <w:szCs w:val="28"/>
        </w:rPr>
        <w:t>"人工智能+"国家战略：HengAI的第二条政策护城河</w:t>
      </w:r>
    </w:p>
    <w:p>
      <w:pPr>
        <w:spacing w:before="80" w:after="100"/>
        <w:jc w:val="both"/>
      </w:pPr>
      <w:r>
        <w:rPr>
          <w:rFonts w:ascii="Arial" w:hAnsi="Arial" w:eastAsia="Arial" w:cs="Arial"/>
          <w:b w:val="0"/>
          <w:bCs w:val="0"/>
          <w:i w:val="0"/>
          <w:iCs w:val="0"/>
          <w:color w:val="333333"/>
          <w:sz w:val="22"/>
          <w:szCs w:val="22"/>
        </w:rPr>
        <w:t>除CBAM合规外，HengAI同时直接响应国家"人工智能+"顶层部署，具备双重政策驱动：</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800"/>
        <w:gridCol w:w="5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政策文件</w:t>
            </w:r>
          </w:p>
        </w:tc>
        <w:tc>
          <w:tcPr>
            <w:tcW w:w="1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发布时间</w:t>
            </w:r>
          </w:p>
        </w:tc>
        <w:tc>
          <w:tcPr>
            <w:tcW w:w="51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与HengAI的关联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国发〔2025〕11号文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2025年8月</w:t>
            </w:r>
          </w:p>
        </w:tc>
        <w:tc>
          <w:tcPr>
            <w:tcW w:w="51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确立人工智能+三步走战略，明确到2027年AI与六大领域深度融合，HengAI是碳合规+制造业领域的具体落地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《"人工智能+制造"专项行动》</w:t>
            </w:r>
          </w:p>
        </w:tc>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2025年12月工信部等八部门</w:t>
            </w:r>
          </w:p>
        </w:tc>
        <w:tc>
          <w:tcPr>
            <w:tcW w:w="51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推动全流程智能化，培育智能制造新模式，HengAI的供应链协同和产能撮合路径直接契合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《国家人工智能产业综合标准化体系》</w:t>
            </w:r>
          </w:p>
        </w:tc>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2024年7月四部门</w:t>
            </w:r>
          </w:p>
        </w:tc>
        <w:tc>
          <w:tcPr>
            <w:tcW w:w="51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到2026年新制定50项以上标准，HengAI的COP协议具备参与碳AI标准制定的政策通道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广东省AI+制造行动方案（2025—2027）</w:t>
            </w:r>
          </w:p>
        </w:tc>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广东省政府</w:t>
            </w:r>
          </w:p>
        </w:tc>
        <w:tc>
          <w:tcPr>
            <w:tcW w:w="51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打造全球AI与机器人产业创新高地，设立"算力券"降低使用成本。HengAI注册深圳前海，直接受益于省级政策支持</w:t>
            </w:r>
          </w:p>
        </w:tc>
      </w:tr>
    </w:tbl>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政策共振效应：CBAM合规压力从外部推动制造业数字化转型，人工智能+制造政策从内部驱动AI工具普及。HengAI站在两股政策浪潮的交汇点上，是少数同时享有双重政策红利的商业项目。</w:t>
      </w:r>
    </w:p>
    <w:p>
      <w:pPr>
        <w:spacing w:before="80" w:after="100"/>
        <w:jc w:val="both"/>
        <w:rPr>
          <w:rFonts w:ascii="Arial" w:hAnsi="Arial" w:eastAsia="Arial" w:cs="Arial"/>
          <w:b w:val="0"/>
          <w:bCs w:val="0"/>
          <w:i w:val="0"/>
          <w:iCs w:val="0"/>
          <w:color w:val="333333"/>
          <w:sz w:val="22"/>
          <w:szCs w:val="22"/>
        </w:rPr>
      </w:pPr>
    </w:p>
    <w:p>
      <w:pPr>
        <w:spacing w:before="80" w:after="100"/>
        <w:jc w:val="both"/>
        <w:rPr>
          <w:rFonts w:ascii="Arial" w:hAnsi="Arial" w:eastAsia="Arial" w:cs="Arial"/>
          <w:b w:val="0"/>
          <w:bCs w:val="0"/>
          <w:i w:val="0"/>
          <w:iCs w:val="0"/>
          <w:color w:val="333333"/>
          <w:sz w:val="22"/>
          <w:szCs w:val="22"/>
        </w:rPr>
      </w:pPr>
      <w:r>
        <w:rPr>
          <w:rFonts w:ascii="Arial" w:hAnsi="Arial" w:eastAsia="Arial" w:cs="Arial"/>
          <w:b w:val="0"/>
          <w:bCs w:val="0"/>
          <w:i w:val="0"/>
          <w:iCs w:val="0"/>
          <w:color w:val="333333"/>
          <w:sz w:val="22"/>
          <w:szCs w:val="22"/>
        </w:rPr>
        <w:t>术语表"一、政策法规类"</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600"/>
        <w:gridCol w:w="4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双碳</w:t>
            </w:r>
          </w:p>
        </w:tc>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碳达峰碳中和国家战略</w:t>
            </w:r>
          </w:p>
        </w:tc>
        <w:tc>
          <w:tcPr>
            <w:tcW w:w="4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中国2030年前碳达峰、2060年前碳中和的国家级气候承诺，简称"双碳"。是Co2Lion全部政策契合论述的根本依据，在BP"政策契合"章节中多次引用。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西电东送</w:t>
            </w:r>
          </w:p>
        </w:tc>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西部清洁能源向东部输送工程</w:t>
            </w:r>
          </w:p>
        </w:tc>
        <w:tc>
          <w:tcPr>
            <w:tcW w:w="4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将西部（云南、四川、新疆等地）的水电、风电、光伏清洁能源通过特高压电网输送至东部制造业密集省份。Co2Lion的GEC+模块将其碳价值数字化路由为出口产品的国际认可绿色信用，是"西值东送"品牌图腾的物理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LCA</w:t>
            </w:r>
          </w:p>
        </w:tc>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生命周期评估 · Life Cycle Assessment</w:t>
            </w:r>
          </w:p>
        </w:tc>
        <w:tc>
          <w:tcPr>
            <w:tcW w:w="4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对产品从原材料获取、生产制造、使用到废弃全生命周期的环境影响进行量化评估。CBAM嵌入碳排放核算以LCA方法论为理论基础，是Co2Lion CBAM测算工具的数据核算框架依据。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GHG Protocol</w:t>
            </w:r>
          </w:p>
        </w:tc>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温室气体核算体系 · Greenhouse Gas Protocol</w:t>
            </w:r>
          </w:p>
        </w:tc>
        <w:tc>
          <w:tcPr>
            <w:tcW w:w="4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由世界资源研究所（WRI）和世界可持续发展工商理事会（WBCSD）共同制定，全球最广泛采用的企业温室气体排放核算和报告标准。是ISO 14067、CBAM申报及Co2Lion数据质量体系的重要参照框架。</w:t>
            </w:r>
          </w:p>
        </w:tc>
      </w:tr>
    </w:tbl>
    <w:p>
      <w:pPr>
        <w:spacing w:before="80" w:after="100"/>
        <w:jc w:val="both"/>
        <w:rPr>
          <w:rFonts w:ascii="Arial" w:hAnsi="Arial" w:eastAsia="Arial" w:cs="Arial"/>
          <w:b w:val="0"/>
          <w:bCs w:val="0"/>
          <w:i w:val="0"/>
          <w:iCs w:val="0"/>
          <w:color w:val="333333"/>
          <w:sz w:val="22"/>
          <w:szCs w:val="22"/>
        </w:rPr>
      </w:pPr>
    </w:p>
    <w:p>
      <w:pPr>
        <w:spacing w:before="60" w:after="60"/>
      </w:pPr>
    </w:p>
    <w:p>
      <w:pPr>
        <w:spacing w:before="320" w:after="140"/>
      </w:pPr>
      <w:r>
        <w:rPr>
          <w:rFonts w:ascii="Arial" w:hAnsi="Arial" w:eastAsia="Arial" w:cs="Arial"/>
          <w:b/>
          <w:bCs/>
          <w:color w:val="0B6E4F"/>
          <w:sz w:val="28"/>
          <w:szCs w:val="28"/>
        </w:rPr>
        <w:t>专精特新申报建议</w:t>
      </w:r>
    </w:p>
    <w:p>
      <w:pPr>
        <w:spacing w:before="80" w:after="100"/>
        <w:jc w:val="both"/>
      </w:pPr>
      <w:r>
        <w:rPr>
          <w:rFonts w:ascii="Arial" w:hAnsi="Arial" w:eastAsia="Arial" w:cs="Arial"/>
          <w:b w:val="0"/>
          <w:bCs w:val="0"/>
          <w:i w:val="0"/>
          <w:iCs w:val="0"/>
          <w:color w:val="333333"/>
          <w:sz w:val="22"/>
          <w:szCs w:val="22"/>
        </w:rPr>
        <w:t>建议Co2Lion在本轮融资同步启动国家级专精特新"小巨人"申报，申报类别：工业软件与数字化服务（碳数据管理与供应链合规方向）。专精特新认定将带来三个直接价值：国家级政府背书、国家级基金优先审核通道、科创板上市的政策加速通道。</w:t>
      </w:r>
    </w:p>
    <w:p>
      <w:r>
        <w:br w:type="page"/>
      </w:r>
    </w:p>
    <w:p>
      <w:pPr>
        <w:pBdr>
          <w:bottom w:val="single" w:color="C9A84C" w:sz="8" w:space="4"/>
        </w:pBdr>
        <w:spacing w:before="480" w:after="200"/>
      </w:pPr>
      <w:r>
        <w:rPr>
          <w:rFonts w:ascii="Arial" w:hAnsi="Arial" w:eastAsia="Arial" w:cs="Arial"/>
          <w:b/>
          <w:bCs/>
          <w:color w:val="1B3A5C"/>
          <w:sz w:val="36"/>
          <w:szCs w:val="36"/>
        </w:rPr>
        <w:t>玖  风险边界：三不碰原则</w:t>
      </w:r>
    </w:p>
    <w:p>
      <w:pPr>
        <w:spacing w:before="80" w:after="100"/>
        <w:jc w:val="both"/>
      </w:pPr>
      <w:r>
        <w:rPr>
          <w:rFonts w:ascii="Arial" w:hAnsi="Arial" w:eastAsia="Arial" w:cs="Arial"/>
          <w:b w:val="0"/>
          <w:bCs w:val="0"/>
          <w:i w:val="0"/>
          <w:iCs w:val="0"/>
          <w:color w:val="333333"/>
          <w:sz w:val="22"/>
          <w:szCs w:val="22"/>
        </w:rPr>
        <w:t>Co2Lion在商业拓展中坚守清晰的风险边界，确保所有业务在政策合规框架内运行。这三条原则不是被动的风险规避，而是Co2Lion主动选择的商业文明边界——也是赢得政府信任、金融机构合作和国家级基金认可的前提。</w:t>
      </w:r>
    </w:p>
    <w:p>
      <w:pPr>
        <w:spacing w:before="60" w:after="60"/>
      </w:pP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3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原则</w:t>
            </w:r>
          </w:p>
        </w:tc>
        <w:tc>
          <w:tcPr>
            <w:tcW w:w="4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边界定义</w:t>
            </w:r>
          </w:p>
        </w:tc>
        <w:tc>
          <w:tcPr>
            <w:tcW w:w="3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政策依据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不碰"电力交易结算权"</w:t>
            </w:r>
          </w:p>
        </w:tc>
        <w:tc>
          <w:tcPr>
            <w:tcW w:w="4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聚焦碳排放核算和绿色价值路由，不介入电力现货市场交易，不参与电力结算，不持有任何电力交易牌照相关业务。"修数据通途，不碰电力红线"。</w:t>
            </w:r>
          </w:p>
        </w:tc>
        <w:tc>
          <w:tcPr>
            <w:tcW w:w="3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《电力法》《电力市场运营规则》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不碰"原始数据跨境"</w:t>
            </w:r>
          </w:p>
        </w:tc>
        <w:tc>
          <w:tcPr>
            <w:tcW w:w="4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CL-IVC工业隐私协议核心原则"数据不出域"——企业原始数据（能耗/产量/BOM）永久留存于企业本地或私有节点。Co2Lion跨境传输仅限于ZKP处理后的合规结论，不传输任何原始数据。</w:t>
            </w:r>
          </w:p>
        </w:tc>
        <w:tc>
          <w:tcPr>
            <w:tcW w:w="3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《数据安全法》《网络安全法》《数据出境安全评估办法》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不碰"非法集资/资金池"</w:t>
            </w:r>
          </w:p>
        </w:tc>
        <w:tc>
          <w:tcPr>
            <w:tcW w:w="4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GM绿印资产体系和碳信用体系严格遵循现行金融监管框架，不构成公众存款，不形成资金池，不承诺固定收益回报。所有碳资产变现通过持牌金融机构和合规碳交易平台实现。</w:t>
            </w:r>
          </w:p>
        </w:tc>
        <w:tc>
          <w:tcPr>
            <w:tcW w:w="3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《防范和处置非法集资条例》《碳排放权交易管理办法》</w:t>
            </w:r>
          </w:p>
        </w:tc>
      </w:tr>
    </w:tbl>
    <w:p>
      <w:r>
        <w:br w:type="page"/>
      </w:r>
    </w:p>
    <w:p>
      <w:pPr>
        <w:pBdr>
          <w:bottom w:val="single" w:color="C9A84C" w:sz="8" w:space="4"/>
        </w:pBdr>
        <w:spacing w:before="480" w:after="200"/>
      </w:pPr>
      <w:r>
        <w:rPr>
          <w:rFonts w:ascii="Arial" w:hAnsi="Arial" w:eastAsia="Arial" w:cs="Arial"/>
          <w:b/>
          <w:bCs/>
          <w:color w:val="1B3A5C"/>
          <w:sz w:val="36"/>
          <w:szCs w:val="36"/>
        </w:rPr>
        <w:t>拾  融资计划、估值与财务预测</w:t>
      </w:r>
    </w:p>
    <w:p>
      <w:pPr>
        <w:spacing w:before="320" w:after="140"/>
      </w:pPr>
      <w:r>
        <w:rPr>
          <w:rFonts w:ascii="Arial" w:hAnsi="Arial" w:eastAsia="Arial" w:cs="Arial"/>
          <w:b/>
          <w:bCs/>
          <w:color w:val="0B6E4F"/>
          <w:sz w:val="28"/>
          <w:szCs w:val="28"/>
        </w:rPr>
        <w:t>估值逻辑：三重叠加</w:t>
      </w:r>
    </w:p>
    <w:p>
      <w:pPr>
        <w:spacing w:before="200" w:after="100"/>
      </w:pPr>
      <w:r>
        <w:rPr>
          <w:rFonts w:ascii="Arial" w:hAnsi="Arial" w:eastAsia="Arial" w:cs="Arial"/>
          <w:b/>
          <w:bCs/>
          <w:color w:val="1B3A5C"/>
          <w:sz w:val="24"/>
          <w:szCs w:val="24"/>
        </w:rPr>
        <w:t>第一重：ARR倍数</w:t>
      </w:r>
    </w:p>
    <w:p>
      <w:pPr>
        <w:spacing w:before="80" w:after="100"/>
        <w:jc w:val="both"/>
      </w:pPr>
      <w:r>
        <w:rPr>
          <w:rFonts w:ascii="Arial" w:hAnsi="Arial" w:eastAsia="Arial" w:cs="Arial"/>
          <w:b w:val="0"/>
          <w:bCs w:val="0"/>
          <w:i w:val="0"/>
          <w:iCs w:val="0"/>
          <w:color w:val="333333"/>
          <w:sz w:val="22"/>
          <w:szCs w:val="22"/>
        </w:rPr>
        <w:t>参照国内碳管理SaaS和工业IoT平台早期融资估值倍数（15—25倍ARR），以2028年底4.5亿ARR为基础，对应估值67亿—112亿元。本轮按未来价值折现，Pre-money目标：人民币8亿—12亿元。</w:t>
      </w:r>
    </w:p>
    <w:p>
      <w:pPr>
        <w:spacing w:before="200" w:after="100"/>
      </w:pPr>
      <w:r>
        <w:rPr>
          <w:rFonts w:ascii="Arial" w:hAnsi="Arial" w:eastAsia="Arial" w:cs="Arial"/>
          <w:b/>
          <w:bCs/>
          <w:color w:val="1B3A5C"/>
          <w:sz w:val="24"/>
          <w:szCs w:val="24"/>
        </w:rPr>
        <w:t>第二重：分部估值参照</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000"/>
        <w:gridCol w:w="3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业务维度</w:t>
            </w:r>
          </w:p>
        </w:tc>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全球可比公司</w:t>
            </w:r>
          </w:p>
        </w:tc>
        <w:tc>
          <w:tcPr>
            <w:tcW w:w="37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参考估值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CBAM合规SaaS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Watershed、Persefoni</w:t>
            </w:r>
          </w:p>
        </w:tc>
        <w:tc>
          <w:tcPr>
            <w:tcW w:w="3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$10—18亿美元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工业IoT+硬件锁定</w:t>
            </w:r>
          </w:p>
        </w:tc>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Samsara（2021年IPO）</w:t>
            </w:r>
          </w:p>
        </w:tc>
        <w:tc>
          <w:tcPr>
            <w:tcW w:w="3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$110亿美元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供应链数据基础设施</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天眼查E轮</w:t>
            </w:r>
          </w:p>
        </w:tc>
        <w:tc>
          <w:tcPr>
            <w:tcW w:w="3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绿色金融数据API</w:t>
            </w:r>
          </w:p>
        </w:tc>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MSCI ESG业务</w:t>
            </w:r>
          </w:p>
        </w:tc>
        <w:tc>
          <w:tcPr>
            <w:tcW w:w="3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$50亿美元以上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ZKP隐私计算</w:t>
            </w:r>
          </w:p>
        </w:tc>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Aleo</w:t>
            </w:r>
          </w:p>
        </w:tc>
        <w:tc>
          <w:tcPr>
            <w:tcW w:w="3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$14.5亿美元</w:t>
            </w:r>
          </w:p>
        </w:tc>
      </w:tr>
    </w:tbl>
    <w:p>
      <w:pPr>
        <w:spacing w:before="80" w:after="100"/>
        <w:jc w:val="both"/>
      </w:pPr>
      <w:r>
        <w:rPr>
          <w:rFonts w:ascii="Arial" w:hAnsi="Arial" w:eastAsia="Arial" w:cs="Arial"/>
          <w:b w:val="0"/>
          <w:bCs w:val="0"/>
          <w:i w:val="0"/>
          <w:iCs w:val="0"/>
          <w:color w:val="333333"/>
          <w:sz w:val="22"/>
          <w:szCs w:val="22"/>
        </w:rPr>
        <w:t>分部估值法结论：Co2Lion各维度对标全球同类，$10亿以上美元估值有充分支撑。本轮8亿人民币Pre-money是极具吸引力的折价进入价格。</w:t>
      </w:r>
    </w:p>
    <w:p>
      <w:pPr>
        <w:spacing w:before="200" w:after="100"/>
      </w:pPr>
      <w:r>
        <w:rPr>
          <w:rFonts w:ascii="Arial" w:hAnsi="Arial" w:eastAsia="Arial" w:cs="Arial"/>
          <w:b/>
          <w:bCs/>
          <w:color w:val="1B3A5C"/>
          <w:sz w:val="24"/>
          <w:szCs w:val="24"/>
        </w:rPr>
        <w:t>第三重：股权稀释保护</w:t>
      </w:r>
    </w:p>
    <w:tbl>
      <w:tblPr>
        <w:tblStyle w:val="11"/>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40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Pre-money估值</w:t>
            </w:r>
          </w:p>
        </w:tc>
        <w:tc>
          <w:tcPr>
            <w:tcW w:w="2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融资3,000万</w:t>
            </w:r>
          </w:p>
        </w:tc>
        <w:tc>
          <w:tcPr>
            <w:tcW w:w="4006"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股权出让比例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8亿元（目标区间下限）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10亿元（目标中值）</w:t>
            </w:r>
          </w:p>
        </w:tc>
        <w:tc>
          <w:tcPr>
            <w:tcW w:w="2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12亿元（目标区间上限）</w:t>
            </w:r>
          </w:p>
        </w:tc>
        <w:tc>
          <w:tcPr>
            <w:tcW w:w="2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3,000万</w:t>
            </w:r>
          </w:p>
        </w:tc>
        <w:tc>
          <w:tcPr>
            <w:tcW w:w="4006"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2.4%</w:t>
            </w:r>
          </w:p>
        </w:tc>
      </w:tr>
    </w:tbl>
    <w:p>
      <w:pPr>
        <w:spacing w:before="60" w:after="60"/>
      </w:pPr>
    </w:p>
    <w:p>
      <w:pPr>
        <w:spacing w:before="320" w:after="140"/>
      </w:pPr>
      <w:r>
        <w:rPr>
          <w:rFonts w:ascii="Arial" w:hAnsi="Arial" w:eastAsia="Arial" w:cs="Arial"/>
          <w:b/>
          <w:bCs/>
          <w:color w:val="0B6E4F"/>
          <w:sz w:val="28"/>
          <w:szCs w:val="28"/>
        </w:rPr>
        <w:t>资金使用计划</w:t>
      </w:r>
    </w:p>
    <w:p>
      <w:pPr>
        <w:spacing w:before="200" w:after="100"/>
      </w:pPr>
      <w:r>
        <w:rPr>
          <w:rFonts w:ascii="Arial" w:hAnsi="Arial" w:eastAsia="Arial" w:cs="Arial"/>
          <w:b/>
          <w:bCs/>
          <w:color w:val="1B3A5C"/>
          <w:sz w:val="24"/>
          <w:szCs w:val="24"/>
        </w:rPr>
        <w:t>本轮3,000万（2026 Q3 — 2027 Q4）</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5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金额</w:t>
            </w:r>
          </w:p>
        </w:tc>
        <w:tc>
          <w:tcPr>
            <w:tcW w:w="5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市场运营</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900万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大湾区先行，Magen渠道激活，前100家付费客户深度服务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产品开发</w:t>
            </w:r>
          </w:p>
        </w:tc>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HengAI V2商业化迭代，四层架构技术深化，COP协议框架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方舟魔盒量产</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500万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首批3,000台，ODM/OEM合作，补丁升级机制建设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核心团队</w:t>
            </w:r>
          </w:p>
        </w:tc>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600万</w:t>
            </w:r>
          </w:p>
        </w:tc>
        <w:tc>
          <w:tcPr>
            <w:tcW w:w="5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碳技术专家、ZKP工程师、商务拓展、海外合规顾问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海外报关行布局</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400万</w:t>
            </w:r>
          </w:p>
        </w:tc>
        <w:tc>
          <w:tcPr>
            <w:tcW w:w="5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欧盟目标国（德国/荷兰/比利时）尽调，锁定收购或控股标的</w:t>
            </w:r>
          </w:p>
        </w:tc>
      </w:tr>
    </w:tbl>
    <w:p>
      <w:pPr>
        <w:spacing w:before="60" w:after="60"/>
      </w:pPr>
    </w:p>
    <w:p>
      <w:pPr>
        <w:spacing w:before="200" w:after="100"/>
      </w:pPr>
      <w:r>
        <w:rPr>
          <w:rFonts w:ascii="Arial" w:hAnsi="Arial" w:eastAsia="Arial" w:cs="Arial"/>
          <w:b/>
          <w:bCs/>
          <w:color w:val="1B3A5C"/>
          <w:sz w:val="24"/>
          <w:szCs w:val="24"/>
        </w:rPr>
        <w:t>Pre-A轮预案（2027 Q3启动，目标1.2亿元）</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600"/>
        <w:gridCol w:w="53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用途</w:t>
            </w:r>
          </w:p>
        </w:tc>
        <w:tc>
          <w:tcPr>
            <w:tcW w:w="16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金额</w:t>
            </w:r>
          </w:p>
        </w:tc>
        <w:tc>
          <w:tcPr>
            <w:tcW w:w="5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海外报关行收购</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5,000万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完成欧盟报关行收购或控股，获取授权申报人资质，打通CBAM最后一公里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全球南方市场</w:t>
            </w:r>
          </w:p>
        </w:tc>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越南、印度、土耳其，以中国客户供应链为导线进入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数据API商业化</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金融机构数据服务体系建设，绿色信贷评分引擎上线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GCA算力碳审计</w:t>
            </w:r>
          </w:p>
        </w:tc>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面向智算中心和储能资产的新业务线启动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APAK国际亮相+COP白皮书</w:t>
            </w:r>
          </w:p>
        </w:tc>
        <w:tc>
          <w:tcPr>
            <w:tcW w:w="16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500万</w:t>
            </w:r>
          </w:p>
        </w:tc>
        <w:tc>
          <w:tcPr>
            <w:tcW w:w="5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Carbon Ownership Summit首届，国际话语权建立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战略储备</w:t>
            </w:r>
          </w:p>
        </w:tc>
        <w:tc>
          <w:tcPr>
            <w:tcW w:w="16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1,000万</w:t>
            </w:r>
          </w:p>
        </w:tc>
        <w:tc>
          <w:tcPr>
            <w:tcW w:w="5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机会性收购和战略合作储备</w:t>
            </w:r>
          </w:p>
        </w:tc>
      </w:tr>
    </w:tbl>
    <w:p>
      <w:pPr>
        <w:spacing w:before="60" w:after="60"/>
      </w:pPr>
    </w:p>
    <w:p>
      <w:pPr>
        <w:spacing w:before="320" w:after="140"/>
      </w:pPr>
      <w:r>
        <w:rPr>
          <w:rFonts w:ascii="Arial" w:hAnsi="Arial" w:eastAsia="Arial" w:cs="Arial"/>
          <w:b/>
          <w:bCs/>
          <w:color w:val="0B6E4F"/>
          <w:sz w:val="28"/>
          <w:szCs w:val="28"/>
        </w:rPr>
        <w:t>季度现金流预测（2026 Q3 — 2027 Q4）</w:t>
      </w:r>
    </w:p>
    <w:p>
      <w:pPr>
        <w:spacing w:before="80" w:after="100"/>
        <w:jc w:val="both"/>
      </w:pPr>
      <w:r>
        <w:rPr>
          <w:rFonts w:ascii="Arial" w:hAnsi="Arial" w:eastAsia="Arial" w:cs="Arial"/>
          <w:b w:val="0"/>
          <w:bCs w:val="0"/>
          <w:i w:val="0"/>
          <w:iCs w:val="0"/>
          <w:color w:val="333333"/>
          <w:sz w:val="22"/>
          <w:szCs w:val="22"/>
        </w:rPr>
        <w:t>单位：人民币万元</w:t>
      </w:r>
    </w:p>
    <w:tbl>
      <w:tblPr>
        <w:tblStyle w:val="11"/>
        <w:tblW w:w="10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900"/>
        <w:gridCol w:w="900"/>
        <w:gridCol w:w="900"/>
        <w:gridCol w:w="900"/>
        <w:gridCol w:w="1300"/>
        <w:gridCol w:w="1300"/>
        <w:gridCol w:w="13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季度</w:t>
            </w:r>
          </w:p>
        </w:tc>
        <w:tc>
          <w:tcPr>
            <w:tcW w:w="9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营收</w:t>
            </w:r>
          </w:p>
        </w:tc>
        <w:tc>
          <w:tcPr>
            <w:tcW w:w="9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团队</w:t>
            </w:r>
          </w:p>
        </w:tc>
        <w:tc>
          <w:tcPr>
            <w:tcW w:w="9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市场</w:t>
            </w:r>
          </w:p>
        </w:tc>
        <w:tc>
          <w:tcPr>
            <w:tcW w:w="9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研发</w:t>
            </w:r>
          </w:p>
        </w:tc>
        <w:tc>
          <w:tcPr>
            <w:tcW w:w="1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魔盒</w:t>
            </w:r>
          </w:p>
        </w:tc>
        <w:tc>
          <w:tcPr>
            <w:tcW w:w="1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海外布局</w:t>
            </w:r>
          </w:p>
        </w:tc>
        <w:tc>
          <w:tcPr>
            <w:tcW w:w="13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净现金流</w:t>
            </w:r>
          </w:p>
        </w:tc>
        <w:tc>
          <w:tcPr>
            <w:tcW w:w="17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累计余额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融资入账</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+3,000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3,000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2026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25</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500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-705</w:t>
            </w:r>
          </w:p>
        </w:tc>
        <w:tc>
          <w:tcPr>
            <w:tcW w:w="1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2,295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149</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-131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2,164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Q1</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300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-120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Q2</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480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Q3</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720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100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150</w:t>
            </w:r>
          </w:p>
        </w:tc>
        <w:tc>
          <w:tcPr>
            <w:tcW w:w="13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+110</w:t>
            </w:r>
          </w:p>
        </w:tc>
        <w:tc>
          <w:tcPr>
            <w:tcW w:w="17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2,134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Q4</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1,000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130</w:t>
            </w:r>
          </w:p>
        </w:tc>
        <w:tc>
          <w:tcPr>
            <w:tcW w:w="9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80</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w:t>
            </w:r>
          </w:p>
        </w:tc>
        <w:tc>
          <w:tcPr>
            <w:tcW w:w="13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+640</w:t>
            </w:r>
          </w:p>
        </w:tc>
        <w:tc>
          <w:tcPr>
            <w:tcW w:w="17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2,774</w:t>
            </w:r>
          </w:p>
        </w:tc>
      </w:tr>
    </w:tbl>
    <w:p>
      <w:pPr>
        <w:spacing w:before="80" w:after="100"/>
        <w:jc w:val="both"/>
      </w:pPr>
      <w:r>
        <w:rPr>
          <w:rFonts w:ascii="Arial" w:hAnsi="Arial" w:eastAsia="Arial" w:cs="Arial"/>
          <w:b w:val="0"/>
          <w:bCs w:val="0"/>
          <w:i/>
          <w:iCs/>
          <w:color w:val="333333"/>
          <w:sz w:val="22"/>
          <w:szCs w:val="22"/>
        </w:rPr>
        <w:t>关键节点：2027年Q2首次接近月度盈亏平衡；2027年Q3首次实现季度正现金流；2027年Q4具备Pre-A轮融资充分筹码，资金余额2,774万，全程无资金压力。</w:t>
      </w:r>
    </w:p>
    <w:p>
      <w:r>
        <w:br w:type="page"/>
      </w:r>
    </w:p>
    <w:p>
      <w:pPr>
        <w:pBdr>
          <w:bottom w:val="single" w:color="C9A84C" w:sz="8" w:space="4"/>
        </w:pBdr>
        <w:spacing w:before="480" w:after="200"/>
      </w:pPr>
      <w:r>
        <w:rPr>
          <w:rFonts w:ascii="Arial" w:hAnsi="Arial" w:eastAsia="Arial" w:cs="Arial"/>
          <w:b/>
          <w:bCs/>
          <w:color w:val="1B3A5C"/>
          <w:sz w:val="36"/>
          <w:szCs w:val="36"/>
        </w:rPr>
        <w:t>拾壹  里程碑与退出路径</w:t>
      </w:r>
    </w:p>
    <w:p>
      <w:pPr>
        <w:spacing w:before="320" w:after="140"/>
      </w:pPr>
      <w:r>
        <w:rPr>
          <w:rFonts w:ascii="Arial" w:hAnsi="Arial" w:eastAsia="Arial" w:cs="Arial"/>
          <w:b/>
          <w:bCs/>
          <w:color w:val="0B6E4F"/>
          <w:sz w:val="28"/>
          <w:szCs w:val="28"/>
        </w:rPr>
        <w:t>关键里程碑</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时间</w:t>
            </w:r>
          </w:p>
        </w:tc>
        <w:tc>
          <w:tcPr>
            <w:tcW w:w="75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里程碑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2026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HengAI V2完整商业化上线，Magen渠道激活前50家付费企业客户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2026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供应链节点突破2,000家，发布首份行业碳强度基准报告，ARR突破500万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Q1</w:t>
            </w:r>
          </w:p>
        </w:tc>
        <w:tc>
          <w:tcPr>
            <w:tcW w:w="7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大湾区绿色信贷试点落地，首个银行数据服务协议签署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Q2</w:t>
            </w:r>
          </w:p>
        </w:tc>
        <w:tc>
          <w:tcPr>
            <w:tcW w:w="7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APAK国际亮相，COP碳所有权协议白皮书发布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2027 Q3</w:t>
            </w:r>
          </w:p>
        </w:tc>
        <w:tc>
          <w:tcPr>
            <w:tcW w:w="7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海外报关行尽调完成，Pre-A轮融资启动，ETS+GCA业务线开启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2027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ARR突破6,000万，Pre-A完成，报关行收购落地，专精特新认定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2028 Q2</w:t>
            </w:r>
          </w:p>
        </w:tc>
        <w:tc>
          <w:tcPr>
            <w:tcW w:w="75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国家碳足迹管理体系试点单位申请，Core Climate碳信用通道建立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2028 Q4</w:t>
            </w:r>
          </w:p>
        </w:tc>
        <w:tc>
          <w:tcPr>
            <w:tcW w:w="75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ARR突破4.5亿，具备A轮融资和分拆上市筹备条件</w:t>
            </w:r>
          </w:p>
        </w:tc>
      </w:tr>
    </w:tbl>
    <w:p>
      <w:pPr>
        <w:spacing w:before="60" w:after="60"/>
      </w:pPr>
    </w:p>
    <w:p>
      <w:pPr>
        <w:spacing w:before="320" w:after="140"/>
      </w:pPr>
      <w:r>
        <w:rPr>
          <w:rFonts w:ascii="Arial" w:hAnsi="Arial" w:eastAsia="Arial" w:cs="Arial"/>
          <w:b/>
          <w:bCs/>
          <w:color w:val="0B6E4F"/>
          <w:sz w:val="28"/>
          <w:szCs w:val="28"/>
        </w:rPr>
        <w:t>分拆上市路径</w:t>
      </w:r>
    </w:p>
    <w:p>
      <w:pPr>
        <w:spacing w:before="80" w:after="100"/>
        <w:jc w:val="both"/>
      </w:pPr>
      <w:r>
        <w:rPr>
          <w:rFonts w:ascii="Arial" w:hAnsi="Arial" w:eastAsia="Arial" w:cs="Arial"/>
          <w:b w:val="0"/>
          <w:bCs w:val="0"/>
          <w:i w:val="0"/>
          <w:iCs w:val="0"/>
          <w:color w:val="333333"/>
          <w:sz w:val="22"/>
          <w:szCs w:val="22"/>
        </w:rPr>
        <w:t>Co2Lion四层架构的每个维度具备独立的市场价值和上市条件，分拆上市是价值最大化的长期战略：</w:t>
      </w:r>
    </w:p>
    <w:tbl>
      <w:tblPr>
        <w:tblStyle w:val="11"/>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业务板块</w:t>
            </w:r>
          </w:p>
        </w:tc>
        <w:tc>
          <w:tcPr>
            <w:tcW w:w="32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目标市场</w:t>
            </w:r>
          </w:p>
        </w:tc>
        <w:tc>
          <w:tcPr>
            <w:tcW w:w="3100" w:type="dxa"/>
            <w:tcBorders>
              <w:top w:val="single" w:color="1B3A5C" w:sz="0" w:space="0"/>
              <w:left w:val="single" w:color="1B3A5C" w:sz="0" w:space="0"/>
              <w:bottom w:val="single" w:color="1B3A5C" w:sz="0" w:space="0"/>
              <w:right w:val="single" w:color="1B3A5C" w:sz="0" w:space="0"/>
            </w:tcBorders>
            <w:shd w:val="clear" w:color="auto" w:fill="1B3A5C"/>
            <w:noWrap w:val="0"/>
            <w:tcMar>
              <w:top w:w="80" w:type="dxa"/>
              <w:left w:w="120" w:type="dxa"/>
              <w:bottom w:w="80" w:type="dxa"/>
              <w:right w:w="120" w:type="dxa"/>
            </w:tcMar>
            <w:vAlign w:val="top"/>
          </w:tcPr>
          <w:p>
            <w:r>
              <w:rPr>
                <w:rFonts w:ascii="Arial" w:hAnsi="Arial" w:eastAsia="Arial" w:cs="Arial"/>
                <w:b/>
                <w:bCs/>
                <w:color w:val="FFFFFF"/>
                <w:sz w:val="20"/>
                <w:szCs w:val="20"/>
              </w:rPr>
              <w:t>目标时间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GEC+方舟关税碳盾</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港交所主板或科创板</w:t>
            </w:r>
          </w:p>
        </w:tc>
        <w:tc>
          <w:tcPr>
            <w:tcW w:w="31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2030—2031年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CL-IVC工业隐私协议</w:t>
            </w:r>
          </w:p>
        </w:tc>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科创板第三套标准（硬科技）</w:t>
            </w:r>
          </w:p>
        </w:tc>
        <w:tc>
          <w:tcPr>
            <w:tcW w:w="31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2029—2030年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能源资产信用映射+方舟魔盒</w:t>
            </w:r>
          </w:p>
        </w:tc>
        <w:tc>
          <w:tcPr>
            <w:tcW w:w="32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港交所或纳斯达克</w:t>
            </w:r>
          </w:p>
        </w:tc>
        <w:tc>
          <w:tcPr>
            <w:tcW w:w="3100" w:type="dxa"/>
            <w:tcBorders>
              <w:top w:val="single" w:color="CCCCCC" w:sz="0" w:space="0"/>
              <w:left w:val="single" w:color="CCCCCC" w:sz="0" w:space="0"/>
              <w:bottom w:val="single" w:color="CCCCCC" w:sz="0" w:space="0"/>
              <w:right w:val="single" w:color="CCCCCC" w:sz="0" w:space="0"/>
            </w:tcBorders>
            <w:shd w:val="clear" w:color="auto" w:fill="FFFFFF"/>
            <w:noWrap w:val="0"/>
            <w:tcMar>
              <w:top w:w="60" w:type="dxa"/>
              <w:left w:w="120" w:type="dxa"/>
              <w:bottom w:w="60" w:type="dxa"/>
              <w:right w:w="120" w:type="dxa"/>
            </w:tcMar>
            <w:vAlign w:val="top"/>
          </w:tcPr>
          <w:p>
            <w:r>
              <w:rPr>
                <w:rFonts w:ascii="Arial" w:hAnsi="Arial" w:eastAsia="Arial" w:cs="Arial"/>
                <w:color w:val="333333"/>
                <w:sz w:val="20"/>
                <w:szCs w:val="20"/>
              </w:rPr>
              <w:t>2031—2032年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ETS时空平移+GCA算力碳审计</w:t>
            </w:r>
          </w:p>
        </w:tc>
        <w:tc>
          <w:tcPr>
            <w:tcW w:w="32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科创板新兴产业专项</w:t>
            </w:r>
          </w:p>
        </w:tc>
        <w:tc>
          <w:tcPr>
            <w:tcW w:w="3100" w:type="dxa"/>
            <w:tcBorders>
              <w:top w:val="single" w:color="CCCCCC" w:sz="0" w:space="0"/>
              <w:left w:val="single" w:color="CCCCCC" w:sz="0" w:space="0"/>
              <w:bottom w:val="single" w:color="CCCCCC" w:sz="0" w:space="0"/>
              <w:right w:val="single" w:color="CCCCCC" w:sz="0" w:space="0"/>
            </w:tcBorders>
            <w:shd w:val="clear" w:color="auto" w:fill="F5F5F5"/>
            <w:noWrap w:val="0"/>
            <w:tcMar>
              <w:top w:w="60" w:type="dxa"/>
              <w:left w:w="120" w:type="dxa"/>
              <w:bottom w:w="60" w:type="dxa"/>
              <w:right w:w="120" w:type="dxa"/>
            </w:tcMar>
            <w:vAlign w:val="top"/>
          </w:tcPr>
          <w:p>
            <w:r>
              <w:rPr>
                <w:rFonts w:ascii="Arial" w:hAnsi="Arial" w:eastAsia="Arial" w:cs="Arial"/>
                <w:color w:val="333333"/>
                <w:sz w:val="20"/>
                <w:szCs w:val="20"/>
              </w:rPr>
              <w:t>2030—2031年</w:t>
            </w:r>
          </w:p>
        </w:tc>
      </w:tr>
    </w:tbl>
    <w:p>
      <w:pPr>
        <w:spacing w:before="80" w:after="100"/>
        <w:jc w:val="both"/>
      </w:pPr>
      <w:r>
        <w:rPr>
          <w:rFonts w:ascii="Arial" w:hAnsi="Arial" w:eastAsia="Arial" w:cs="Arial"/>
          <w:b w:val="0"/>
          <w:bCs w:val="0"/>
          <w:i w:val="0"/>
          <w:iCs w:val="0"/>
          <w:color w:val="333333"/>
          <w:sz w:val="22"/>
          <w:szCs w:val="22"/>
        </w:rPr>
        <w:t>Co2Lion母体作为控股公司，持有四个子公司控股权，在各子公司陆续上市后，母体市值将远高于任何单一子公司。本轮投资人可选择在任一子公司上市时退出，获得最优退出时机。</w:t>
      </w:r>
    </w:p>
    <w:p>
      <w:r>
        <w:br w:type="page"/>
      </w:r>
    </w:p>
    <w:p>
      <w:pPr>
        <w:spacing w:before="1200"/>
      </w:pPr>
    </w:p>
    <w:p>
      <w:pPr>
        <w:spacing w:before="400" w:after="200"/>
        <w:jc w:val="center"/>
      </w:pPr>
      <w:r>
        <w:rPr>
          <w:rFonts w:ascii="Arial" w:hAnsi="Arial" w:eastAsia="Arial" w:cs="Arial"/>
          <w:b/>
          <w:bCs/>
          <w:color w:val="1B3A5C"/>
          <w:sz w:val="40"/>
          <w:szCs w:val="40"/>
        </w:rPr>
        <w:t>数字文明，铸就大国承诺</w:t>
      </w:r>
    </w:p>
    <w:p>
      <w:pPr>
        <w:spacing w:before="0" w:after="400"/>
        <w:jc w:val="center"/>
      </w:pPr>
      <w:r>
        <w:rPr>
          <w:rFonts w:ascii="Arial" w:hAnsi="Arial" w:eastAsia="Arial" w:cs="Arial"/>
          <w:b/>
          <w:bCs/>
          <w:color w:val="0B6E4F"/>
          <w:sz w:val="40"/>
          <w:szCs w:val="40"/>
        </w:rPr>
        <w:t>方舟之盾，守护东方脊梁</w:t>
      </w:r>
    </w:p>
    <w:p>
      <w:pPr>
        <w:spacing w:before="200" w:after="80"/>
        <w:jc w:val="center"/>
      </w:pPr>
      <w:r>
        <w:rPr>
          <w:rFonts w:ascii="Arial" w:hAnsi="Arial" w:eastAsia="Arial" w:cs="Arial"/>
          <w:color w:val="444444"/>
          <w:sz w:val="28"/>
          <w:szCs w:val="28"/>
        </w:rPr>
        <w:t>Co2Lion · 方舟数字科技有限公司</w:t>
      </w:r>
    </w:p>
    <w:p>
      <w:pPr>
        <w:spacing w:before="40" w:after="40"/>
        <w:jc w:val="center"/>
      </w:pPr>
      <w:r>
        <w:rPr>
          <w:rFonts w:ascii="Arial" w:hAnsi="Arial" w:eastAsia="Arial" w:cs="Arial"/>
          <w:color w:val="666666"/>
          <w:sz w:val="24"/>
          <w:szCs w:val="24"/>
        </w:rPr>
        <w:t>www.co2lion.com  ·  co2lion.cn</w:t>
      </w:r>
    </w:p>
    <w:p>
      <w:pPr>
        <w:spacing w:before="40" w:after="40"/>
        <w:jc w:val="center"/>
      </w:pPr>
      <w:r>
        <w:rPr>
          <w:rFonts w:ascii="Arial" w:hAnsi="Arial" w:eastAsia="Arial" w:cs="Arial"/>
          <w:color w:val="666666"/>
          <w:sz w:val="24"/>
          <w:szCs w:val="24"/>
        </w:rPr>
        <w:t>深圳前海深港合作区</w:t>
      </w:r>
    </w:p>
    <w:p>
      <w:pPr>
        <w:spacing w:before="40" w:after="40"/>
        <w:jc w:val="center"/>
      </w:pPr>
      <w:r>
        <w:rPr>
          <w:rFonts w:ascii="Arial" w:hAnsi="Arial" w:eastAsia="Arial" w:cs="Arial"/>
          <w:i/>
          <w:iCs/>
          <w:color w:val="999999"/>
          <w:sz w:val="18"/>
          <w:szCs w:val="18"/>
        </w:rPr>
        <w:t>本文件含有商业机密，仅供被授权接收方阅读，请勿传阅</w:t>
      </w:r>
    </w:p>
    <w:sectPr>
      <w:pgSz w:w="11906" w:h="16838"/>
      <w:pgMar w:top="1200" w:right="1200" w:bottom="12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compat>
    <w:doNotLeaveBackslashAlon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FB7141"/>
    <w:rsid w:val="26CD0D37"/>
    <w:rsid w:val="4DE813F0"/>
    <w:rsid w:val="5A044C36"/>
    <w:rsid w:val="68486A2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semiHidden="0" w:name="endnote reference"/>
    <w:lsdException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outlineLvl w:val="0"/>
    </w:pPr>
    <w:rPr>
      <w:rFonts w:ascii="Arial" w:hAnsi="Arial" w:eastAsia="Arial" w:cs="Arial"/>
      <w:color w:val="2E74B5"/>
      <w:sz w:val="32"/>
      <w:szCs w:val="32"/>
    </w:rPr>
  </w:style>
  <w:style w:type="paragraph" w:styleId="3">
    <w:name w:val="heading 2"/>
    <w:next w:val="1"/>
    <w:qFormat/>
    <w:uiPriority w:val="0"/>
    <w:pPr>
      <w:outlineLvl w:val="1"/>
    </w:pPr>
    <w:rPr>
      <w:rFonts w:ascii="Arial" w:hAnsi="Arial" w:eastAsia="Arial" w:cs="Arial"/>
      <w:color w:val="2E74B5"/>
      <w:sz w:val="26"/>
      <w:szCs w:val="26"/>
    </w:rPr>
  </w:style>
  <w:style w:type="paragraph" w:styleId="4">
    <w:name w:val="heading 3"/>
    <w:next w:val="1"/>
    <w:qFormat/>
    <w:uiPriority w:val="0"/>
    <w:pPr>
      <w:outlineLvl w:val="2"/>
    </w:pPr>
    <w:rPr>
      <w:rFonts w:ascii="Arial" w:hAnsi="Arial" w:eastAsia="Arial" w:cs="Arial"/>
      <w:color w:val="1F4D78"/>
      <w:sz w:val="24"/>
      <w:szCs w:val="24"/>
    </w:rPr>
  </w:style>
  <w:style w:type="paragraph" w:styleId="5">
    <w:name w:val="heading 4"/>
    <w:next w:val="1"/>
    <w:qFormat/>
    <w:uiPriority w:val="0"/>
    <w:pPr>
      <w:outlineLvl w:val="3"/>
    </w:pPr>
    <w:rPr>
      <w:rFonts w:ascii="Arial" w:hAnsi="Arial" w:eastAsia="Arial" w:cs="Arial"/>
      <w:i/>
      <w:iCs/>
      <w:color w:val="2E74B5"/>
      <w:sz w:val="22"/>
      <w:szCs w:val="22"/>
    </w:rPr>
  </w:style>
  <w:style w:type="paragraph" w:styleId="6">
    <w:name w:val="heading 5"/>
    <w:next w:val="1"/>
    <w:qFormat/>
    <w:uiPriority w:val="0"/>
    <w:pPr>
      <w:outlineLvl w:val="4"/>
    </w:pPr>
    <w:rPr>
      <w:rFonts w:ascii="Arial" w:hAnsi="Arial" w:eastAsia="Arial" w:cs="Arial"/>
      <w:color w:val="2E74B5"/>
      <w:sz w:val="22"/>
      <w:szCs w:val="22"/>
    </w:rPr>
  </w:style>
  <w:style w:type="paragraph" w:styleId="7">
    <w:name w:val="heading 6"/>
    <w:next w:val="1"/>
    <w:qFormat/>
    <w:uiPriority w:val="0"/>
    <w:pPr>
      <w:outlineLvl w:val="5"/>
    </w:pPr>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Style w:val="11"/>
      <w:tblCellMar>
        <w:top w:w="0" w:type="dxa"/>
        <w:left w:w="108" w:type="dxa"/>
        <w:bottom w:w="0" w:type="dxa"/>
        <w:right w:w="108" w:type="dxa"/>
      </w:tblCellMar>
    </w:tblPr>
  </w:style>
  <w:style w:type="paragraph" w:styleId="8">
    <w:name w:val="endnote text"/>
    <w:link w:val="16"/>
    <w:unhideWhenUsed/>
    <w:uiPriority w:val="99"/>
    <w:pPr>
      <w:spacing w:after="0" w:line="240" w:lineRule="auto"/>
    </w:pPr>
    <w:rPr>
      <w:rFonts w:ascii="Arial" w:hAnsi="Arial" w:eastAsia="Arial" w:cs="Arial"/>
      <w:sz w:val="20"/>
      <w:szCs w:val="20"/>
    </w:rPr>
  </w:style>
  <w:style w:type="paragraph" w:styleId="9">
    <w:name w:val="footnote text"/>
    <w:link w:val="17"/>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unhideWhenUsed/>
    <w:uiPriority w:val="99"/>
    <w:rPr>
      <w:vertAlign w:val="superscript"/>
    </w:rPr>
  </w:style>
  <w:style w:type="character" w:customStyle="1" w:styleId="16">
    <w:name w:val="Endnote Text Char"/>
    <w:link w:val="8"/>
    <w:unhideWhenUsed/>
    <w:uiPriority w:val="99"/>
    <w:rPr>
      <w:sz w:val="20"/>
      <w:szCs w:val="20"/>
    </w:rPr>
  </w:style>
  <w:style w:type="character" w:customStyle="1" w:styleId="17">
    <w:name w:val="Footnote Text Char"/>
    <w:link w:val="9"/>
    <w:unhideWhenUsed/>
    <w:uiPriority w:val="99"/>
    <w:rPr>
      <w:sz w:val="20"/>
      <w:szCs w:val="20"/>
    </w:rPr>
  </w:style>
  <w:style w:type="paragraph" w:styleId="18">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254</Words>
  <Characters>335</Characters>
  <TotalTime>23</TotalTime>
  <ScaleCrop>false</ScaleCrop>
  <LinksUpToDate>false</LinksUpToDate>
  <CharactersWithSpaces>357</CharactersWithSpaces>
  <Application>WPS Office_12.8.2.15091_F1E327BC-269C-435d-A152-05C5408002CA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2026-06-06T06:04:00Z</dcterms:created>
  <dc:creator>Un-named</dc:creator>
  <cp:lastModifiedBy>wps</cp:lastModifiedBy>
  <dcterms:modified xsi:type="dcterms:W3CDTF">2026-06-26T13:03:26Z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eyJoZGlkIjoiNDg1MjY0MjBkOWRjMjUwNTY4Y2E1YjA3YTMwZDk3Y2YiLCJ1c2VySWQiOiI2MzA0MDI2NzEifQ==</vt:lpwstr>
  </property>
  <property fmtid="{D5CDD505-2E9C-101B-9397-08002B2CF9AE}" pid="3" name="KSOProductBuildVer">
    <vt:lpwstr>2052-12.8.2.15091</vt:lpwstr>
  </property>
  <property fmtid="{D5CDD505-2E9C-101B-9397-08002B2CF9AE}" pid="4" name="ICV">
    <vt:lpwstr>A1CED8AC488E403B9D4C9DF3BB1DBE6A_13</vt:lpwstr>
  </property>
</Properties>
</file>