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numPr>
          <w:ilvl w:val="0"/>
          <w:numId w:val="34"/>
        </w:numPr>
        <w:snapToGrid w:val="false"/>
        <w:spacing/>
        <w:ind w:firstLineChars="3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demo下载：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目前涂鸦已经适配的芯片平台，包括bk3431q、bk3432、nrf52832、tlsr825x、RTL8762C、Psoc63等，下载链接如下：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hyperlink r:id="rId9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BLE SDK Demo 说明-文档中心-涂鸦开发者</w:t>
        </w:r>
      </w:hyperlink>
    </w:p>
    <w:p>
      <w:pPr>
        <w:numPr>
          <w:ilvl w:val="0"/>
          <w:numId w:val="34"/>
        </w:numPr>
        <w:snapToGrid w:val="false"/>
        <w:spacing/>
        <w:ind w:firstLineChars="3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需要修改代码哪些地方就可以完成配网（以BK3432 demo为例，其它demo也是一样的修改方法）：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准备工作：1、正常安装好keil开发环境，并安装arm9的兼容包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2、涂鸦iot平台创建好产品，获取免费激活码，用于授权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3、打开下载好的demo工程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针对以上2、3两点，特意截图说明，如下：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57597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领取方式，选择授权码清单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399021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然后在采购订单栏下，就可以下载授权码清单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375457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以上就是授权码清单领取过程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564381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准备工作完成之后，以下就是指导如何修改demo中的内容，方便客户快速完成配网功能：</w:t>
      </w:r>
    </w:p>
    <w:p>
      <w:pPr>
        <w:numPr>
          <w:ilvl w:val="0"/>
          <w:numId w:val="33"/>
        </w:numPr>
        <w:snapToGrid w:val="false"/>
        <w:spacing/>
        <w:ind w:firstLineChars="3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修改app_tuya.h中定义的产品pid，将自己在iot平台创建的产品pid在以下地方修改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740872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991100" cy="876300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3"/>
        </w:numPr>
        <w:snapToGrid w:val="false"/>
        <w:spacing/>
        <w:ind w:firstLineChars="3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修改app_tuya.c中定义的授权码，用于授权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593796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打开上面准备工作获取的授权码清单excel表格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647839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将对应项copy到代码中对应数组即可，注意：一个三元组只能用于一个设备授权</w:t>
      </w:r>
    </w:p>
    <w:p>
      <w:pPr>
        <w:numPr>
          <w:ilvl w:val="0"/>
          <w:numId w:val="33"/>
        </w:numPr>
        <w:snapToGrid w:val="false"/>
        <w:spacing/>
        <w:ind w:firstLineChars="3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修改app_tuya.c中</w:t>
      </w:r>
      <w:r>
        <w:rPr>
          <w:rFonts w:hint="eastAsia"/>
        </w:rPr>
      </w: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static void tuya_ble_app_init(void)</w:t>
      </w:r>
      <w:r>
        <w:rPr>
          <w:rFonts w:hint="eastAsia"/>
        </w:rPr>
      </w: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该接口下定义的device_id_len长度修改为16</w:t>
      </w:r>
    </w:p>
    <w:p>
      <w:pPr>
        <w:snapToGrid w:val="false"/>
        <w:spacing/>
        <w:ind w:left="0"/>
        <w:jc w:val="left"/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</w:pP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drawing>
          <wp:inline distT="0" distB="0" distL="0" distR="0">
            <wp:extent cx="5274310" cy="2397413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left="0"/>
        <w:jc w:val="left"/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</w:pP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特此解释，</w:t>
      </w: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device_param.device_id_len</w:t>
      </w: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等于0或者16时，表示什么意思？</w:t>
      </w:r>
    </w:p>
    <w:p>
      <w:pPr>
        <w:snapToGrid w:val="false"/>
        <w:spacing/>
        <w:ind w:left="0"/>
        <w:jc w:val="left"/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</w:pPr>
      <w:r>
        <w:rPr>
          <w:rFonts w:ascii="&quot;SF Pro&quot;,&quot;PingFang SC&quot;,&quot;Microsoft YaHei&quot;,微软雅黑,&quot;Noto Sans CJK SC&quot;,sans-serif,Roboto,&quot;Droid Sans&quot;,Helvetica,Tahoma,Arial,&quot;Hiragino Sans GB&quot;,&quot;Heiti SC&quot;" w:hAnsi="&quot;SF Pro&quot;,&quot;PingFang SC&quot;,&quot;Microsoft YaHei&quot;,微软雅黑,&quot;Noto Sans CJK SC&quot;,sans-serif,Roboto,&quot;Droid Sans&quot;,Helvetica,Tahoma,Arial,&quot;Hiragino Sans GB&quot;,&quot;Heiti SC&quot;" w:eastAsia="&quot;SF Pro&quot;,&quot;PingFang SC&quot;,&quot;Microsoft YaHei&quot;,微软雅黑,&quot;Noto Sans CJK SC&quot;,sans-serif,Roboto,&quot;Droid Sans&quot;,Helvetica,Tahoma,Arial,&quot;Hiragino Sans GB&quot;,&quot;Heiti SC&quot;"/>
          <w:color w:val="111"/>
          <w:spacing w:val="0"/>
          <w:sz w:val="22"/>
          <w:szCs w:val="22"/>
        </w:rPr>
        <w:t>等于0时，是用于批量生产阶段，授权是需要通过涂鸦的上位机软件完成；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等于16时，是用于研发工程师调试阶段，授权用上面修改的授权码三元组即可完成授权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完成以上步骤，就可以去编译固件，将编译后的固件烧录到自己设备中，即可用涂鸦app去完成配网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、"/>
      <w:lvlJc w:val="left"/>
      <w:pPr>
        <w:ind w:left="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84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26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168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10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5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2940" w:hanging="420"/>
      </w:pPr>
      <w:rPr>
        <w:rFonts w:hint="default" w:ascii="Cambria" w:hAnsi="Cambria" w:eastAsia="Cambria"/>
      </w:rPr>
    </w:lvl>
  </w:abstractNum>
  <w:abstractNum w:abstractNumId="34">
    <w:multiLevelType w:val="multilevel"/>
    <w:lvl w:ilvl="0" w:tentative="false">
      <w:start w:val="1"/>
      <w:numFmt w:val="chineseCountingThousand"/>
      <w:lvlText w:val="%1、"/>
      <w:lvlJc w:val="left"/>
      <w:pPr>
        <w:ind w:left="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84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26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168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10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5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294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developer.tuya.com/cn/docs/iot/tuya-ble-sdk-demo-instruction-manual?id=K9gq09szmvy2o#title-0-Demo%20%E4%B8%8B%E8%BD%BD" Type="http://schemas.openxmlformats.org/officeDocument/2006/relationships/hyperlink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Relationship Target="media/document_image_rId18.png" Type="http://schemas.openxmlformats.org/officeDocument/2006/relationships/image" Id="rId18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