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A1379">
      <w:pPr>
        <w:pStyle w:val="2"/>
        <w:rPr>
          <w:rFonts w:ascii="Times New Roman" w:hAnsi="Times New Roman" w:eastAsia="宋体"/>
          <w:sz w:val="36"/>
          <w:szCs w:val="96"/>
        </w:rPr>
      </w:pPr>
      <w:r>
        <w:rPr>
          <w:rFonts w:ascii="Times New Roman" w:hAnsi="Times New Roman" w:eastAsia="宋体"/>
          <w:sz w:val="36"/>
          <w:szCs w:val="96"/>
        </w:rPr>
        <w:t>CatalystFlow 队伍最终结果与分析</w:t>
      </w:r>
    </w:p>
    <w:p w14:paraId="1B49DE01">
      <w:pPr>
        <w:pStyle w:val="4"/>
        <w:rPr>
          <w:rFonts w:ascii="Times New Roman" w:hAnsi="Times New Roman" w:eastAsia="宋体"/>
          <w:sz w:val="24"/>
        </w:rPr>
      </w:pPr>
      <w:r>
        <w:rPr>
          <w:rFonts w:ascii="Times New Roman" w:hAnsi="Times New Roman" w:eastAsia="宋体"/>
          <w:sz w:val="24"/>
        </w:rPr>
        <w:t>本报告所有数值均来自模型冻结后的独立顺序优化轨迹，而非对全体候选的一次性预测。</w:t>
      </w:r>
    </w:p>
    <w:p w14:paraId="312D3AAD">
      <w:pPr>
        <w:pStyle w:val="4"/>
        <w:spacing w:after="120"/>
        <w:rPr>
          <w:rFonts w:ascii="Times New Roman" w:hAnsi="Times New Roman" w:eastAsia="宋体"/>
          <w:sz w:val="24"/>
        </w:rPr>
      </w:pPr>
      <w:r>
        <w:rPr>
          <w:rFonts w:ascii="Times New Roman" w:hAnsi="Times New Roman" w:eastAsia="宋体"/>
          <w:sz w:val="24"/>
        </w:rPr>
        <w:t>术语说明：本文所称“代理模型”是指以较低成本近似“反应条件→产率”关系的预测模型。它当然属于模型；“代理”一词强调其在顺序优化中代替昂贵真实实验（或离线预言器）输出预测均值与不确定性，从而支持候选选择。本项目的代理模型具体由随机森林和/或高斯过程实现。</w:t>
      </w:r>
    </w:p>
    <w:p w14:paraId="7BD6860E">
      <w:pPr>
        <w:pStyle w:val="5"/>
        <w:rPr>
          <w:rFonts w:ascii="Times New Roman" w:hAnsi="Times New Roman" w:eastAsia="宋体"/>
          <w:sz w:val="24"/>
        </w:rPr>
      </w:pPr>
      <w:r>
        <w:rPr>
          <w:rFonts w:ascii="Times New Roman" w:hAnsi="Times New Roman" w:eastAsia="宋体"/>
          <w:sz w:val="24"/>
        </w:rPr>
        <w:t>1. 最终评测协议</w:t>
      </w:r>
    </w:p>
    <w:p w14:paraId="6FE1C20A">
      <w:pPr>
        <w:pStyle w:val="4"/>
        <w:numPr>
          <w:ilvl w:val="0"/>
          <w:numId w:val="1"/>
        </w:numPr>
        <w:spacing w:after="0"/>
        <w:rPr>
          <w:rFonts w:ascii="Times New Roman" w:hAnsi="Times New Roman" w:eastAsia="宋体"/>
          <w:sz w:val="24"/>
        </w:rPr>
      </w:pPr>
      <w:r>
        <w:rPr>
          <w:rFonts w:ascii="Times New Roman" w:hAnsi="Times New Roman" w:eastAsia="宋体"/>
          <w:sz w:val="24"/>
        </w:rPr>
        <w:t>数据集：Suzuki 与 Buchwald-Hartwig（项目内部数据集标识为 Buchwald_sub4），分别独立运行；</w:t>
      </w:r>
    </w:p>
    <w:p w14:paraId="42DDFCAF">
      <w:pPr>
        <w:pStyle w:val="4"/>
        <w:numPr>
          <w:ilvl w:val="0"/>
          <w:numId w:val="1"/>
        </w:numPr>
        <w:spacing w:after="0"/>
        <w:rPr>
          <w:rFonts w:ascii="Times New Roman" w:hAnsi="Times New Roman" w:eastAsia="宋体"/>
          <w:sz w:val="24"/>
        </w:rPr>
      </w:pPr>
      <w:r>
        <w:rPr>
          <w:rFonts w:ascii="Times New Roman" w:hAnsi="Times New Roman" w:eastAsia="宋体"/>
          <w:sz w:val="24"/>
        </w:rPr>
        <w:t>随机种子：100、200、……、2000，共 20 个；</w:t>
      </w:r>
    </w:p>
    <w:p w14:paraId="59339393">
      <w:pPr>
        <w:pStyle w:val="4"/>
        <w:numPr>
          <w:ilvl w:val="0"/>
          <w:numId w:val="1"/>
        </w:numPr>
        <w:spacing w:after="0"/>
        <w:rPr>
          <w:rFonts w:ascii="Times New Roman" w:hAnsi="Times New Roman" w:eastAsia="宋体"/>
          <w:sz w:val="24"/>
        </w:rPr>
      </w:pPr>
      <w:r>
        <w:rPr>
          <w:rFonts w:ascii="Times New Roman" w:hAnsi="Times New Roman" w:eastAsia="宋体"/>
          <w:sz w:val="24"/>
        </w:rPr>
        <w:t>每个随机种子运行 40 轮，每轮只选择 1 个未查询候选；</w:t>
      </w:r>
    </w:p>
    <w:p w14:paraId="2AB14B9D">
      <w:pPr>
        <w:pStyle w:val="4"/>
        <w:numPr>
          <w:ilvl w:val="0"/>
          <w:numId w:val="1"/>
        </w:numPr>
        <w:spacing w:after="0"/>
        <w:rPr>
          <w:rFonts w:ascii="Times New Roman" w:hAnsi="Times New Roman" w:eastAsia="宋体"/>
          <w:sz w:val="24"/>
        </w:rPr>
      </w:pPr>
      <w:r>
        <w:rPr>
          <w:rFonts w:ascii="Times New Roman" w:hAnsi="Times New Roman" w:eastAsia="宋体"/>
          <w:sz w:val="24"/>
        </w:rPr>
        <w:t>汇总指标：均值、样本标准差和基于 t 分布的 95% 置信区间；</w:t>
      </w:r>
    </w:p>
    <w:p w14:paraId="6EAE9E60">
      <w:pPr>
        <w:pStyle w:val="4"/>
        <w:numPr>
          <w:ilvl w:val="0"/>
          <w:numId w:val="1"/>
        </w:numPr>
        <w:spacing w:after="0"/>
        <w:rPr>
          <w:rFonts w:ascii="Times New Roman" w:hAnsi="Times New Roman" w:eastAsia="宋体"/>
          <w:sz w:val="24"/>
        </w:rPr>
      </w:pPr>
      <w:r>
        <w:rPr>
          <w:rFonts w:ascii="Times New Roman" w:hAnsi="Times New Roman" w:eastAsia="宋体"/>
          <w:sz w:val="24"/>
        </w:rPr>
        <w:t>若未达到 t95 阈值，则记为 41；</w:t>
      </w:r>
    </w:p>
    <w:p w14:paraId="3BFEA8A2">
      <w:pPr>
        <w:pStyle w:val="4"/>
        <w:numPr>
          <w:ilvl w:val="0"/>
          <w:numId w:val="1"/>
        </w:numPr>
        <w:rPr>
          <w:rFonts w:ascii="Times New Roman" w:hAnsi="Times New Roman" w:eastAsia="宋体"/>
          <w:sz w:val="24"/>
        </w:rPr>
      </w:pPr>
      <w:r>
        <w:rPr>
          <w:rFonts w:ascii="Times New Roman" w:hAnsi="Times New Roman" w:eastAsia="宋体"/>
          <w:sz w:val="24"/>
        </w:rPr>
        <w:t>模型在运行前冻结；测试产率仅在候选索引确定后由离线预言器（OfflineOracle）按索引返回。</w:t>
      </w:r>
    </w:p>
    <w:p w14:paraId="0333F4FA">
      <w:pPr>
        <w:pStyle w:val="4"/>
        <w:wordWrap w:val="0"/>
        <w:spacing w:after="0" w:line="360" w:lineRule="auto"/>
        <w:ind w:firstLine="480" w:firstLineChars="200"/>
        <w:contextualSpacing/>
        <w:rPr>
          <w:rFonts w:ascii="Times New Roman" w:hAnsi="Times New Roman" w:eastAsia="宋体"/>
          <w:sz w:val="24"/>
        </w:rPr>
      </w:pPr>
      <w:r>
        <w:rPr>
          <w:rFonts w:ascii="Times New Roman" w:hAnsi="Times New Roman" w:eastAsia="宋体"/>
          <w:sz w:val="24"/>
        </w:rPr>
        <w:t>本报告中 AUC 指 40 轮截至当前轮累计最优产率（best-so-far）序列的算术平均，不是分类任务中的 ROC-AUC；t95 指首次达到候选池全局最高产率 95% 的轮数。统一入口为 code/main/run_selected.py；模型比较图和补充统计均在模型与 40 轮轨迹冻结后生成，不返回优化器，也不用于参数选择或候选排序。</w:t>
      </w:r>
    </w:p>
    <w:p w14:paraId="7B49DDBA">
      <w:pPr>
        <w:pStyle w:val="5"/>
        <w:rPr>
          <w:rFonts w:hint="eastAsia" w:ascii="Times New Roman" w:hAnsi="Times New Roman" w:eastAsia="宋体"/>
          <w:sz w:val="24"/>
        </w:rPr>
      </w:pPr>
      <w:r>
        <w:rPr>
          <w:rFonts w:ascii="Times New Roman" w:hAnsi="Times New Roman" w:eastAsia="宋体"/>
          <w:sz w:val="24"/>
        </w:rPr>
        <w:t>2. 原始数据范围、全局最高值与命中情况</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2708"/>
        <w:gridCol w:w="937"/>
        <w:gridCol w:w="1554"/>
        <w:gridCol w:w="3203"/>
      </w:tblGrid>
      <w:tr w14:paraId="3F2D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02" w:type="pct"/>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2117C4F5">
            <w:pPr>
              <w:suppressAutoHyphens w:val="0"/>
              <w:spacing w:line="276" w:lineRule="auto"/>
              <w:jc w:val="center"/>
              <w:rPr>
                <w:rFonts w:ascii="Times New Roman" w:hAnsi="Times New Roman" w:eastAsia="宋体"/>
                <w:b w:val="0"/>
                <w:color w:val="000000"/>
                <w:sz w:val="24"/>
                <w:szCs w:val="18"/>
                <w:lang w:eastAsia="en-US" w:bidi="ar-SA"/>
              </w:rPr>
            </w:pPr>
            <w:bookmarkStart w:id="0" w:name="OLE_LINK1"/>
            <w:r>
              <w:rPr>
                <w:rFonts w:ascii="Times New Roman" w:hAnsi="Times New Roman" w:eastAsia="宋体"/>
                <w:b w:val="0"/>
                <w:color w:val="000000"/>
                <w:sz w:val="24"/>
                <w:szCs w:val="18"/>
                <w:lang w:eastAsia="en-US" w:bidi="ar-SA"/>
              </w:rPr>
              <w:t>数据集</w:t>
            </w:r>
          </w:p>
        </w:tc>
        <w:tc>
          <w:tcPr>
            <w:tcW w:w="1347" w:type="pct"/>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27EBB782">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初始训练信息</w:t>
            </w:r>
          </w:p>
        </w:tc>
        <w:tc>
          <w:tcPr>
            <w:tcW w:w="480" w:type="pct"/>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18EBBB2A">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候选池</w:t>
            </w:r>
          </w:p>
        </w:tc>
        <w:tc>
          <w:tcPr>
            <w:tcW w:w="782" w:type="pct"/>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2677F1EE">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候选池最高产率</w:t>
            </w:r>
          </w:p>
        </w:tc>
        <w:tc>
          <w:tcPr>
            <w:tcW w:w="1589" w:type="pct"/>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62890FBA">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需要特别说明的边界</w:t>
            </w:r>
          </w:p>
        </w:tc>
      </w:tr>
      <w:tr w14:paraId="6B49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802" w:type="pct"/>
            <w:tcBorders>
              <w:top w:val="single" w:color="000000" w:sz="4" w:space="0"/>
              <w:left w:val="nil"/>
              <w:bottom w:val="nil"/>
              <w:right w:val="nil"/>
            </w:tcBorders>
            <w:shd w:val="clear" w:color="auto" w:fill="FFFFFF"/>
            <w:vAlign w:val="center"/>
          </w:tcPr>
          <w:p w14:paraId="42E54BA1">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Suzuki–Miyaura</w:t>
            </w:r>
          </w:p>
        </w:tc>
        <w:tc>
          <w:tcPr>
            <w:tcW w:w="1347" w:type="pct"/>
            <w:tcBorders>
              <w:top w:val="single" w:color="000000" w:sz="4" w:space="0"/>
              <w:left w:val="nil"/>
              <w:bottom w:val="nil"/>
              <w:right w:val="nil"/>
            </w:tcBorders>
            <w:shd w:val="clear" w:color="auto" w:fill="FFFFFF"/>
            <w:vAlign w:val="center"/>
          </w:tcPr>
          <w:p w14:paraId="719325D8">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29 条；0–71.51%</w:t>
            </w:r>
          </w:p>
        </w:tc>
        <w:tc>
          <w:tcPr>
            <w:tcW w:w="480" w:type="pct"/>
            <w:tcBorders>
              <w:top w:val="single" w:color="000000" w:sz="4" w:space="0"/>
              <w:left w:val="nil"/>
              <w:bottom w:val="nil"/>
              <w:right w:val="nil"/>
            </w:tcBorders>
            <w:shd w:val="clear" w:color="auto" w:fill="FFFFFF"/>
            <w:vAlign w:val="center"/>
          </w:tcPr>
          <w:p w14:paraId="351FBED0">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5,731 条</w:t>
            </w:r>
          </w:p>
        </w:tc>
        <w:tc>
          <w:tcPr>
            <w:tcW w:w="782" w:type="pct"/>
            <w:tcBorders>
              <w:top w:val="single" w:color="000000" w:sz="4" w:space="0"/>
              <w:left w:val="nil"/>
              <w:bottom w:val="nil"/>
              <w:right w:val="nil"/>
            </w:tcBorders>
            <w:shd w:val="clear" w:color="auto" w:fill="FFFFFF"/>
            <w:vAlign w:val="center"/>
          </w:tcPr>
          <w:p w14:paraId="1DE80868">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99.90%</w:t>
            </w:r>
            <w:r>
              <w:rPr>
                <w:rFonts w:ascii="Times New Roman" w:hAnsi="Times New Roman" w:eastAsia="宋体"/>
                <w:b w:val="0"/>
                <w:color w:val="000000"/>
                <w:sz w:val="24"/>
                <w:szCs w:val="18"/>
                <w:lang w:eastAsia="en-US" w:bidi="ar-SA"/>
              </w:rPr>
              <w:br w:type="textWrapping"/>
            </w:r>
            <w:r>
              <w:rPr>
                <w:rFonts w:ascii="Times New Roman" w:hAnsi="Times New Roman" w:eastAsia="宋体"/>
                <w:b w:val="0"/>
                <w:color w:val="000000"/>
                <w:sz w:val="24"/>
                <w:szCs w:val="18"/>
                <w:lang w:eastAsia="en-US" w:bidi="ar-SA"/>
              </w:rPr>
              <w:t>（3 个候选）</w:t>
            </w:r>
          </w:p>
        </w:tc>
        <w:tc>
          <w:tcPr>
            <w:tcW w:w="1589" w:type="pct"/>
            <w:tcBorders>
              <w:top w:val="single" w:color="000000" w:sz="4" w:space="0"/>
              <w:left w:val="nil"/>
              <w:bottom w:val="nil"/>
              <w:right w:val="nil"/>
            </w:tcBorders>
            <w:shd w:val="clear" w:color="auto" w:fill="FFFFFF"/>
            <w:vAlign w:val="center"/>
          </w:tcPr>
          <w:p w14:paraId="69974543">
            <w:pPr>
              <w:suppressAutoHyphens w:val="0"/>
              <w:spacing w:line="276" w:lineRule="auto"/>
              <w:jc w:val="center"/>
              <w:rPr>
                <w:rFonts w:ascii="Times New Roman" w:hAnsi="Times New Roman" w:eastAsia="宋体"/>
                <w:b w:val="0"/>
                <w:color w:val="000000"/>
                <w:sz w:val="24"/>
                <w:szCs w:val="18"/>
                <w:lang w:eastAsia="en-US" w:bidi="ar-SA"/>
              </w:rPr>
            </w:pPr>
            <w:r>
              <w:rPr>
                <w:rFonts w:hint="eastAsia" w:ascii="Times New Roman" w:hAnsi="Times New Roman" w:eastAsia="宋体"/>
                <w:b w:val="0"/>
                <w:color w:val="000000"/>
                <w:sz w:val="24"/>
                <w:szCs w:val="18"/>
                <w:lang w:eastAsia="en-US" w:bidi="ar-SA"/>
              </w:rPr>
              <w:t>无</w:t>
            </w:r>
          </w:p>
        </w:tc>
      </w:tr>
      <w:tr w14:paraId="27E3F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802" w:type="pct"/>
            <w:tcBorders>
              <w:top w:val="nil"/>
              <w:left w:val="nil"/>
              <w:bottom w:val="single" w:color="000000" w:sz="12" w:space="0"/>
              <w:right w:val="nil"/>
            </w:tcBorders>
            <w:shd w:val="clear" w:color="auto" w:fill="FFFFFF"/>
            <w:vAlign w:val="center"/>
          </w:tcPr>
          <w:p w14:paraId="6A966480">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Buchwald_sub4</w:t>
            </w:r>
          </w:p>
        </w:tc>
        <w:tc>
          <w:tcPr>
            <w:tcW w:w="1347" w:type="pct"/>
            <w:tcBorders>
              <w:top w:val="nil"/>
              <w:left w:val="nil"/>
              <w:bottom w:val="single" w:color="000000" w:sz="12" w:space="0"/>
              <w:right w:val="nil"/>
            </w:tcBorders>
            <w:shd w:val="clear" w:color="auto" w:fill="FFFFFF"/>
            <w:vAlign w:val="center"/>
          </w:tcPr>
          <w:p w14:paraId="269A6808">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35 条跨 5 个产物；目标产物仅 7 条，初始最高 45.3883%</w:t>
            </w:r>
          </w:p>
        </w:tc>
        <w:tc>
          <w:tcPr>
            <w:tcW w:w="480" w:type="pct"/>
            <w:tcBorders>
              <w:top w:val="nil"/>
              <w:left w:val="nil"/>
              <w:bottom w:val="single" w:color="000000" w:sz="12" w:space="0"/>
              <w:right w:val="nil"/>
            </w:tcBorders>
            <w:shd w:val="clear" w:color="auto" w:fill="FFFFFF"/>
            <w:vAlign w:val="center"/>
          </w:tcPr>
          <w:p w14:paraId="0C95B31B">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783 条</w:t>
            </w:r>
          </w:p>
        </w:tc>
        <w:tc>
          <w:tcPr>
            <w:tcW w:w="782" w:type="pct"/>
            <w:tcBorders>
              <w:top w:val="nil"/>
              <w:left w:val="nil"/>
              <w:bottom w:val="single" w:color="000000" w:sz="12" w:space="0"/>
              <w:right w:val="nil"/>
            </w:tcBorders>
            <w:shd w:val="clear" w:color="auto" w:fill="FFFFFF"/>
            <w:vAlign w:val="center"/>
          </w:tcPr>
          <w:p w14:paraId="6604CF20">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86.5976%</w:t>
            </w:r>
            <w:r>
              <w:rPr>
                <w:rFonts w:ascii="Times New Roman" w:hAnsi="Times New Roman" w:eastAsia="宋体"/>
                <w:b w:val="0"/>
                <w:color w:val="000000"/>
                <w:sz w:val="24"/>
                <w:szCs w:val="18"/>
                <w:lang w:eastAsia="en-US" w:bidi="ar-SA"/>
              </w:rPr>
              <w:br w:type="textWrapping"/>
            </w:r>
            <w:r>
              <w:rPr>
                <w:rFonts w:ascii="Times New Roman" w:hAnsi="Times New Roman" w:eastAsia="宋体"/>
                <w:b w:val="0"/>
                <w:color w:val="000000"/>
                <w:sz w:val="24"/>
                <w:szCs w:val="18"/>
                <w:lang w:eastAsia="en-US" w:bidi="ar-SA"/>
              </w:rPr>
              <w:t>（1 个候选）</w:t>
            </w:r>
          </w:p>
        </w:tc>
        <w:tc>
          <w:tcPr>
            <w:tcW w:w="1589" w:type="pct"/>
            <w:tcBorders>
              <w:top w:val="nil"/>
              <w:left w:val="nil"/>
              <w:bottom w:val="single" w:color="000000" w:sz="12" w:space="0"/>
              <w:right w:val="nil"/>
            </w:tcBorders>
            <w:shd w:val="clear" w:color="auto" w:fill="FFFFFF"/>
            <w:vAlign w:val="center"/>
          </w:tcPr>
          <w:p w14:paraId="618AE0EE">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 xml:space="preserve">81.7870% </w:t>
            </w:r>
            <w:r>
              <w:rPr>
                <w:rFonts w:hint="eastAsia" w:ascii="Times New Roman" w:hAnsi="Times New Roman" w:eastAsia="宋体"/>
                <w:b w:val="0"/>
                <w:color w:val="000000"/>
                <w:sz w:val="24"/>
                <w:szCs w:val="18"/>
                <w:lang w:eastAsia="zh-CN" w:bidi="ar-SA"/>
              </w:rPr>
              <w:t>来自其他产物的最高产率，不能写成目标产物的最高产率</w:t>
            </w:r>
          </w:p>
        </w:tc>
      </w:tr>
      <w:bookmarkEnd w:id="0"/>
    </w:tbl>
    <w:p w14:paraId="2E17DDC4">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Buchwald 任务需区分“35 条合并训练集的最高值”与“目标子集 7 条初始实验的最高值”：81.7870% 来自其他产物提供的迁移上下文，不能表述为目标任务在初始化阶段已达到的产率。下文的全局最高值和命中统计仅用于</w:t>
      </w:r>
      <w:r>
        <w:rPr>
          <w:rFonts w:hint="eastAsia" w:ascii="Times New Roman" w:hAnsi="Times New Roman" w:eastAsia="宋体" w:cs="宋体"/>
          <w:sz w:val="24"/>
        </w:rPr>
        <w:t>我们最终模型</w:t>
      </w:r>
      <w:r>
        <w:rPr>
          <w:rFonts w:ascii="Times New Roman" w:hAnsi="Times New Roman" w:eastAsia="宋体" w:cs="宋体"/>
          <w:sz w:val="24"/>
        </w:rPr>
        <w:t>冻结后</w:t>
      </w:r>
      <w:r>
        <w:rPr>
          <w:rFonts w:hint="eastAsia" w:ascii="Times New Roman" w:hAnsi="Times New Roman" w:eastAsia="宋体" w:cs="宋体"/>
          <w:sz w:val="24"/>
        </w:rPr>
        <w:t>，运行</w:t>
      </w:r>
      <w:r>
        <w:rPr>
          <w:rFonts w:ascii="Times New Roman" w:hAnsi="Times New Roman" w:eastAsia="宋体" w:cs="宋体"/>
          <w:sz w:val="24"/>
        </w:rPr>
        <w:t>完整轨迹的评价。</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160"/>
        <w:gridCol w:w="1843"/>
        <w:gridCol w:w="1897"/>
        <w:gridCol w:w="1700"/>
        <w:gridCol w:w="1660"/>
      </w:tblGrid>
      <w:tr w14:paraId="1156C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00" w:type="dxa"/>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64A36545">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数据集</w:t>
            </w:r>
          </w:p>
        </w:tc>
        <w:tc>
          <w:tcPr>
            <w:tcW w:w="116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6B70E354">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40 轮平均 best</w:t>
            </w:r>
          </w:p>
        </w:tc>
        <w:tc>
          <w:tcPr>
            <w:tcW w:w="1843"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64CDF07E">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精确命中全局最高</w:t>
            </w:r>
          </w:p>
        </w:tc>
        <w:tc>
          <w:tcPr>
            <w:tcW w:w="1897"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4B901007">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命中 ≥99% 全局最高</w:t>
            </w:r>
          </w:p>
        </w:tc>
        <w:tc>
          <w:tcPr>
            <w:tcW w:w="170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70C3B8DA">
            <w:pPr>
              <w:suppressAutoHyphens w:val="0"/>
              <w:spacing w:line="276" w:lineRule="auto"/>
              <w:jc w:val="center"/>
              <w:rPr>
                <w:rFonts w:ascii="Times New Roman" w:hAnsi="Times New Roman" w:eastAsia="宋体"/>
                <w:b w:val="0"/>
                <w:color w:val="000000"/>
                <w:sz w:val="24"/>
                <w:szCs w:val="18"/>
                <w:lang w:eastAsia="en-US" w:bidi="ar-SA"/>
              </w:rPr>
            </w:pPr>
            <w:r>
              <w:rPr>
                <w:rFonts w:hint="eastAsia" w:ascii="Times New Roman" w:hAnsi="Times New Roman" w:eastAsia="宋体"/>
                <w:b w:val="0"/>
                <w:color w:val="000000"/>
                <w:sz w:val="24"/>
                <w:szCs w:val="18"/>
                <w:lang w:eastAsia="zh-CN" w:bidi="ar-SA"/>
              </w:rPr>
              <w:t>40轮</w:t>
            </w:r>
            <w:r>
              <w:rPr>
                <w:rFonts w:ascii="Times New Roman" w:hAnsi="Times New Roman" w:eastAsia="宋体"/>
                <w:b w:val="0"/>
                <w:color w:val="000000"/>
                <w:sz w:val="24"/>
                <w:szCs w:val="18"/>
                <w:lang w:eastAsia="en-US" w:bidi="ar-SA"/>
              </w:rPr>
              <w:t>内命中 ≥95%</w:t>
            </w:r>
          </w:p>
        </w:tc>
        <w:tc>
          <w:tcPr>
            <w:tcW w:w="166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1F977B02">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前 5 轮命中 ≥95%</w:t>
            </w:r>
          </w:p>
        </w:tc>
      </w:tr>
      <w:tr w14:paraId="4E19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81B9213">
            <w:pPr>
              <w:pStyle w:val="23"/>
              <w:suppressAutoHyphens w:val="0"/>
              <w:spacing w:after="0" w:line="276" w:lineRule="auto"/>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Suzuki–Miyaura</w:t>
            </w:r>
          </w:p>
        </w:tc>
        <w:tc>
          <w:tcPr>
            <w:tcW w:w="116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4BFCFC5">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97.3625%</w:t>
            </w:r>
          </w:p>
        </w:tc>
        <w:tc>
          <w:tcPr>
            <w:tcW w:w="1843"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D92B5D9">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1/20（5%）</w:t>
            </w:r>
          </w:p>
        </w:tc>
        <w:tc>
          <w:tcPr>
            <w:tcW w:w="189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0571448">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5/20（25%）</w:t>
            </w:r>
          </w:p>
        </w:tc>
        <w:tc>
          <w:tcPr>
            <w:tcW w:w="17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7B1EED0">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19/20（95%）</w:t>
            </w:r>
          </w:p>
        </w:tc>
        <w:tc>
          <w:tcPr>
            <w:tcW w:w="166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02387B0">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19/20（95%）</w:t>
            </w:r>
          </w:p>
        </w:tc>
      </w:tr>
      <w:tr w14:paraId="2C59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DC051D0">
            <w:pPr>
              <w:pStyle w:val="23"/>
              <w:suppressAutoHyphens w:val="0"/>
              <w:spacing w:after="0" w:line="276" w:lineRule="auto"/>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Buchwald_sub4</w:t>
            </w:r>
          </w:p>
        </w:tc>
        <w:tc>
          <w:tcPr>
            <w:tcW w:w="116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60F7DDE">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86.0670%</w:t>
            </w:r>
          </w:p>
        </w:tc>
        <w:tc>
          <w:tcPr>
            <w:tcW w:w="1843"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B5C774D">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16/20（80%）</w:t>
            </w:r>
          </w:p>
        </w:tc>
        <w:tc>
          <w:tcPr>
            <w:tcW w:w="189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559B404">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17/20（85%）</w:t>
            </w:r>
          </w:p>
        </w:tc>
        <w:tc>
          <w:tcPr>
            <w:tcW w:w="17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D5BDEC8">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20/20（100%）</w:t>
            </w:r>
          </w:p>
        </w:tc>
        <w:tc>
          <w:tcPr>
            <w:tcW w:w="166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87E9CFB">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0/20（0%）</w:t>
            </w:r>
          </w:p>
        </w:tc>
      </w:tr>
    </w:tbl>
    <w:p w14:paraId="79D11C28">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精确命中以 10</w:t>
      </w:r>
      <w:r>
        <w:rPr>
          <w:rFonts w:hint="eastAsia" w:ascii="Times New Roman" w:hAnsi="Times New Roman" w:eastAsia="宋体" w:cs="MS Gothic"/>
          <w:sz w:val="24"/>
        </w:rPr>
        <w:t>⁻⁹</w:t>
      </w:r>
      <w:r>
        <w:rPr>
          <w:rFonts w:ascii="Times New Roman" w:hAnsi="Times New Roman" w:eastAsia="宋体" w:cs="宋体"/>
          <w:sz w:val="24"/>
        </w:rPr>
        <w:t xml:space="preserve"> 的数值容差判定；≥99% 和 ≥95% 均以对应候选池的全局最高产率为基准。命中率的 Wilson 95% 区间、各随机种子结果及补充的早期曲线面积见 results/figures/supplementary_metrics_summary.csv 与 supplementary_metrics_per_seed.csv。</w:t>
      </w:r>
    </w:p>
    <w:p w14:paraId="6632147A">
      <w:pPr>
        <w:pStyle w:val="5"/>
        <w:rPr>
          <w:rFonts w:ascii="Times New Roman" w:hAnsi="Times New Roman" w:eastAsia="宋体"/>
          <w:sz w:val="24"/>
        </w:rPr>
      </w:pPr>
      <w:r>
        <w:rPr>
          <w:rFonts w:ascii="Times New Roman" w:hAnsi="Times New Roman" w:eastAsia="宋体"/>
          <w:sz w:val="24"/>
        </w:rPr>
        <w:t>3. 两个官方公开评测数据集的四项指标</w:t>
      </w:r>
    </w:p>
    <w:p w14:paraId="2A488688">
      <w:pPr>
        <w:pStyle w:val="6"/>
        <w:rPr>
          <w:rFonts w:ascii="Times New Roman" w:hAnsi="Times New Roman" w:eastAsia="宋体"/>
          <w:sz w:val="24"/>
        </w:rPr>
      </w:pPr>
      <w:r>
        <w:rPr>
          <w:rFonts w:ascii="Times New Roman" w:hAnsi="Times New Roman" w:eastAsia="宋体"/>
          <w:sz w:val="24"/>
        </w:rPr>
        <w:t>Suzuki–Miyaura：随机森林—分类核高斯过程融合的贝叶斯优化（Bayesian optimization with a random-forest/Gaussian-process ensemble and a tensor-product kernel for categorical inputs）</w:t>
      </w:r>
    </w:p>
    <w:p w14:paraId="3B5DCCB3">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sz w:val="24"/>
        </w:rPr>
        <w:t>模型由按反应变量分组的类别核高斯过程与随机森林组成，预测均值中随机森林权重为 0.75。候选按期望改进排序，预先冻结的均匀探索率从0.15线性降至0.01：即在少数轮次中不按 EI 而从未查询候选中均匀随机选取1条，以降低离散组合空间中过早陷入局部区域的风险；其余轮次仍按 EI 排序。详情查看技术文档doc\method_description.pdf。</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0"/>
        <w:gridCol w:w="1100"/>
        <w:gridCol w:w="1100"/>
        <w:gridCol w:w="3160"/>
      </w:tblGrid>
      <w:tr w14:paraId="1237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4000" w:type="dxa"/>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1882B8D6">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核心指标</w:t>
            </w:r>
          </w:p>
        </w:tc>
        <w:tc>
          <w:tcPr>
            <w:tcW w:w="110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69F999FE">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均值</w:t>
            </w:r>
          </w:p>
        </w:tc>
        <w:tc>
          <w:tcPr>
            <w:tcW w:w="110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2795A494">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标准差</w:t>
            </w:r>
          </w:p>
        </w:tc>
        <w:tc>
          <w:tcPr>
            <w:tcW w:w="316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32D78C8C">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95% 置信区间</w:t>
            </w:r>
          </w:p>
        </w:tc>
      </w:tr>
      <w:tr w14:paraId="77D1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95B048C">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首轮发现值（initial_round_found_best）↑</w:t>
            </w:r>
          </w:p>
        </w:tc>
        <w:tc>
          <w:tcPr>
            <w:tcW w:w="11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3CA64DF">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84.0425</w:t>
            </w:r>
          </w:p>
        </w:tc>
        <w:tc>
          <w:tcPr>
            <w:tcW w:w="11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68C9C25">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8.6937</w:t>
            </w:r>
          </w:p>
        </w:tc>
        <w:tc>
          <w:tcPr>
            <w:tcW w:w="316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B4F2F2E">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[80.2323, 87.8527]</w:t>
            </w:r>
          </w:p>
        </w:tc>
      </w:tr>
      <w:tr w14:paraId="4BC0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00" w:type="dxa"/>
            <w:tcBorders>
              <w:top w:val="nil"/>
              <w:left w:val="nil"/>
              <w:bottom w:val="nil"/>
              <w:right w:val="nil"/>
            </w:tcBorders>
            <w:shd w:val="clear" w:color="auto" w:fill="FFFFFF"/>
            <w:tcMar>
              <w:top w:w="80" w:type="dxa"/>
              <w:left w:w="120" w:type="dxa"/>
              <w:bottom w:w="80" w:type="dxa"/>
              <w:right w:w="120" w:type="dxa"/>
            </w:tcMar>
            <w:vAlign w:val="center"/>
          </w:tcPr>
          <w:p w14:paraId="43281085">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40 轮最高值（best_found）↑</w:t>
            </w:r>
          </w:p>
        </w:tc>
        <w:tc>
          <w:tcPr>
            <w:tcW w:w="1100" w:type="dxa"/>
            <w:tcBorders>
              <w:top w:val="nil"/>
              <w:left w:val="nil"/>
              <w:bottom w:val="nil"/>
              <w:right w:val="nil"/>
            </w:tcBorders>
            <w:shd w:val="clear" w:color="auto" w:fill="FFFFFF"/>
            <w:tcMar>
              <w:top w:w="80" w:type="dxa"/>
              <w:left w:w="120" w:type="dxa"/>
              <w:bottom w:w="80" w:type="dxa"/>
              <w:right w:w="120" w:type="dxa"/>
            </w:tcMar>
            <w:vAlign w:val="center"/>
          </w:tcPr>
          <w:p w14:paraId="730EA6D7">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97.3625</w:t>
            </w:r>
          </w:p>
        </w:tc>
        <w:tc>
          <w:tcPr>
            <w:tcW w:w="1100" w:type="dxa"/>
            <w:tcBorders>
              <w:top w:val="nil"/>
              <w:left w:val="nil"/>
              <w:bottom w:val="nil"/>
              <w:right w:val="nil"/>
            </w:tcBorders>
            <w:shd w:val="clear" w:color="auto" w:fill="FFFFFF"/>
            <w:tcMar>
              <w:top w:w="80" w:type="dxa"/>
              <w:left w:w="120" w:type="dxa"/>
              <w:bottom w:w="80" w:type="dxa"/>
              <w:right w:w="120" w:type="dxa"/>
            </w:tcMar>
            <w:vAlign w:val="center"/>
          </w:tcPr>
          <w:p w14:paraId="14236EDC">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1.3957</w:t>
            </w:r>
          </w:p>
        </w:tc>
        <w:tc>
          <w:tcPr>
            <w:tcW w:w="3160" w:type="dxa"/>
            <w:tcBorders>
              <w:top w:val="nil"/>
              <w:left w:val="nil"/>
              <w:bottom w:val="nil"/>
              <w:right w:val="nil"/>
            </w:tcBorders>
            <w:shd w:val="clear" w:color="auto" w:fill="FFFFFF"/>
            <w:tcMar>
              <w:top w:w="80" w:type="dxa"/>
              <w:left w:w="120" w:type="dxa"/>
              <w:bottom w:w="80" w:type="dxa"/>
              <w:right w:w="120" w:type="dxa"/>
            </w:tcMar>
            <w:vAlign w:val="center"/>
          </w:tcPr>
          <w:p w14:paraId="2E609F00">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[96.7508, 97.9742]</w:t>
            </w:r>
          </w:p>
        </w:tc>
      </w:tr>
      <w:tr w14:paraId="75CB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00" w:type="dxa"/>
            <w:tcBorders>
              <w:top w:val="nil"/>
              <w:left w:val="nil"/>
              <w:bottom w:val="nil"/>
              <w:right w:val="nil"/>
            </w:tcBorders>
            <w:shd w:val="clear" w:color="auto" w:fill="FFFFFF"/>
            <w:tcMar>
              <w:top w:w="80" w:type="dxa"/>
              <w:left w:w="120" w:type="dxa"/>
              <w:bottom w:w="80" w:type="dxa"/>
              <w:right w:w="120" w:type="dxa"/>
            </w:tcMar>
            <w:vAlign w:val="center"/>
          </w:tcPr>
          <w:p w14:paraId="37285776">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达到 95% 的轮数（t95）↓</w:t>
            </w:r>
          </w:p>
        </w:tc>
        <w:tc>
          <w:tcPr>
            <w:tcW w:w="1100" w:type="dxa"/>
            <w:tcBorders>
              <w:top w:val="nil"/>
              <w:left w:val="nil"/>
              <w:bottom w:val="nil"/>
              <w:right w:val="nil"/>
            </w:tcBorders>
            <w:shd w:val="clear" w:color="auto" w:fill="FFFFFF"/>
            <w:tcMar>
              <w:top w:w="80" w:type="dxa"/>
              <w:left w:w="120" w:type="dxa"/>
              <w:bottom w:w="80" w:type="dxa"/>
              <w:right w:w="120" w:type="dxa"/>
            </w:tcMar>
            <w:vAlign w:val="center"/>
          </w:tcPr>
          <w:p w14:paraId="21B00C1B">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4.4000</w:t>
            </w:r>
          </w:p>
        </w:tc>
        <w:tc>
          <w:tcPr>
            <w:tcW w:w="1100" w:type="dxa"/>
            <w:tcBorders>
              <w:top w:val="nil"/>
              <w:left w:val="nil"/>
              <w:bottom w:val="nil"/>
              <w:right w:val="nil"/>
            </w:tcBorders>
            <w:shd w:val="clear" w:color="auto" w:fill="FFFFFF"/>
            <w:tcMar>
              <w:top w:w="80" w:type="dxa"/>
              <w:left w:w="120" w:type="dxa"/>
              <w:bottom w:w="80" w:type="dxa"/>
              <w:right w:w="120" w:type="dxa"/>
            </w:tcMar>
            <w:vAlign w:val="center"/>
          </w:tcPr>
          <w:p w14:paraId="79CD3129">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8.7323</w:t>
            </w:r>
          </w:p>
        </w:tc>
        <w:tc>
          <w:tcPr>
            <w:tcW w:w="3160" w:type="dxa"/>
            <w:tcBorders>
              <w:top w:val="nil"/>
              <w:left w:val="nil"/>
              <w:bottom w:val="nil"/>
              <w:right w:val="nil"/>
            </w:tcBorders>
            <w:shd w:val="clear" w:color="auto" w:fill="FFFFFF"/>
            <w:tcMar>
              <w:top w:w="80" w:type="dxa"/>
              <w:left w:w="120" w:type="dxa"/>
              <w:bottom w:w="80" w:type="dxa"/>
              <w:right w:w="120" w:type="dxa"/>
            </w:tcMar>
            <w:vAlign w:val="center"/>
          </w:tcPr>
          <w:p w14:paraId="4FE3EB6D">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[0.5729, 8.2271]</w:t>
            </w:r>
          </w:p>
        </w:tc>
      </w:tr>
      <w:tr w14:paraId="2DF5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0BC06FA">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全过程曲线面积（AUC_best_so_far）↑</w:t>
            </w:r>
          </w:p>
        </w:tc>
        <w:tc>
          <w:tcPr>
            <w:tcW w:w="11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8646FF9">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95.8840</w:t>
            </w:r>
          </w:p>
        </w:tc>
        <w:tc>
          <w:tcPr>
            <w:tcW w:w="11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0288469">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1.1440</w:t>
            </w:r>
          </w:p>
        </w:tc>
        <w:tc>
          <w:tcPr>
            <w:tcW w:w="316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D6CB1FE">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[95.3826, 96.3853]</w:t>
            </w:r>
          </w:p>
        </w:tc>
      </w:tr>
    </w:tbl>
    <w:p w14:paraId="39A2E0D8">
      <w:pPr>
        <w:pStyle w:val="6"/>
        <w:rPr>
          <w:rFonts w:ascii="Times New Roman" w:hAnsi="Times New Roman" w:eastAsia="宋体"/>
          <w:sz w:val="24"/>
        </w:rPr>
      </w:pPr>
      <w:r>
        <w:rPr>
          <w:rFonts w:ascii="Times New Roman" w:hAnsi="Times New Roman" w:eastAsia="宋体"/>
          <w:sz w:val="24"/>
        </w:rPr>
        <w:t>Buchwald–Hartwig：分类变量、化学知识与结构特征融合的随机森林（Bayesian optimization with a random forest using categorical, chemical-knowledge, and structural features）</w:t>
      </w:r>
    </w:p>
    <w:p w14:paraId="38988E45">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sz w:val="24"/>
        </w:rPr>
        <w:t>模型同时使用独热编码分类变量、与标签无关的化学知识、32 位 Morgan 分子指纹和物化描述符，并由随机森林学习高阶交互；候选完全按期望改进排序，不叠加均匀随机探索；这不等于“不探索”，因为 EI 本身会在预测均值与不确定性之间权衡。训练内伪闭环比较显示，额外的均匀随机抽取会降低该任务的效率，因此该概率被冻结为0。详情查看技术文档doc\method_description.pdf。</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0"/>
        <w:gridCol w:w="1100"/>
        <w:gridCol w:w="1100"/>
        <w:gridCol w:w="3160"/>
      </w:tblGrid>
      <w:tr w14:paraId="01A5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00" w:type="dxa"/>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4F96B1B3">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核心指标</w:t>
            </w:r>
          </w:p>
        </w:tc>
        <w:tc>
          <w:tcPr>
            <w:tcW w:w="110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632C088D">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均值</w:t>
            </w:r>
          </w:p>
        </w:tc>
        <w:tc>
          <w:tcPr>
            <w:tcW w:w="110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2B50F1F9">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标准差</w:t>
            </w:r>
          </w:p>
        </w:tc>
        <w:tc>
          <w:tcPr>
            <w:tcW w:w="316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5B5FB4BF">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95% 置信区间</w:t>
            </w:r>
          </w:p>
        </w:tc>
      </w:tr>
      <w:tr w14:paraId="36E9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6A8834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首轮发现值（initial_round_found_best）↑</w:t>
            </w:r>
          </w:p>
        </w:tc>
        <w:tc>
          <w:tcPr>
            <w:tcW w:w="11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9C08932">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74.3877</w:t>
            </w:r>
          </w:p>
        </w:tc>
        <w:tc>
          <w:tcPr>
            <w:tcW w:w="11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A5BF8AB">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1.7673</w:t>
            </w:r>
          </w:p>
        </w:tc>
        <w:tc>
          <w:tcPr>
            <w:tcW w:w="316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55F5FC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[73.6132, 75.1623]</w:t>
            </w:r>
          </w:p>
        </w:tc>
      </w:tr>
      <w:tr w14:paraId="153F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00" w:type="dxa"/>
            <w:tcBorders>
              <w:top w:val="nil"/>
              <w:left w:val="nil"/>
              <w:bottom w:val="nil"/>
              <w:right w:val="nil"/>
            </w:tcBorders>
            <w:shd w:val="clear" w:color="auto" w:fill="FFFFFF"/>
            <w:tcMar>
              <w:top w:w="80" w:type="dxa"/>
              <w:left w:w="120" w:type="dxa"/>
              <w:bottom w:w="80" w:type="dxa"/>
              <w:right w:w="120" w:type="dxa"/>
            </w:tcMar>
            <w:vAlign w:val="center"/>
          </w:tcPr>
          <w:p w14:paraId="34E1A247">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40 轮最高值（best_found）↑</w:t>
            </w:r>
          </w:p>
        </w:tc>
        <w:tc>
          <w:tcPr>
            <w:tcW w:w="1100" w:type="dxa"/>
            <w:tcBorders>
              <w:top w:val="nil"/>
              <w:left w:val="nil"/>
              <w:bottom w:val="nil"/>
              <w:right w:val="nil"/>
            </w:tcBorders>
            <w:shd w:val="clear" w:color="auto" w:fill="FFFFFF"/>
            <w:tcMar>
              <w:top w:w="80" w:type="dxa"/>
              <w:left w:w="120" w:type="dxa"/>
              <w:bottom w:w="80" w:type="dxa"/>
              <w:right w:w="120" w:type="dxa"/>
            </w:tcMar>
            <w:vAlign w:val="center"/>
          </w:tcPr>
          <w:p w14:paraId="4F1B5D8D">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86.0670</w:t>
            </w:r>
          </w:p>
        </w:tc>
        <w:tc>
          <w:tcPr>
            <w:tcW w:w="1100" w:type="dxa"/>
            <w:tcBorders>
              <w:top w:val="nil"/>
              <w:left w:val="nil"/>
              <w:bottom w:val="nil"/>
              <w:right w:val="nil"/>
            </w:tcBorders>
            <w:shd w:val="clear" w:color="auto" w:fill="FFFFFF"/>
            <w:tcMar>
              <w:top w:w="80" w:type="dxa"/>
              <w:left w:w="120" w:type="dxa"/>
              <w:bottom w:w="80" w:type="dxa"/>
              <w:right w:w="120" w:type="dxa"/>
            </w:tcMar>
            <w:vAlign w:val="center"/>
          </w:tcPr>
          <w:p w14:paraId="67E0C94E">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1.2052</w:t>
            </w:r>
          </w:p>
        </w:tc>
        <w:tc>
          <w:tcPr>
            <w:tcW w:w="3160" w:type="dxa"/>
            <w:tcBorders>
              <w:top w:val="nil"/>
              <w:left w:val="nil"/>
              <w:bottom w:val="nil"/>
              <w:right w:val="nil"/>
            </w:tcBorders>
            <w:shd w:val="clear" w:color="auto" w:fill="FFFFFF"/>
            <w:tcMar>
              <w:top w:w="80" w:type="dxa"/>
              <w:left w:w="120" w:type="dxa"/>
              <w:bottom w:w="80" w:type="dxa"/>
              <w:right w:w="120" w:type="dxa"/>
            </w:tcMar>
            <w:vAlign w:val="center"/>
          </w:tcPr>
          <w:p w14:paraId="3597A26F">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[85.5388, 86.5951]</w:t>
            </w:r>
          </w:p>
        </w:tc>
      </w:tr>
      <w:tr w14:paraId="5A2A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00" w:type="dxa"/>
            <w:tcBorders>
              <w:top w:val="nil"/>
              <w:left w:val="nil"/>
              <w:bottom w:val="nil"/>
              <w:right w:val="nil"/>
            </w:tcBorders>
            <w:shd w:val="clear" w:color="auto" w:fill="FFFFFF"/>
            <w:tcMar>
              <w:top w:w="80" w:type="dxa"/>
              <w:left w:w="120" w:type="dxa"/>
              <w:bottom w:w="80" w:type="dxa"/>
              <w:right w:w="120" w:type="dxa"/>
            </w:tcMar>
            <w:vAlign w:val="center"/>
          </w:tcPr>
          <w:p w14:paraId="36CB7E1B">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达到 95% 的轮数（t95）↓</w:t>
            </w:r>
          </w:p>
        </w:tc>
        <w:tc>
          <w:tcPr>
            <w:tcW w:w="1100" w:type="dxa"/>
            <w:tcBorders>
              <w:top w:val="nil"/>
              <w:left w:val="nil"/>
              <w:bottom w:val="nil"/>
              <w:right w:val="nil"/>
            </w:tcBorders>
            <w:shd w:val="clear" w:color="auto" w:fill="FFFFFF"/>
            <w:tcMar>
              <w:top w:w="80" w:type="dxa"/>
              <w:left w:w="120" w:type="dxa"/>
              <w:bottom w:w="80" w:type="dxa"/>
              <w:right w:w="120" w:type="dxa"/>
            </w:tcMar>
            <w:vAlign w:val="center"/>
          </w:tcPr>
          <w:p w14:paraId="37B1B397">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12.5000</w:t>
            </w:r>
          </w:p>
        </w:tc>
        <w:tc>
          <w:tcPr>
            <w:tcW w:w="1100" w:type="dxa"/>
            <w:tcBorders>
              <w:top w:val="nil"/>
              <w:left w:val="nil"/>
              <w:bottom w:val="nil"/>
              <w:right w:val="nil"/>
            </w:tcBorders>
            <w:shd w:val="clear" w:color="auto" w:fill="FFFFFF"/>
            <w:tcMar>
              <w:top w:w="80" w:type="dxa"/>
              <w:left w:w="120" w:type="dxa"/>
              <w:bottom w:w="80" w:type="dxa"/>
              <w:right w:w="120" w:type="dxa"/>
            </w:tcMar>
            <w:vAlign w:val="center"/>
          </w:tcPr>
          <w:p w14:paraId="37438345">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5.1350</w:t>
            </w:r>
          </w:p>
        </w:tc>
        <w:tc>
          <w:tcPr>
            <w:tcW w:w="3160" w:type="dxa"/>
            <w:tcBorders>
              <w:top w:val="nil"/>
              <w:left w:val="nil"/>
              <w:bottom w:val="nil"/>
              <w:right w:val="nil"/>
            </w:tcBorders>
            <w:shd w:val="clear" w:color="auto" w:fill="FFFFFF"/>
            <w:tcMar>
              <w:top w:w="80" w:type="dxa"/>
              <w:left w:w="120" w:type="dxa"/>
              <w:bottom w:w="80" w:type="dxa"/>
              <w:right w:w="120" w:type="dxa"/>
            </w:tcMar>
            <w:vAlign w:val="center"/>
          </w:tcPr>
          <w:p w14:paraId="340FB89F">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[10.2495, 14.7505]</w:t>
            </w:r>
          </w:p>
        </w:tc>
      </w:tr>
      <w:tr w14:paraId="3AC8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ACA6856">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全过程曲线面积（AUC_best_so_far）↑</w:t>
            </w:r>
          </w:p>
        </w:tc>
        <w:tc>
          <w:tcPr>
            <w:tcW w:w="11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21179C5">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82.5350</w:t>
            </w:r>
          </w:p>
        </w:tc>
        <w:tc>
          <w:tcPr>
            <w:tcW w:w="11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3793BD4">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1.4948</w:t>
            </w:r>
          </w:p>
        </w:tc>
        <w:tc>
          <w:tcPr>
            <w:tcW w:w="316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CF915DF">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[81.8799, 83.1902]</w:t>
            </w:r>
          </w:p>
        </w:tc>
      </w:tr>
    </w:tbl>
    <w:p w14:paraId="1CACFD51">
      <w:pPr>
        <w:pStyle w:val="5"/>
        <w:rPr>
          <w:rFonts w:ascii="Times New Roman" w:hAnsi="Times New Roman" w:eastAsia="宋体"/>
          <w:sz w:val="24"/>
        </w:rPr>
      </w:pPr>
      <w:r>
        <w:rPr>
          <w:rFonts w:ascii="Times New Roman" w:hAnsi="Times New Roman" w:eastAsia="宋体"/>
          <w:sz w:val="24"/>
        </w:rPr>
        <w:t xml:space="preserve">4. </w:t>
      </w:r>
      <w:bookmarkStart w:id="1" w:name="OLE_LINK2"/>
      <w:r>
        <w:rPr>
          <w:rFonts w:ascii="Times New Roman" w:hAnsi="Times New Roman" w:eastAsia="宋体"/>
          <w:sz w:val="24"/>
        </w:rPr>
        <w:t>优化曲线与鲁棒性</w:t>
      </w:r>
      <w:bookmarkEnd w:id="1"/>
      <w:r>
        <w:rPr>
          <w:rFonts w:ascii="Times New Roman" w:hAnsi="Times New Roman" w:eastAsia="宋体"/>
          <w:sz w:val="24"/>
        </w:rPr>
        <w:t>图</w:t>
      </w:r>
    </w:p>
    <w:p w14:paraId="22627CD6">
      <w:pPr>
        <w:pStyle w:val="4"/>
        <w:jc w:val="center"/>
        <w:rPr>
          <w:rFonts w:ascii="Times New Roman" w:hAnsi="Times New Roman" w:eastAsia="宋体"/>
          <w:sz w:val="24"/>
        </w:rPr>
      </w:pPr>
      <w:r>
        <w:rPr>
          <w:rFonts w:ascii="Times New Roman" w:hAnsi="Times New Roman" w:eastAsia="宋体"/>
          <w:sz w:val="24"/>
        </w:rPr>
        <w:drawing>
          <wp:inline distT="0" distB="0" distL="114300" distR="114300">
            <wp:extent cx="6216650" cy="397002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rcRect t="4818" b="3617"/>
                    <a:stretch>
                      <a:fillRect/>
                    </a:stretch>
                  </pic:blipFill>
                  <pic:spPr>
                    <a:xfrm>
                      <a:off x="0" y="0"/>
                      <a:ext cx="6216650" cy="3970020"/>
                    </a:xfrm>
                    <a:prstGeom prst="rect">
                      <a:avLst/>
                    </a:prstGeom>
                    <a:noFill/>
                    <a:ln>
                      <a:noFill/>
                    </a:ln>
                  </pic:spPr>
                </pic:pic>
              </a:graphicData>
            </a:graphic>
          </wp:inline>
        </w:drawing>
      </w:r>
    </w:p>
    <w:p w14:paraId="5C67159F">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hint="eastAsia" w:ascii="Times New Roman" w:hAnsi="Times New Roman" w:eastAsia="宋体" w:cs="宋体"/>
          <w:sz w:val="24"/>
        </w:rPr>
        <w:t>优化曲线与鲁棒性</w:t>
      </w:r>
      <w:r>
        <w:rPr>
          <w:rFonts w:ascii="Times New Roman" w:hAnsi="Times New Roman" w:eastAsia="宋体" w:cs="宋体"/>
          <w:sz w:val="24"/>
        </w:rPr>
        <w:t>图的呈现方式参考 Yuan 等人</w:t>
      </w:r>
      <w:r>
        <w:rPr>
          <w:rFonts w:hint="eastAsia" w:ascii="Times New Roman" w:hAnsi="Times New Roman" w:eastAsia="宋体" w:cs="宋体"/>
          <w:sz w:val="24"/>
          <w:vertAlign w:val="superscript"/>
        </w:rPr>
        <w:t>[</w:t>
      </w:r>
      <w:r>
        <w:rPr>
          <w:rFonts w:ascii="Times New Roman" w:hAnsi="Times New Roman" w:eastAsia="宋体" w:cs="宋体"/>
          <w:sz w:val="24"/>
          <w:vertAlign w:val="superscript"/>
        </w:rPr>
        <w:fldChar w:fldCharType="begin"/>
      </w:r>
      <w:r>
        <w:rPr>
          <w:rFonts w:ascii="Times New Roman" w:hAnsi="Times New Roman" w:eastAsia="宋体" w:cs="宋体"/>
          <w:sz w:val="24"/>
          <w:vertAlign w:val="superscript"/>
        </w:rPr>
        <w:instrText xml:space="preserve"> ADDIN ZOTERO_ITEM CSL_CITATION {"citationID":"8pHLll9m","properties":{"formattedCitation":"\\super 1\\nosupersub{}","plainCitation":"1","noteIndex":0},"citationItems":[{"id":350,"uris":["http://zotero.org/users/18576704/items/U28JHKFC"],"itemData":{"id":350,"type":"article-journal","abstract":"Scientific discovery is increasingly constrained by costly experiments and limited resources, underscoring the need for efficient optimization in AI for science. Bayesian Optimization (BO), though widely adopted for balancing exploration and exploitation, often exhibits slow cold-start performance and poor scalability in high-dimensional settings, limiting its applicability in real-world scientific problems. To overcome these challenges, we propose LLM-Guided Bayesian Optimization (LGBO), the first LLM preference-guided BO framework that continuously integrates the semantic reasoning of large language models (LLMs) into the optimization loop. Unlike prior works that use LLMs only for warm-start initialization or candidate generation, LGBO introduces a region-lifted preference mechanism that embeds LLM-driven preferences into every iteration, shifting the surrogate mean in a stable and controllable way. Theoretically, we prove that LGBO does not perform significantly worse than standard BO in the worst case, while achieving significantly faster convergence when preferences align with the objective. Empirically, LGBO consistently outperforms existing methods across diverse dry benchmarks in physics, chemistry, biology, and materials science. Most notably, in a new wet-lab optimization of Fe-Cr battery electrolytes, LGBO attains 90% of the best observed value within 6 iterations, whereas standard BO and existing LLM-augmented baselines require more than 10. Together, these results suggest that LGBO offers a promising direction for integrating LLMs into scientific optimization workflows.","language":"en","source":"Zotero","title":"UNLEASHING LLMS IN BAYESIAN OPTIMIZATION: PREFERENCE-GUIDED FRAMEWORK FOR SCIENTIFIC DISCOVERY","author":[{"family":"Yuan","given":"Xinzhe"},{"family":"Chen","given":"Zhuo"},{"family":"Zhang","given":"Jianshu"}],"issued":{"date-parts":[["2026"]]}}}],"schema":"https://github.com/citation-style-language/schema/raw/master/csl-citation.json"} </w:instrText>
      </w:r>
      <w:r>
        <w:rPr>
          <w:rFonts w:ascii="Times New Roman" w:hAnsi="Times New Roman" w:eastAsia="宋体" w:cs="宋体"/>
          <w:sz w:val="24"/>
          <w:vertAlign w:val="superscript"/>
        </w:rPr>
        <w:fldChar w:fldCharType="separate"/>
      </w:r>
      <w:r>
        <w:rPr>
          <w:rFonts w:ascii="Times New Roman" w:hAnsi="Times New Roman" w:eastAsia="宋体" w:cs="Times New Roman"/>
          <w:sz w:val="24"/>
          <w:szCs w:val="24"/>
          <w:vertAlign w:val="superscript"/>
        </w:rPr>
        <w:t>1</w:t>
      </w:r>
      <w:r>
        <w:rPr>
          <w:rFonts w:ascii="Times New Roman" w:hAnsi="Times New Roman" w:eastAsia="宋体" w:cs="宋体"/>
          <w:sz w:val="24"/>
          <w:vertAlign w:val="superscript"/>
        </w:rPr>
        <w:fldChar w:fldCharType="end"/>
      </w:r>
      <w:r>
        <w:rPr>
          <w:rFonts w:hint="eastAsia" w:ascii="Times New Roman" w:hAnsi="Times New Roman" w:eastAsia="宋体" w:cs="宋体"/>
          <w:sz w:val="24"/>
          <w:vertAlign w:val="superscript"/>
        </w:rPr>
        <w:t>]</w:t>
      </w:r>
      <w:r>
        <w:rPr>
          <w:rFonts w:ascii="Times New Roman" w:hAnsi="Times New Roman" w:eastAsia="宋体" w:cs="宋体"/>
          <w:sz w:val="24"/>
        </w:rPr>
        <w:t>的工作：</w:t>
      </w:r>
      <w:r>
        <w:rPr>
          <w:rFonts w:hint="eastAsia" w:ascii="Times New Roman" w:hAnsi="Times New Roman" w:eastAsia="宋体" w:cs="宋体"/>
          <w:sz w:val="24"/>
        </w:rPr>
        <w:t>图</w:t>
      </w:r>
      <w:r>
        <w:rPr>
          <w:rFonts w:ascii="Times New Roman" w:hAnsi="Times New Roman" w:eastAsia="宋体" w:cs="宋体"/>
          <w:sz w:val="24"/>
        </w:rPr>
        <w:t>A、C 分别展示 Suzuki–Miyaura 和 Buchwald–Hartwig 任务在 20 个独立随机种子下的平均 best-so-far 产率随优化轮数的变化。蓝线为最终方法，橙线为</w:t>
      </w:r>
      <w:r>
        <w:rPr>
          <w:rFonts w:hint="eastAsia" w:ascii="Times New Roman" w:hAnsi="Times New Roman" w:eastAsia="宋体" w:cs="宋体"/>
          <w:sz w:val="24"/>
        </w:rPr>
        <w:t>模型迭代中的阶段性</w:t>
      </w:r>
      <w:r>
        <w:rPr>
          <w:rFonts w:ascii="Times New Roman" w:hAnsi="Times New Roman" w:eastAsia="宋体" w:cs="宋体"/>
          <w:sz w:val="24"/>
        </w:rPr>
        <w:t>方法</w:t>
      </w:r>
      <w:r>
        <w:rPr>
          <w:rFonts w:hint="eastAsia" w:ascii="Times New Roman" w:hAnsi="Times New Roman" w:eastAsia="宋体" w:cs="宋体"/>
          <w:sz w:val="24"/>
        </w:rPr>
        <w:t>（</w:t>
      </w:r>
      <w:r>
        <w:rPr>
          <w:rFonts w:ascii="Times New Roman" w:hAnsi="Times New Roman" w:eastAsia="宋体"/>
          <w:sz w:val="24"/>
        </w:rPr>
        <w:t>Suzuki–Miyaura</w:t>
      </w:r>
      <w:r>
        <w:rPr>
          <w:rFonts w:hint="eastAsia" w:ascii="Times New Roman" w:hAnsi="Times New Roman" w:eastAsia="宋体" w:cs="宋体"/>
          <w:sz w:val="24"/>
        </w:rPr>
        <w:t>数据集为</w:t>
      </w:r>
      <w:r>
        <w:rPr>
          <w:rFonts w:ascii="Times New Roman" w:hAnsi="Times New Roman" w:eastAsia="宋体" w:cs="宋体"/>
          <w:sz w:val="24"/>
        </w:rPr>
        <w:t>常规混合核贝叶斯优</w:t>
      </w:r>
      <w:r>
        <w:rPr>
          <w:rFonts w:hint="eastAsia" w:ascii="Times New Roman" w:hAnsi="Times New Roman" w:eastAsia="宋体" w:cs="宋体"/>
          <w:sz w:val="24"/>
        </w:rPr>
        <w:t>化，</w:t>
      </w:r>
      <w:r>
        <w:rPr>
          <w:rFonts w:ascii="Times New Roman" w:hAnsi="Times New Roman" w:eastAsia="宋体"/>
          <w:sz w:val="24"/>
        </w:rPr>
        <w:t>Conventional mixed-kernel Bayesian optimization</w:t>
      </w:r>
      <w:r>
        <w:rPr>
          <w:rFonts w:hint="eastAsia" w:ascii="Times New Roman" w:hAnsi="Times New Roman" w:eastAsia="宋体" w:cs="宋体"/>
          <w:sz w:val="24"/>
        </w:rPr>
        <w:t>，</w:t>
      </w:r>
      <w:r>
        <w:rPr>
          <w:rFonts w:ascii="Times New Roman" w:hAnsi="Times New Roman" w:eastAsia="宋体"/>
          <w:sz w:val="24"/>
        </w:rPr>
        <w:t>Buchwald–Hartwig</w:t>
      </w:r>
      <w:r>
        <w:rPr>
          <w:rFonts w:hint="eastAsia" w:ascii="Times New Roman" w:hAnsi="Times New Roman" w:eastAsia="宋体" w:cs="宋体"/>
          <w:sz w:val="24"/>
        </w:rPr>
        <w:t>数据集为</w:t>
      </w:r>
      <w:r>
        <w:rPr>
          <w:rFonts w:ascii="Times New Roman" w:hAnsi="Times New Roman" w:eastAsia="宋体" w:cs="宋体"/>
          <w:sz w:val="24"/>
        </w:rPr>
        <w:t>带随机探索的融合森林</w:t>
      </w:r>
      <w:r>
        <w:rPr>
          <w:rFonts w:hint="eastAsia" w:ascii="Times New Roman" w:hAnsi="Times New Roman" w:eastAsia="宋体" w:cs="宋体"/>
          <w:sz w:val="24"/>
        </w:rPr>
        <w:t>，</w:t>
      </w:r>
      <w:r>
        <w:rPr>
          <w:rFonts w:ascii="Times New Roman" w:hAnsi="Times New Roman" w:eastAsia="宋体"/>
          <w:sz w:val="24"/>
        </w:rPr>
        <w:t>Fused forest with random exploration</w:t>
      </w:r>
      <w:r>
        <w:rPr>
          <w:rFonts w:hint="eastAsia" w:ascii="Times New Roman" w:hAnsi="Times New Roman" w:eastAsia="宋体" w:cs="宋体"/>
          <w:sz w:val="24"/>
        </w:rPr>
        <w:t>），</w:t>
      </w:r>
      <w:r>
        <w:rPr>
          <w:rFonts w:ascii="Times New Roman" w:hAnsi="Times New Roman" w:eastAsia="宋体" w:cs="宋体"/>
          <w:sz w:val="24"/>
        </w:rPr>
        <w:t>灰线为随机搜索</w:t>
      </w:r>
      <w:r>
        <w:rPr>
          <w:rFonts w:hint="eastAsia" w:ascii="Times New Roman" w:hAnsi="Times New Roman" w:eastAsia="宋体" w:cs="宋体"/>
          <w:sz w:val="24"/>
        </w:rPr>
        <w:t>（</w:t>
      </w:r>
      <w:r>
        <w:rPr>
          <w:rFonts w:ascii="Times New Roman" w:hAnsi="Times New Roman" w:eastAsia="宋体" w:cs="宋体"/>
          <w:sz w:val="24"/>
        </w:rPr>
        <w:t>Random Search</w:t>
      </w:r>
      <w:r>
        <w:rPr>
          <w:rFonts w:hint="eastAsia" w:ascii="Times New Roman" w:hAnsi="Times New Roman" w:eastAsia="宋体" w:cs="宋体"/>
          <w:sz w:val="24"/>
        </w:rPr>
        <w:t>），作为基线模型</w:t>
      </w:r>
      <w:r>
        <w:rPr>
          <w:rFonts w:ascii="Times New Roman" w:hAnsi="Times New Roman" w:eastAsia="宋体" w:cs="宋体"/>
          <w:sz w:val="24"/>
        </w:rPr>
        <w:t>；阴影表示各轮均值的 95% 置信区间。黑色虚线表示候选池最高产率，棕色点线表示其 95% 阈值。B、D 展示最终方法在每个随机种子、每轮优化中的收敛情况；颜色表示当前 best-so-far 产率与候选池最高产率之比，颜色越接近黄色，说明越接近全局最高值。</w:t>
      </w:r>
      <w:r>
        <w:rPr>
          <w:rFonts w:ascii="Times New Roman" w:hAnsi="Times New Roman" w:eastAsia="宋体" w:cs="宋体"/>
          <w:color w:val="172033"/>
          <w:sz w:val="24"/>
          <w:szCs w:val="21"/>
          <w:lang w:val="en-US" w:eastAsia="zh-CN" w:bidi="hi-IN"/>
        </w:rPr>
        <w:t>结果表明，</w:t>
      </w:r>
      <w:r>
        <w:rPr>
          <w:rFonts w:hint="eastAsia" w:ascii="Times New Roman" w:hAnsi="Times New Roman" w:eastAsia="宋体" w:cs="宋体"/>
          <w:color w:val="172033"/>
          <w:sz w:val="24"/>
          <w:szCs w:val="21"/>
          <w:lang w:val="en-US" w:eastAsia="zh-CN" w:bidi="hi-IN"/>
        </w:rPr>
        <w:t>Suzuki相对常规混合核模型，正式t95由10.95降低至4.40。Buchwald最终纯期望改进策略相对叠加随机探索的方案，t95减少4.50轮，AUC提高1.3080。</w:t>
      </w:r>
      <w:r>
        <w:rPr>
          <w:rFonts w:ascii="Times New Roman" w:hAnsi="Times New Roman" w:eastAsia="宋体" w:cs="宋体"/>
          <w:sz w:val="24"/>
        </w:rPr>
        <w:t>Suzuki 任务通常能在较早轮次接近最优区域；Buchwald 任务的跨随机种子差异更明显，但大多数轨迹仍随轮数增加稳定接近候选池最高值。图内汇总框依次给出首轮发现值、40 轮最高值、t95 和全过程 AUC 的平均值</w:t>
      </w:r>
      <w:bookmarkStart w:id="2" w:name="_GoBack"/>
      <w:bookmarkEnd w:id="2"/>
      <w:r>
        <w:rPr>
          <w:rFonts w:ascii="Times New Roman" w:hAnsi="Times New Roman" w:eastAsia="宋体" w:cs="宋体"/>
          <w:sz w:val="24"/>
        </w:rPr>
        <w:t>。图中的 AUC 为该方法 40 个逐轮 best-so-far 均值的算术平均；由于该运算是线性的，它与“每个随机种子先算 AUC、再取均值”数值相同。</w:t>
      </w:r>
    </w:p>
    <w:p w14:paraId="79B55976">
      <w:pPr>
        <w:pStyle w:val="4"/>
        <w:spacing w:before="120" w:beforeLines="50" w:after="120" w:afterLines="50" w:line="360" w:lineRule="auto"/>
        <w:contextualSpacing/>
        <w:jc w:val="center"/>
        <w:rPr>
          <w:rFonts w:ascii="Times New Roman" w:hAnsi="Times New Roman" w:eastAsia="宋体" w:cs="宋体"/>
          <w:sz w:val="24"/>
        </w:rPr>
      </w:pPr>
      <w:r>
        <w:rPr>
          <w:rFonts w:ascii="Times New Roman" w:hAnsi="Times New Roman" w:eastAsia="宋体" w:cs="宋体"/>
          <w:sz w:val="24"/>
          <w:szCs w:val="24"/>
        </w:rPr>
        <w:drawing>
          <wp:inline distT="0" distB="0" distL="114300" distR="114300">
            <wp:extent cx="6737350" cy="3286125"/>
            <wp:effectExtent l="0" t="0" r="635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rcRect t="4746" b="3254"/>
                    <a:stretch>
                      <a:fillRect/>
                    </a:stretch>
                  </pic:blipFill>
                  <pic:spPr>
                    <a:xfrm>
                      <a:off x="0" y="0"/>
                      <a:ext cx="6737350" cy="3286125"/>
                    </a:xfrm>
                    <a:prstGeom prst="rect">
                      <a:avLst/>
                    </a:prstGeom>
                    <a:noFill/>
                    <a:ln w="9525">
                      <a:noFill/>
                    </a:ln>
                  </pic:spPr>
                </pic:pic>
              </a:graphicData>
            </a:graphic>
          </wp:inline>
        </w:drawing>
      </w:r>
    </w:p>
    <w:p w14:paraId="5FA2F79F">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hint="eastAsia" w:ascii="Times New Roman" w:hAnsi="Times New Roman" w:eastAsia="宋体" w:cs="宋体"/>
          <w:sz w:val="24"/>
        </w:rPr>
        <w:t>上图主要展示了</w:t>
      </w:r>
      <w:r>
        <w:rPr>
          <w:rFonts w:ascii="Times New Roman" w:hAnsi="Times New Roman" w:eastAsia="宋体" w:cs="宋体"/>
          <w:sz w:val="24"/>
        </w:rPr>
        <w:t>四项核心优化指标及其不确定性。圆点表示 20 个独立随机种子的均值，水平误差线表示基于随机种子波动计算的 95% 置信区间。</w:t>
      </w:r>
    </w:p>
    <w:p w14:paraId="24B58AD3">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hint="eastAsia" w:ascii="Times New Roman" w:hAnsi="Times New Roman" w:eastAsia="宋体" w:cs="宋体"/>
          <w:sz w:val="24"/>
        </w:rPr>
        <w:t>所有数据</w:t>
      </w:r>
      <w:r>
        <w:rPr>
          <w:rFonts w:ascii="Times New Roman" w:hAnsi="Times New Roman" w:eastAsia="宋体" w:cs="宋体"/>
          <w:sz w:val="24"/>
        </w:rPr>
        <w:t>图和 CSV 均由同一批冻结 .pt 轨迹重新计算。单独的 t95 达标曲线和高清逐 seed 热图仍保留在 results/figures/，便于复核。</w:t>
      </w:r>
    </w:p>
    <w:p w14:paraId="5CFEF002">
      <w:pPr>
        <w:pStyle w:val="5"/>
        <w:rPr>
          <w:rFonts w:ascii="Times New Roman" w:hAnsi="Times New Roman" w:eastAsia="宋体"/>
          <w:sz w:val="24"/>
        </w:rPr>
      </w:pPr>
      <w:r>
        <w:rPr>
          <w:rFonts w:ascii="Times New Roman" w:hAnsi="Times New Roman" w:eastAsia="宋体"/>
          <w:sz w:val="24"/>
        </w:rPr>
        <w:t xml:space="preserve">5. </w:t>
      </w:r>
      <w:r>
        <w:rPr>
          <w:rFonts w:hint="eastAsia" w:ascii="Times New Roman" w:hAnsi="Times New Roman" w:eastAsia="宋体" w:cs="宋体"/>
          <w:sz w:val="24"/>
        </w:rPr>
        <w:t>模型</w:t>
      </w:r>
      <w:r>
        <w:rPr>
          <w:rFonts w:ascii="Times New Roman" w:hAnsi="Times New Roman" w:eastAsia="宋体"/>
          <w:sz w:val="24"/>
        </w:rPr>
        <w:t>结果</w:t>
      </w:r>
      <w:r>
        <w:rPr>
          <w:rFonts w:hint="eastAsia" w:ascii="Times New Roman" w:hAnsi="Times New Roman" w:eastAsia="宋体" w:cs="宋体"/>
          <w:sz w:val="24"/>
        </w:rPr>
        <w:t>总结</w:t>
      </w:r>
    </w:p>
    <w:p w14:paraId="3B4A61E1">
      <w:pPr>
        <w:pStyle w:val="4"/>
        <w:numPr>
          <w:ilvl w:val="0"/>
          <w:numId w:val="2"/>
        </w:numPr>
        <w:spacing w:after="0"/>
        <w:contextualSpacing/>
        <w:rPr>
          <w:rFonts w:ascii="Times New Roman" w:hAnsi="Times New Roman" w:eastAsia="宋体"/>
          <w:sz w:val="24"/>
        </w:rPr>
      </w:pPr>
      <w:r>
        <w:rPr>
          <w:rFonts w:ascii="Times New Roman" w:hAnsi="Times New Roman" w:eastAsia="宋体"/>
          <w:sz w:val="24"/>
        </w:rPr>
        <w:t>Suzuki 平均在第 4.4 轮达到全局最高值的 95%，40 轮最高值为 97.36%，全过程曲线面积为 95.88，说明其早期发现能力较强。</w:t>
      </w:r>
    </w:p>
    <w:p w14:paraId="2F99D6D2">
      <w:pPr>
        <w:pStyle w:val="4"/>
        <w:numPr>
          <w:ilvl w:val="0"/>
          <w:numId w:val="2"/>
        </w:numPr>
        <w:spacing w:after="0"/>
        <w:contextualSpacing/>
        <w:rPr>
          <w:rFonts w:ascii="Times New Roman" w:hAnsi="Times New Roman" w:eastAsia="宋体"/>
          <w:sz w:val="24"/>
        </w:rPr>
      </w:pPr>
      <w:r>
        <w:rPr>
          <w:rFonts w:ascii="Times New Roman" w:hAnsi="Times New Roman" w:eastAsia="宋体"/>
          <w:sz w:val="24"/>
        </w:rPr>
        <w:t>Buchwald 候选池的最高产率为 86.60%，最终模型平均发现 86.07%，即平均达到候选池最高产率的 99.38%；t95 为 12.5，全过程曲线面积为 82.54。对于仅有 35 条跨产物初始标签的任务，这一结果具有较好的稳定性。</w:t>
      </w:r>
    </w:p>
    <w:p w14:paraId="3BD30736">
      <w:pPr>
        <w:pStyle w:val="4"/>
        <w:numPr>
          <w:ilvl w:val="0"/>
          <w:numId w:val="2"/>
        </w:numPr>
        <w:contextualSpacing/>
        <w:rPr>
          <w:rFonts w:ascii="Times New Roman" w:hAnsi="Times New Roman" w:eastAsia="宋体"/>
          <w:sz w:val="24"/>
        </w:rPr>
      </w:pPr>
      <w:r>
        <w:rPr>
          <w:rFonts w:ascii="Times New Roman" w:hAnsi="Times New Roman" w:eastAsia="宋体"/>
          <w:sz w:val="24"/>
        </w:rPr>
        <w:t>置信区间反映的是不同随机种子之间的波动。</w:t>
      </w:r>
    </w:p>
    <w:p w14:paraId="29C8830D">
      <w:pPr>
        <w:pStyle w:val="4"/>
        <w:contextualSpacing/>
        <w:rPr>
          <w:rFonts w:ascii="Times New Roman" w:hAnsi="Times New Roman" w:eastAsia="宋体"/>
          <w:sz w:val="24"/>
        </w:rPr>
      </w:pPr>
      <w:r>
        <w:rPr>
          <w:rFonts w:ascii="Times New Roman" w:hAnsi="Times New Roman" w:eastAsia="宋体"/>
          <w:sz w:val="24"/>
        </w:rPr>
        <w:t>补充指标如下：</w:t>
      </w:r>
    </w:p>
    <w:p w14:paraId="0C585ACC">
      <w:pPr>
        <w:pStyle w:val="4"/>
        <w:numPr>
          <w:ilvl w:val="0"/>
          <w:numId w:val="3"/>
        </w:numPr>
        <w:spacing w:after="0"/>
        <w:contextualSpacing/>
        <w:rPr>
          <w:rFonts w:ascii="Times New Roman" w:hAnsi="Times New Roman" w:eastAsia="宋体"/>
          <w:sz w:val="24"/>
        </w:rPr>
      </w:pPr>
      <w:r>
        <w:rPr>
          <w:rFonts w:ascii="Times New Roman" w:hAnsi="Times New Roman" w:eastAsia="宋体"/>
          <w:sz w:val="24"/>
        </w:rPr>
        <w:t>Suzuki 的最终简单遗憾值（候选池最高产率减去已发现最高产率）为 2.5375 ± 1.3957；前 5、10、20 轮的曲线面积分别为 91.0846、93.4246、94.8170。</w:t>
      </w:r>
    </w:p>
    <w:p w14:paraId="34A00C1E">
      <w:pPr>
        <w:pStyle w:val="4"/>
        <w:numPr>
          <w:ilvl w:val="0"/>
          <w:numId w:val="3"/>
        </w:numPr>
        <w:spacing w:after="0"/>
        <w:contextualSpacing/>
        <w:rPr>
          <w:rFonts w:ascii="Times New Roman" w:hAnsi="Times New Roman" w:eastAsia="宋体"/>
          <w:sz w:val="24"/>
        </w:rPr>
      </w:pPr>
      <w:r>
        <w:rPr>
          <w:rFonts w:ascii="Times New Roman" w:hAnsi="Times New Roman" w:eastAsia="宋体"/>
          <w:sz w:val="24"/>
        </w:rPr>
        <w:t>Buchwald 的最终简单遗憾值为 0.5306 ± 1.2052；前 5、10、20 轮的曲线面积分别为 75.2666、76.2062、79.4657。</w:t>
      </w:r>
    </w:p>
    <w:p w14:paraId="7AFDA3BA">
      <w:pPr>
        <w:pStyle w:val="4"/>
        <w:numPr>
          <w:ilvl w:val="0"/>
          <w:numId w:val="3"/>
        </w:numPr>
        <w:contextualSpacing/>
        <w:rPr>
          <w:rFonts w:ascii="Times New Roman" w:hAnsi="Times New Roman" w:eastAsia="宋体"/>
          <w:sz w:val="24"/>
        </w:rPr>
      </w:pPr>
      <w:r>
        <w:rPr>
          <w:rFonts w:ascii="Times New Roman" w:hAnsi="Times New Roman" w:eastAsia="宋体"/>
          <w:sz w:val="24"/>
        </w:rPr>
        <w:t>被选中候选上的预测误差和 95% 覆盖率仅用于诊断模型在顺序选择中是否过度自信。</w:t>
      </w:r>
    </w:p>
    <w:p w14:paraId="6F7F05B0">
      <w:pPr>
        <w:pStyle w:val="5"/>
        <w:rPr>
          <w:rFonts w:ascii="Times New Roman" w:hAnsi="Times New Roman" w:eastAsia="宋体"/>
          <w:sz w:val="24"/>
        </w:rPr>
      </w:pPr>
      <w:r>
        <w:rPr>
          <w:rFonts w:ascii="Times New Roman" w:hAnsi="Times New Roman" w:eastAsia="宋体"/>
          <w:sz w:val="24"/>
        </w:rPr>
        <w:t xml:space="preserve">6. DFT </w:t>
      </w:r>
      <w:r>
        <w:rPr>
          <w:rFonts w:hint="eastAsia" w:ascii="Times New Roman" w:hAnsi="Times New Roman" w:eastAsia="宋体" w:cs="宋体"/>
          <w:sz w:val="24"/>
        </w:rPr>
        <w:t>选择后解释与真实轨迹案例</w:t>
      </w:r>
    </w:p>
    <w:p w14:paraId="5F15EB5D">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DFT 解释器只在冻结优化模型已经选定候选条件后运行。它的作用是帮助理解该候选的电子结构特征，而不是参与选点。</w:t>
      </w:r>
    </w:p>
    <w:p w14:paraId="66F32ADF">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具体来说：</w:t>
      </w:r>
    </w:p>
    <w:p w14:paraId="19C08FEB">
      <w:pPr>
        <w:pStyle w:val="4"/>
        <w:numPr>
          <w:ilvl w:val="0"/>
          <w:numId w:val="3"/>
        </w:numPr>
        <w:spacing w:after="0"/>
        <w:contextualSpacing/>
        <w:rPr>
          <w:rFonts w:ascii="Times New Roman" w:hAnsi="Times New Roman" w:eastAsia="宋体"/>
          <w:sz w:val="24"/>
        </w:rPr>
      </w:pPr>
      <w:r>
        <w:rPr>
          <w:rFonts w:ascii="Times New Roman" w:hAnsi="Times New Roman" w:eastAsia="宋体"/>
          <w:sz w:val="24"/>
        </w:rPr>
        <w:t>模型先根据已查询数据、预测产率、不确定性和期望改进值，决定下一条实验；</w:t>
      </w:r>
    </w:p>
    <w:p w14:paraId="0B5DFB39">
      <w:pPr>
        <w:pStyle w:val="4"/>
        <w:numPr>
          <w:ilvl w:val="0"/>
          <w:numId w:val="3"/>
        </w:numPr>
        <w:spacing w:after="0"/>
        <w:contextualSpacing/>
        <w:rPr>
          <w:rFonts w:ascii="Times New Roman" w:hAnsi="Times New Roman" w:eastAsia="宋体"/>
          <w:sz w:val="24"/>
        </w:rPr>
      </w:pPr>
      <w:r>
        <w:rPr>
          <w:rFonts w:ascii="Times New Roman" w:hAnsi="Times New Roman" w:eastAsia="宋体"/>
          <w:sz w:val="24"/>
        </w:rPr>
        <w:t>oracle</w:t>
      </w:r>
      <w:r>
        <w:rPr>
          <w:rFonts w:hint="eastAsia" w:ascii="Times New Roman" w:hAnsi="Times New Roman" w:eastAsia="宋体"/>
          <w:sz w:val="24"/>
        </w:rPr>
        <w:t>（</w:t>
      </w:r>
      <w:r>
        <w:rPr>
          <w:rFonts w:ascii="Times New Roman" w:hAnsi="Times New Roman" w:eastAsia="宋体"/>
          <w:sz w:val="24"/>
        </w:rPr>
        <w:t>真实结果查询器</w:t>
      </w:r>
      <w:r>
        <w:rPr>
          <w:rFonts w:hint="eastAsia" w:ascii="Times New Roman" w:hAnsi="Times New Roman" w:eastAsia="宋体"/>
          <w:sz w:val="24"/>
        </w:rPr>
        <w:t>）</w:t>
      </w:r>
      <w:r>
        <w:rPr>
          <w:rFonts w:ascii="Times New Roman" w:hAnsi="Times New Roman" w:eastAsia="宋体"/>
          <w:sz w:val="24"/>
        </w:rPr>
        <w:t>返回该实验的真实产率后，才可用于结果说明；</w:t>
      </w:r>
    </w:p>
    <w:p w14:paraId="2F7B6CCF">
      <w:pPr>
        <w:pStyle w:val="4"/>
        <w:numPr>
          <w:ilvl w:val="0"/>
          <w:numId w:val="3"/>
        </w:numPr>
        <w:spacing w:after="0"/>
        <w:contextualSpacing/>
        <w:rPr>
          <w:rFonts w:ascii="Times New Roman" w:hAnsi="Times New Roman" w:eastAsia="宋体"/>
          <w:sz w:val="24"/>
        </w:rPr>
      </w:pPr>
      <w:r>
        <w:rPr>
          <w:rFonts w:ascii="Times New Roman" w:hAnsi="Times New Roman" w:eastAsia="宋体"/>
          <w:sz w:val="24"/>
        </w:rPr>
        <w:t>DFT 解释器随后将候选中各组分的电子结构指标，与同一反应角色的其他已计算组分进行比较；</w:t>
      </w:r>
    </w:p>
    <w:p w14:paraId="2D0A1665">
      <w:pPr>
        <w:pStyle w:val="4"/>
        <w:numPr>
          <w:ilvl w:val="0"/>
          <w:numId w:val="3"/>
        </w:numPr>
        <w:spacing w:after="0"/>
        <w:contextualSpacing/>
        <w:rPr>
          <w:rFonts w:ascii="Times New Roman" w:hAnsi="Times New Roman" w:eastAsia="宋体"/>
          <w:sz w:val="24"/>
        </w:rPr>
      </w:pPr>
      <w:r>
        <w:rPr>
          <w:rFonts w:ascii="Times New Roman" w:hAnsi="Times New Roman" w:eastAsia="宋体"/>
          <w:sz w:val="24"/>
        </w:rPr>
        <w:t>DFT 结果不会参与代理模型训练、期望改进计算或候选排序，也不会读取未查询候选的真实产率。</w:t>
      </w:r>
    </w:p>
    <w:p w14:paraId="7709E852">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表中的“DFT 覆盖 5/5”表示该候选的五类反应组分均有可用 DFT 计算结果；“混合 / 中”表示存在同时支持与提示风险的电子结构证据，因此解释结论为混合，可信度为中等。</w:t>
      </w:r>
    </w:p>
    <w:tbl>
      <w:tblPr>
        <w:tblStyle w:val="13"/>
        <w:tblW w:w="94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1050"/>
        <w:gridCol w:w="1050"/>
        <w:gridCol w:w="1150"/>
        <w:gridCol w:w="1150"/>
        <w:gridCol w:w="1000"/>
        <w:gridCol w:w="1290"/>
      </w:tblGrid>
      <w:tr w14:paraId="2873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00" w:type="dxa"/>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59742D35">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数据集与案例</w:t>
            </w:r>
          </w:p>
        </w:tc>
        <w:tc>
          <w:tcPr>
            <w:tcW w:w="105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58F73912">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模型预测</w:t>
            </w:r>
          </w:p>
        </w:tc>
        <w:tc>
          <w:tcPr>
            <w:tcW w:w="105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1F555A2F">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不确定性</w:t>
            </w:r>
          </w:p>
        </w:tc>
        <w:tc>
          <w:tcPr>
            <w:tcW w:w="115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28716D1B">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期望改进值</w:t>
            </w:r>
          </w:p>
        </w:tc>
        <w:tc>
          <w:tcPr>
            <w:tcW w:w="115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227368D8">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查询后产率</w:t>
            </w:r>
          </w:p>
        </w:tc>
        <w:tc>
          <w:tcPr>
            <w:tcW w:w="100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4089FD9C">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DFT 覆盖</w:t>
            </w:r>
          </w:p>
        </w:tc>
        <w:tc>
          <w:tcPr>
            <w:tcW w:w="129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08D32D08">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证据/可信度</w:t>
            </w:r>
          </w:p>
        </w:tc>
      </w:tr>
      <w:tr w14:paraId="72FD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77EADD7">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Suzuki seed 100 首轮，索引 193</w:t>
            </w:r>
          </w:p>
        </w:tc>
        <w:tc>
          <w:tcPr>
            <w:tcW w:w="105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1E00EEA">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52.07</w:t>
            </w:r>
          </w:p>
        </w:tc>
        <w:tc>
          <w:tcPr>
            <w:tcW w:w="105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BA8D98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25.65</w:t>
            </w:r>
          </w:p>
        </w:tc>
        <w:tc>
          <w:tcPr>
            <w:tcW w:w="115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7AD3A66">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3.320</w:t>
            </w:r>
          </w:p>
        </w:tc>
        <w:tc>
          <w:tcPr>
            <w:tcW w:w="115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BA65AA5">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80.63%</w:t>
            </w:r>
          </w:p>
        </w:tc>
        <w:tc>
          <w:tcPr>
            <w:tcW w:w="10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7F069AC">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5/5</w:t>
            </w:r>
          </w:p>
        </w:tc>
        <w:tc>
          <w:tcPr>
            <w:tcW w:w="129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D12BD89">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混合 / 中</w:t>
            </w:r>
          </w:p>
        </w:tc>
      </w:tr>
      <w:tr w14:paraId="630F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091BD6B">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Buchwald seed 100 首轮，索引 151</w:t>
            </w:r>
          </w:p>
        </w:tc>
        <w:tc>
          <w:tcPr>
            <w:tcW w:w="105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21C5935">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46.48</w:t>
            </w:r>
          </w:p>
        </w:tc>
        <w:tc>
          <w:tcPr>
            <w:tcW w:w="105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4972DF4">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17.73</w:t>
            </w:r>
          </w:p>
        </w:tc>
        <w:tc>
          <w:tcPr>
            <w:tcW w:w="115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6CAD277">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7.631</w:t>
            </w:r>
          </w:p>
        </w:tc>
        <w:tc>
          <w:tcPr>
            <w:tcW w:w="115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DF8FD7D">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74.97%</w:t>
            </w:r>
          </w:p>
        </w:tc>
        <w:tc>
          <w:tcPr>
            <w:tcW w:w="10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4219196">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5/5</w:t>
            </w:r>
          </w:p>
        </w:tc>
        <w:tc>
          <w:tcPr>
            <w:tcW w:w="129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6DACDA2">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混合 / 中</w:t>
            </w:r>
          </w:p>
        </w:tc>
      </w:tr>
    </w:tbl>
    <w:p w14:paraId="31FE351D">
      <w:pPr>
        <w:pStyle w:val="4"/>
        <w:spacing w:before="120" w:beforeLines="50" w:after="120" w:afterLines="50" w:line="360" w:lineRule="auto"/>
        <w:contextualSpacing/>
        <w:jc w:val="center"/>
        <w:rPr>
          <w:rFonts w:ascii="Times New Roman" w:hAnsi="Times New Roman" w:eastAsia="宋体" w:cs="宋体"/>
          <w:sz w:val="24"/>
          <w:szCs w:val="15"/>
        </w:rPr>
      </w:pPr>
      <w:r>
        <w:rPr>
          <w:rFonts w:ascii="Times New Roman" w:hAnsi="Times New Roman" w:eastAsia="宋体" w:cs="宋体"/>
          <w:sz w:val="24"/>
          <w:szCs w:val="15"/>
        </w:rPr>
        <w:t>seed 100：控制随机过程的固定数字。第 1 轮：模型还未从本轮得到新反馈时，首次推荐的实验。索引 193 / 151：候选条件表中的行编号或候选 ID，用于准确定位“选的是哪组底物、配体、碱、溶剂等反应条件”。它们是从完整 20 个种子、每个种子 40 轮的轨迹中，抽出的两个具体案例来展示模型推荐和 DFT 解释。</w:t>
      </w:r>
    </w:p>
    <w:p w14:paraId="365985FD">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在该 Suzuki 条件中，有机硼试剂的 C–B Mayer 键级位于同类有机硼试剂的第 25 百分位，说明该键相对偏弱；硼原子电荷位于第 75 百分位。这两项特征从机理角度可视为对硼试剂活化的支持。碱的偶极矩位于第 93 百分位，说明其极性在同类碱中较高，可能影响反应环境和离子过程。但该条件也存在风险信号：6-碘喹啉的 C–离去基团键级位于第 90 百分位，说明相关键相对较强；反应碳电荷位于第 10 百分位，也提示氧化加成步骤可能面临电子效应方面的不利因素。因此，解释器不会因为最终产率较高，就将所有 DFT 特征都解释为“有利”。该案例同时存在支持证据与风险证据，因此结论为“混合 / 中等可信度”。</w:t>
      </w:r>
    </w:p>
    <w:p w14:paraId="12DD7E5B">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在该 Buchwald 条件中，配体 HOMO 位于四个已计算配体的第 88 百分位，表明该配体相对具有更强的给电子能力；这一点可作为支持配体参与催化循环的电子结构证据。同时，芳基卤代物 LUMO 位于第 90 百分位，配体磷位点电荷也位于第 88 百分位。这些较高的相对位置构成潜在风险提示，说明电子匹配和关键反应步骤仍可能存在限制。该候选最终真实产率为 74.97%。这一结果说明 DFT 解释用于展示该条件中可能同时存在的有利因素与限制因素，而不是声称某一个 DFT 指标单独决定产率。</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200"/>
        <w:gridCol w:w="3000"/>
        <w:gridCol w:w="2360"/>
      </w:tblGrid>
      <w:tr w14:paraId="2E0F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56451B7C">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数据集</w:t>
            </w:r>
          </w:p>
        </w:tc>
        <w:tc>
          <w:tcPr>
            <w:tcW w:w="220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343C4741">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唯一已查询条件</w:t>
            </w:r>
          </w:p>
        </w:tc>
        <w:tc>
          <w:tcPr>
            <w:tcW w:w="300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07864EFA">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五角色完整 DFT 解释</w:t>
            </w:r>
          </w:p>
        </w:tc>
        <w:tc>
          <w:tcPr>
            <w:tcW w:w="236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46906F70">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完整覆盖率</w:t>
            </w:r>
          </w:p>
        </w:tc>
      </w:tr>
      <w:tr w14:paraId="026C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4D25326">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Suzuki</w:t>
            </w:r>
          </w:p>
        </w:tc>
        <w:tc>
          <w:tcPr>
            <w:tcW w:w="22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3CC9F77">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357</w:t>
            </w:r>
          </w:p>
        </w:tc>
        <w:tc>
          <w:tcPr>
            <w:tcW w:w="30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C0E56B8">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321</w:t>
            </w:r>
          </w:p>
        </w:tc>
        <w:tc>
          <w:tcPr>
            <w:tcW w:w="236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D21BD6B">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89.9%</w:t>
            </w:r>
          </w:p>
        </w:tc>
      </w:tr>
      <w:tr w14:paraId="006A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49B2BF2">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Buchwald_sub4</w:t>
            </w:r>
          </w:p>
        </w:tc>
        <w:tc>
          <w:tcPr>
            <w:tcW w:w="22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FF19BB7">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97</w:t>
            </w:r>
          </w:p>
        </w:tc>
        <w:tc>
          <w:tcPr>
            <w:tcW w:w="30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2EF79D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97</w:t>
            </w:r>
          </w:p>
        </w:tc>
        <w:tc>
          <w:tcPr>
            <w:tcW w:w="236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8214BED">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100.0%</w:t>
            </w:r>
          </w:p>
        </w:tc>
      </w:tr>
    </w:tbl>
    <w:p w14:paraId="11B23BCA">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覆盖率按 20 条冻结轨迹中的唯一条件计算，不等同于全候选空间的 DFT 完整行覆盖率。对缺失角色不做数值补造，解释器会相应降低覆盖率和可信度。</w:t>
      </w:r>
    </w:p>
    <w:p w14:paraId="5D2AB897">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轨迹结束后，项目仅使用已经合法查询得到的产率，对 DFT 指标与产率之间的关系进行了探索性检查</w:t>
      </w:r>
      <w:r>
        <w:rPr>
          <w:rFonts w:hint="eastAsia" w:ascii="Times New Roman" w:hAnsi="Times New Roman" w:eastAsia="宋体" w:cs="宋体"/>
          <w:sz w:val="24"/>
        </w:rPr>
        <w:t>。</w:t>
      </w:r>
      <w:r>
        <w:rPr>
          <w:rFonts w:ascii="Times New Roman" w:hAnsi="Times New Roman" w:eastAsia="宋体" w:cs="宋体"/>
          <w:sz w:val="24"/>
        </w:rPr>
        <w:t>为避免同一组分重复出现而被误认为多个独立样本，先按反应角色和组分进行聚合，再计算 Spearman 秩相关系数。所有待检验的 DFT 指标均在分析前确定，并同时报告：</w:t>
      </w:r>
    </w:p>
    <w:p w14:paraId="4AF85804">
      <w:pPr>
        <w:pStyle w:val="4"/>
        <w:numPr>
          <w:ilvl w:val="0"/>
          <w:numId w:val="3"/>
        </w:numPr>
        <w:spacing w:after="0"/>
        <w:contextualSpacing/>
        <w:rPr>
          <w:rFonts w:ascii="Times New Roman" w:hAnsi="Times New Roman" w:eastAsia="宋体"/>
          <w:sz w:val="24"/>
        </w:rPr>
      </w:pPr>
      <w:r>
        <w:rPr>
          <w:rFonts w:ascii="Times New Roman" w:hAnsi="Times New Roman" w:eastAsia="宋体"/>
          <w:sz w:val="24"/>
        </w:rPr>
        <w:t>ρ：指标与产率的单调相关方向和强度；</w:t>
      </w:r>
    </w:p>
    <w:p w14:paraId="34555F28">
      <w:pPr>
        <w:pStyle w:val="4"/>
        <w:numPr>
          <w:ilvl w:val="0"/>
          <w:numId w:val="3"/>
        </w:numPr>
        <w:spacing w:after="0"/>
        <w:contextualSpacing/>
        <w:rPr>
          <w:rFonts w:ascii="Times New Roman" w:hAnsi="Times New Roman" w:eastAsia="宋体"/>
          <w:sz w:val="24"/>
        </w:rPr>
      </w:pPr>
      <w:r>
        <w:rPr>
          <w:rFonts w:ascii="Times New Roman" w:hAnsi="Times New Roman" w:eastAsia="宋体"/>
          <w:sz w:val="24"/>
        </w:rPr>
        <w:t>p：未经多重比较校正的显著性；</w:t>
      </w:r>
    </w:p>
    <w:p w14:paraId="4A3042DE">
      <w:pPr>
        <w:pStyle w:val="4"/>
        <w:numPr>
          <w:ilvl w:val="0"/>
          <w:numId w:val="3"/>
        </w:numPr>
        <w:spacing w:after="0"/>
        <w:contextualSpacing/>
        <w:rPr>
          <w:rFonts w:ascii="Times New Roman" w:hAnsi="Times New Roman" w:eastAsia="宋体" w:cs="宋体"/>
          <w:sz w:val="24"/>
        </w:rPr>
      </w:pPr>
      <w:r>
        <w:rPr>
          <w:rFonts w:ascii="Times New Roman" w:hAnsi="Times New Roman" w:eastAsia="宋体"/>
          <w:sz w:val="24"/>
        </w:rPr>
        <w:t>q</w:t>
      </w:r>
      <w:r>
        <w:rPr>
          <w:rFonts w:ascii="Times New Roman" w:hAnsi="Times New Roman" w:eastAsia="宋体" w:cs="宋体"/>
          <w:sz w:val="24"/>
        </w:rPr>
        <w:t>：经过 Benjamini–Hochberg 多重比较校正后的显著性。</w:t>
      </w:r>
    </w:p>
    <w:p w14:paraId="74312B37">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结果显示，两个数据集均没有出现 q &lt; 0.05 的稳定关联。Suzuki 中绝对值最大的描述性信号为配体磷位点电荷（ρ = -0.736，q = 0.117，11 个组分），但仍未达到可靠显著性。Buchwald 中部分指标出现了 |ρ| = 1，但对应样本只有 3 个组分，且 q = 0.720，不能视为稳定规律，更不能解释为因果关系。因此，当前 DFT 层应被视为可追溯的机理解释与风险提示工具，而不是直接决定候选排序或产率高低的模型。</w:t>
      </w:r>
    </w:p>
    <w:p w14:paraId="5BF38AC1">
      <w:pPr>
        <w:pStyle w:val="4"/>
        <w:wordWrap w:val="0"/>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完整自然语言案例见 results/dft_explanations/dft_explanation_examples.md，结构化输出见同目录 JSON；覆盖率和全部预注册关联分别见 dft_coverage_summary.csv 与 dft_posthoc_associations.csv。这些结果支持将 DFT 作为可追溯的机理解释层，而不让其直接控制当前冻结排序。</w:t>
      </w:r>
    </w:p>
    <w:p w14:paraId="291F00D5">
      <w:pPr>
        <w:pStyle w:val="5"/>
        <w:rPr>
          <w:rFonts w:ascii="Times New Roman" w:hAnsi="Times New Roman" w:eastAsia="宋体"/>
          <w:sz w:val="24"/>
        </w:rPr>
      </w:pPr>
      <w:r>
        <w:rPr>
          <w:rFonts w:ascii="Times New Roman" w:hAnsi="Times New Roman" w:eastAsia="宋体"/>
          <w:sz w:val="24"/>
        </w:rPr>
        <w:t>7.</w:t>
      </w:r>
      <w:r>
        <w:rPr>
          <w:rFonts w:ascii="Times New Roman" w:hAnsi="Times New Roman" w:eastAsia="宋体" w:cs="Times New Roman"/>
          <w:sz w:val="24"/>
        </w:rPr>
        <w:t xml:space="preserve"> </w:t>
      </w:r>
      <w:r>
        <w:rPr>
          <w:rStyle w:val="19"/>
          <w:rFonts w:ascii="Times New Roman" w:hAnsi="Times New Roman" w:eastAsia="宋体" w:cs="Times New Roman"/>
          <w:sz w:val="24"/>
          <w:szCs w:val="32"/>
        </w:rPr>
        <w:t>.pt</w:t>
      </w:r>
      <w:r>
        <w:rPr>
          <w:rFonts w:ascii="Times New Roman" w:hAnsi="Times New Roman" w:eastAsia="宋体" w:cs="Times New Roman"/>
          <w:sz w:val="24"/>
        </w:rPr>
        <w:t xml:space="preserve"> </w:t>
      </w:r>
      <w:r>
        <w:rPr>
          <w:rFonts w:ascii="Times New Roman" w:hAnsi="Times New Roman" w:eastAsia="宋体"/>
          <w:sz w:val="24"/>
        </w:rPr>
        <w:t>完整轨迹、字段和指标重算</w:t>
      </w:r>
    </w:p>
    <w:p w14:paraId="256FA261">
      <w:pPr>
        <w:pStyle w:val="4"/>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正式提交目录如下：</w:t>
      </w:r>
    </w:p>
    <w:p w14:paraId="46B52327">
      <w:pPr>
        <w:pStyle w:val="27"/>
        <w:contextualSpacing/>
        <w:rPr>
          <w:rFonts w:ascii="Times New Roman" w:hAnsi="Times New Roman" w:eastAsia="宋体"/>
          <w:sz w:val="24"/>
        </w:rPr>
      </w:pPr>
      <w:r>
        <w:rPr>
          <w:rStyle w:val="19"/>
          <w:rFonts w:ascii="Times New Roman" w:hAnsi="Times New Roman" w:eastAsia="宋体"/>
          <w:sz w:val="24"/>
        </w:rPr>
        <w:t>results/optimization_trajectories/</w:t>
      </w:r>
    </w:p>
    <w:p w14:paraId="2E1266B0">
      <w:pPr>
        <w:pStyle w:val="27"/>
        <w:contextualSpacing/>
        <w:rPr>
          <w:rFonts w:ascii="Times New Roman" w:hAnsi="Times New Roman" w:eastAsia="宋体"/>
          <w:sz w:val="24"/>
        </w:rPr>
      </w:pPr>
      <w:r>
        <w:rPr>
          <w:rStyle w:val="19"/>
          <w:rFonts w:ascii="Times New Roman" w:hAnsi="Times New Roman" w:eastAsia="宋体"/>
          <w:sz w:val="24"/>
        </w:rPr>
        <w:t>├── Suzuki/seed_100.pt ... seed_2000.pt</w:t>
      </w:r>
    </w:p>
    <w:p w14:paraId="12FA2769">
      <w:pPr>
        <w:pStyle w:val="27"/>
        <w:spacing w:after="283"/>
        <w:contextualSpacing/>
        <w:rPr>
          <w:rFonts w:ascii="Times New Roman" w:hAnsi="Times New Roman" w:eastAsia="宋体"/>
          <w:sz w:val="24"/>
        </w:rPr>
      </w:pPr>
      <w:r>
        <w:rPr>
          <w:rStyle w:val="19"/>
          <w:rFonts w:ascii="Times New Roman" w:hAnsi="Times New Roman" w:eastAsia="宋体"/>
          <w:sz w:val="24"/>
        </w:rPr>
        <w:t>└── Buchwald_sub4/seed_100.pt ... seed_2000.pt</w:t>
      </w:r>
    </w:p>
    <w:p w14:paraId="21C6A6D6">
      <w:pPr>
        <w:pStyle w:val="4"/>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每个 .pt 文件均为 Python 标准库 pickle 序列化的字典，不依赖 PyTorch：</w:t>
      </w:r>
    </w:p>
    <w:p w14:paraId="2961C2E5">
      <w:pPr>
        <w:pStyle w:val="27"/>
        <w:contextualSpacing/>
        <w:rPr>
          <w:rFonts w:hint="eastAsia" w:ascii="Times New Roman" w:hAnsi="Times New Roman" w:eastAsia="宋体"/>
          <w:sz w:val="24"/>
        </w:rPr>
      </w:pPr>
      <w:r>
        <w:rPr>
          <w:rStyle w:val="19"/>
          <w:rFonts w:ascii="Times New Roman" w:hAnsi="Times New Roman" w:eastAsia="宋体"/>
          <w:sz w:val="24"/>
        </w:rPr>
        <w:t>import pickle</w:t>
      </w:r>
    </w:p>
    <w:p w14:paraId="267E89C2">
      <w:pPr>
        <w:pStyle w:val="27"/>
        <w:contextualSpacing/>
        <w:rPr>
          <w:rFonts w:ascii="Times New Roman" w:hAnsi="Times New Roman" w:eastAsia="宋体"/>
          <w:sz w:val="24"/>
        </w:rPr>
      </w:pPr>
      <w:r>
        <w:rPr>
          <w:rStyle w:val="19"/>
          <w:rFonts w:ascii="Times New Roman" w:hAnsi="Times New Roman" w:eastAsia="宋体"/>
          <w:sz w:val="24"/>
        </w:rPr>
        <w:t>with open("results/optimization_trajectories/Suzuki/seed_100.pt", "rb") as f:</w:t>
      </w:r>
    </w:p>
    <w:p w14:paraId="5F77A4A7">
      <w:pPr>
        <w:pStyle w:val="27"/>
        <w:contextualSpacing/>
        <w:rPr>
          <w:rFonts w:ascii="Times New Roman" w:hAnsi="Times New Roman" w:eastAsia="宋体"/>
          <w:sz w:val="24"/>
        </w:rPr>
      </w:pPr>
      <w:r>
        <w:rPr>
          <w:rStyle w:val="19"/>
          <w:rFonts w:ascii="Times New Roman" w:hAnsi="Times New Roman" w:eastAsia="宋体"/>
          <w:sz w:val="24"/>
        </w:rPr>
        <w:t xml:space="preserve">    payload = pickle.load(f)</w:t>
      </w:r>
    </w:p>
    <w:p w14:paraId="3CAAAAF3">
      <w:pPr>
        <w:pStyle w:val="27"/>
        <w:contextualSpacing/>
        <w:rPr>
          <w:rFonts w:ascii="Times New Roman" w:hAnsi="Times New Roman" w:eastAsia="宋体"/>
          <w:sz w:val="24"/>
        </w:rPr>
      </w:pPr>
      <w:r>
        <w:rPr>
          <w:rStyle w:val="19"/>
          <w:rFonts w:ascii="Times New Roman" w:hAnsi="Times New Roman" w:eastAsia="宋体"/>
          <w:sz w:val="24"/>
        </w:rPr>
        <w:t>seed = payload["seed"]</w:t>
      </w:r>
    </w:p>
    <w:p w14:paraId="7A6D07E9">
      <w:pPr>
        <w:pStyle w:val="27"/>
        <w:contextualSpacing/>
        <w:rPr>
          <w:rFonts w:ascii="Times New Roman" w:hAnsi="Times New Roman" w:eastAsia="宋体"/>
          <w:sz w:val="24"/>
        </w:rPr>
      </w:pPr>
      <w:r>
        <w:rPr>
          <w:rStyle w:val="19"/>
          <w:rFonts w:ascii="Times New Roman" w:hAnsi="Times New Roman" w:eastAsia="宋体"/>
          <w:sz w:val="24"/>
        </w:rPr>
        <w:t>dataset = payload["dataset"]</w:t>
      </w:r>
    </w:p>
    <w:p w14:paraId="43D57B77">
      <w:pPr>
        <w:pStyle w:val="27"/>
        <w:spacing w:after="283"/>
        <w:contextualSpacing/>
        <w:rPr>
          <w:rFonts w:ascii="Times New Roman" w:hAnsi="Times New Roman" w:eastAsia="宋体"/>
          <w:sz w:val="24"/>
        </w:rPr>
      </w:pPr>
      <w:r>
        <w:rPr>
          <w:rStyle w:val="19"/>
          <w:rFonts w:ascii="Times New Roman" w:hAnsi="Times New Roman" w:eastAsia="宋体"/>
          <w:sz w:val="24"/>
        </w:rPr>
        <w:t>records = payload["trajectory"]  # 恰好 40 条，按 step=1...40 排序</w:t>
      </w:r>
    </w:p>
    <w:tbl>
      <w:tblPr>
        <w:tblStyle w:val="13"/>
        <w:tblpPr w:leftFromText="180" w:rightFromText="180" w:vertAnchor="text" w:horzAnchor="page" w:tblpX="1387" w:tblpY="518"/>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5200"/>
        <w:gridCol w:w="2060"/>
      </w:tblGrid>
      <w:tr w14:paraId="637EC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00" w:type="dxa"/>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77A94E77">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字段</w:t>
            </w:r>
          </w:p>
        </w:tc>
        <w:tc>
          <w:tcPr>
            <w:tcW w:w="520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330A99CF">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含义</w:t>
            </w:r>
          </w:p>
        </w:tc>
        <w:tc>
          <w:tcPr>
            <w:tcW w:w="206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1D95A2BF">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是否每轮存在</w:t>
            </w:r>
          </w:p>
        </w:tc>
      </w:tr>
      <w:tr w14:paraId="6BB9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0877FED">
            <w:pPr>
              <w:pStyle w:val="23"/>
              <w:suppressAutoHyphens w:val="0"/>
              <w:spacing w:after="0" w:line="276" w:lineRule="auto"/>
              <w:jc w:val="center"/>
              <w:rPr>
                <w:rFonts w:ascii="Times New Roman" w:hAnsi="Times New Roman" w:eastAsia="宋体"/>
                <w:b w:val="0"/>
                <w:color w:val="000000"/>
                <w:sz w:val="24"/>
                <w:szCs w:val="18"/>
                <w:lang w:eastAsia="en-US" w:bidi="ar-SA"/>
              </w:rPr>
            </w:pPr>
            <w:r>
              <w:rPr>
                <w:rStyle w:val="19"/>
                <w:rFonts w:ascii="Times New Roman" w:hAnsi="Times New Roman" w:eastAsia="宋体" w:cs="Calibri"/>
                <w:b w:val="0"/>
                <w:color w:val="000000"/>
                <w:sz w:val="24"/>
                <w:lang w:eastAsia="en-US" w:bidi="ar-SA"/>
              </w:rPr>
              <w:t>step</w:t>
            </w:r>
          </w:p>
        </w:tc>
        <w:tc>
          <w:tcPr>
            <w:tcW w:w="52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8004E0F">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从 1 开始的当前轮数</w:t>
            </w:r>
          </w:p>
        </w:tc>
        <w:tc>
          <w:tcPr>
            <w:tcW w:w="206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FD5D67E">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是</w:t>
            </w:r>
          </w:p>
        </w:tc>
      </w:tr>
      <w:tr w14:paraId="6504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nil"/>
              <w:left w:val="nil"/>
              <w:bottom w:val="nil"/>
              <w:right w:val="nil"/>
            </w:tcBorders>
            <w:shd w:val="clear" w:color="auto" w:fill="FFFFFF"/>
            <w:tcMar>
              <w:top w:w="80" w:type="dxa"/>
              <w:left w:w="120" w:type="dxa"/>
              <w:bottom w:w="80" w:type="dxa"/>
              <w:right w:w="120" w:type="dxa"/>
            </w:tcMar>
            <w:vAlign w:val="center"/>
          </w:tcPr>
          <w:p w14:paraId="613E36DC">
            <w:pPr>
              <w:pStyle w:val="23"/>
              <w:suppressAutoHyphens w:val="0"/>
              <w:spacing w:after="0" w:line="276" w:lineRule="auto"/>
              <w:jc w:val="center"/>
              <w:rPr>
                <w:rFonts w:ascii="Times New Roman" w:hAnsi="Times New Roman" w:eastAsia="宋体"/>
                <w:b w:val="0"/>
                <w:color w:val="000000"/>
                <w:sz w:val="24"/>
                <w:szCs w:val="18"/>
                <w:lang w:eastAsia="en-US" w:bidi="ar-SA"/>
              </w:rPr>
            </w:pPr>
            <w:r>
              <w:rPr>
                <w:rStyle w:val="19"/>
                <w:rFonts w:ascii="Times New Roman" w:hAnsi="Times New Roman" w:eastAsia="宋体" w:cs="Calibri"/>
                <w:b w:val="0"/>
                <w:color w:val="000000"/>
                <w:sz w:val="24"/>
                <w:lang w:eastAsia="en-US" w:bidi="ar-SA"/>
              </w:rPr>
              <w:t>query_index</w:t>
            </w:r>
          </w:p>
        </w:tc>
        <w:tc>
          <w:tcPr>
            <w:tcW w:w="5200" w:type="dxa"/>
            <w:tcBorders>
              <w:top w:val="nil"/>
              <w:left w:val="nil"/>
              <w:bottom w:val="nil"/>
              <w:right w:val="nil"/>
            </w:tcBorders>
            <w:shd w:val="clear" w:color="auto" w:fill="FFFFFF"/>
            <w:tcMar>
              <w:top w:w="80" w:type="dxa"/>
              <w:left w:w="120" w:type="dxa"/>
              <w:bottom w:w="80" w:type="dxa"/>
              <w:right w:w="120" w:type="dxa"/>
            </w:tcMar>
            <w:vAlign w:val="center"/>
          </w:tcPr>
          <w:p w14:paraId="77E7E7E5">
            <w:pPr>
              <w:pStyle w:val="23"/>
              <w:suppressAutoHyphens w:val="0"/>
              <w:spacing w:after="0" w:line="276" w:lineRule="auto"/>
              <w:jc w:val="center"/>
              <w:rPr>
                <w:rFonts w:ascii="Times New Roman" w:hAnsi="Times New Roman" w:eastAsia="宋体"/>
                <w:b w:val="0"/>
                <w:color w:val="000000"/>
                <w:sz w:val="24"/>
                <w:szCs w:val="18"/>
                <w:lang w:eastAsia="en-US" w:bidi="ar-SA"/>
              </w:rPr>
            </w:pPr>
            <w:r>
              <w:rPr>
                <w:rStyle w:val="19"/>
                <w:rFonts w:ascii="Times New Roman" w:hAnsi="Times New Roman" w:eastAsia="宋体" w:cs="Calibri"/>
                <w:b w:val="0"/>
                <w:color w:val="000000"/>
                <w:sz w:val="24"/>
                <w:lang w:eastAsia="en-US" w:bidi="ar-SA"/>
              </w:rPr>
              <w:t>*_test_features.csv</w:t>
            </w:r>
            <w:r>
              <w:rPr>
                <w:rFonts w:ascii="Times New Roman" w:hAnsi="Times New Roman" w:eastAsia="宋体" w:cs="Calibri"/>
                <w:b w:val="0"/>
                <w:color w:val="000000"/>
                <w:sz w:val="24"/>
                <w:szCs w:val="18"/>
                <w:lang w:eastAsia="en-US" w:bidi="ar-SA"/>
              </w:rPr>
              <w:t xml:space="preserve"> 中的候选行索引</w:t>
            </w:r>
          </w:p>
        </w:tc>
        <w:tc>
          <w:tcPr>
            <w:tcW w:w="2060" w:type="dxa"/>
            <w:tcBorders>
              <w:top w:val="nil"/>
              <w:left w:val="nil"/>
              <w:bottom w:val="nil"/>
              <w:right w:val="nil"/>
            </w:tcBorders>
            <w:shd w:val="clear" w:color="auto" w:fill="FFFFFF"/>
            <w:tcMar>
              <w:top w:w="80" w:type="dxa"/>
              <w:left w:w="120" w:type="dxa"/>
              <w:bottom w:w="80" w:type="dxa"/>
              <w:right w:w="120" w:type="dxa"/>
            </w:tcMar>
            <w:vAlign w:val="center"/>
          </w:tcPr>
          <w:p w14:paraId="49D9A418">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是</w:t>
            </w:r>
          </w:p>
        </w:tc>
      </w:tr>
      <w:tr w14:paraId="6E2E0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nil"/>
              <w:left w:val="nil"/>
              <w:bottom w:val="nil"/>
              <w:right w:val="nil"/>
            </w:tcBorders>
            <w:shd w:val="clear" w:color="auto" w:fill="FFFFFF"/>
            <w:tcMar>
              <w:top w:w="80" w:type="dxa"/>
              <w:left w:w="120" w:type="dxa"/>
              <w:bottom w:w="80" w:type="dxa"/>
              <w:right w:w="120" w:type="dxa"/>
            </w:tcMar>
            <w:vAlign w:val="center"/>
          </w:tcPr>
          <w:p w14:paraId="40453702">
            <w:pPr>
              <w:pStyle w:val="23"/>
              <w:suppressAutoHyphens w:val="0"/>
              <w:spacing w:after="0" w:line="276" w:lineRule="auto"/>
              <w:jc w:val="center"/>
              <w:rPr>
                <w:rFonts w:ascii="Times New Roman" w:hAnsi="Times New Roman" w:eastAsia="宋体"/>
                <w:b w:val="0"/>
                <w:color w:val="000000"/>
                <w:sz w:val="24"/>
                <w:szCs w:val="18"/>
                <w:lang w:eastAsia="en-US" w:bidi="ar-SA"/>
              </w:rPr>
            </w:pPr>
            <w:r>
              <w:rPr>
                <w:rStyle w:val="19"/>
                <w:rFonts w:ascii="Times New Roman" w:hAnsi="Times New Roman" w:eastAsia="宋体" w:cs="Calibri"/>
                <w:b w:val="0"/>
                <w:color w:val="000000"/>
                <w:sz w:val="24"/>
                <w:lang w:eastAsia="en-US" w:bidi="ar-SA"/>
              </w:rPr>
              <w:t>condition</w:t>
            </w:r>
          </w:p>
        </w:tc>
        <w:tc>
          <w:tcPr>
            <w:tcW w:w="5200" w:type="dxa"/>
            <w:tcBorders>
              <w:top w:val="nil"/>
              <w:left w:val="nil"/>
              <w:bottom w:val="nil"/>
              <w:right w:val="nil"/>
            </w:tcBorders>
            <w:shd w:val="clear" w:color="auto" w:fill="FFFFFF"/>
            <w:tcMar>
              <w:top w:w="80" w:type="dxa"/>
              <w:left w:w="120" w:type="dxa"/>
              <w:bottom w:w="80" w:type="dxa"/>
              <w:right w:w="120" w:type="dxa"/>
            </w:tcMar>
            <w:vAlign w:val="center"/>
          </w:tcPr>
          <w:p w14:paraId="7A4A0033">
            <w:pPr>
              <w:pStyle w:val="23"/>
              <w:suppressAutoHyphens w:val="0"/>
              <w:spacing w:after="0"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cs="Calibri"/>
                <w:b w:val="0"/>
                <w:color w:val="000000"/>
                <w:sz w:val="24"/>
                <w:szCs w:val="18"/>
                <w:lang w:eastAsia="zh-CN" w:bidi="ar-SA"/>
              </w:rPr>
              <w:t>该索引对应的全部公开条件字段</w:t>
            </w:r>
          </w:p>
        </w:tc>
        <w:tc>
          <w:tcPr>
            <w:tcW w:w="2060" w:type="dxa"/>
            <w:tcBorders>
              <w:top w:val="nil"/>
              <w:left w:val="nil"/>
              <w:bottom w:val="nil"/>
              <w:right w:val="nil"/>
            </w:tcBorders>
            <w:shd w:val="clear" w:color="auto" w:fill="FFFFFF"/>
            <w:tcMar>
              <w:top w:w="80" w:type="dxa"/>
              <w:left w:w="120" w:type="dxa"/>
              <w:bottom w:w="80" w:type="dxa"/>
              <w:right w:w="120" w:type="dxa"/>
            </w:tcMar>
            <w:vAlign w:val="center"/>
          </w:tcPr>
          <w:p w14:paraId="4B3045E0">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是</w:t>
            </w:r>
          </w:p>
        </w:tc>
      </w:tr>
      <w:tr w14:paraId="4CB5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nil"/>
              <w:left w:val="nil"/>
              <w:bottom w:val="nil"/>
              <w:right w:val="nil"/>
            </w:tcBorders>
            <w:shd w:val="clear" w:color="auto" w:fill="FFFFFF"/>
            <w:tcMar>
              <w:top w:w="80" w:type="dxa"/>
              <w:left w:w="120" w:type="dxa"/>
              <w:bottom w:w="80" w:type="dxa"/>
              <w:right w:w="120" w:type="dxa"/>
            </w:tcMar>
            <w:vAlign w:val="center"/>
          </w:tcPr>
          <w:p w14:paraId="773EFF3F">
            <w:pPr>
              <w:pStyle w:val="23"/>
              <w:suppressAutoHyphens w:val="0"/>
              <w:spacing w:after="0" w:line="276" w:lineRule="auto"/>
              <w:jc w:val="center"/>
              <w:rPr>
                <w:rFonts w:ascii="Times New Roman" w:hAnsi="Times New Roman" w:eastAsia="宋体"/>
                <w:b w:val="0"/>
                <w:color w:val="000000"/>
                <w:sz w:val="24"/>
                <w:szCs w:val="18"/>
                <w:lang w:eastAsia="en-US" w:bidi="ar-SA"/>
              </w:rPr>
            </w:pPr>
            <w:r>
              <w:rPr>
                <w:rStyle w:val="19"/>
                <w:rFonts w:ascii="Times New Roman" w:hAnsi="Times New Roman" w:eastAsia="宋体" w:cs="Calibri"/>
                <w:b w:val="0"/>
                <w:color w:val="000000"/>
                <w:sz w:val="24"/>
                <w:lang w:eastAsia="en-US" w:bidi="ar-SA"/>
              </w:rPr>
              <w:t>observed_yield</w:t>
            </w:r>
          </w:p>
        </w:tc>
        <w:tc>
          <w:tcPr>
            <w:tcW w:w="5200" w:type="dxa"/>
            <w:tcBorders>
              <w:top w:val="nil"/>
              <w:left w:val="nil"/>
              <w:bottom w:val="nil"/>
              <w:right w:val="nil"/>
            </w:tcBorders>
            <w:shd w:val="clear" w:color="auto" w:fill="FFFFFF"/>
            <w:tcMar>
              <w:top w:w="80" w:type="dxa"/>
              <w:left w:w="120" w:type="dxa"/>
              <w:bottom w:w="80" w:type="dxa"/>
              <w:right w:w="120" w:type="dxa"/>
            </w:tcMar>
            <w:vAlign w:val="center"/>
          </w:tcPr>
          <w:p w14:paraId="0FA79F04">
            <w:pPr>
              <w:pStyle w:val="23"/>
              <w:suppressAutoHyphens w:val="0"/>
              <w:spacing w:after="0"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cs="Calibri"/>
                <w:b w:val="0"/>
                <w:color w:val="000000"/>
                <w:sz w:val="24"/>
                <w:szCs w:val="18"/>
                <w:lang w:eastAsia="zh-CN" w:bidi="ar-SA"/>
              </w:rPr>
              <w:t>选择完成后离线查询器或实验返回的产率</w:t>
            </w:r>
          </w:p>
        </w:tc>
        <w:tc>
          <w:tcPr>
            <w:tcW w:w="2060" w:type="dxa"/>
            <w:tcBorders>
              <w:top w:val="nil"/>
              <w:left w:val="nil"/>
              <w:bottom w:val="nil"/>
              <w:right w:val="nil"/>
            </w:tcBorders>
            <w:shd w:val="clear" w:color="auto" w:fill="FFFFFF"/>
            <w:tcMar>
              <w:top w:w="80" w:type="dxa"/>
              <w:left w:w="120" w:type="dxa"/>
              <w:bottom w:w="80" w:type="dxa"/>
              <w:right w:w="120" w:type="dxa"/>
            </w:tcMar>
            <w:vAlign w:val="center"/>
          </w:tcPr>
          <w:p w14:paraId="4A23D7D7">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是</w:t>
            </w:r>
          </w:p>
        </w:tc>
      </w:tr>
      <w:tr w14:paraId="72B4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nil"/>
              <w:left w:val="nil"/>
              <w:bottom w:val="nil"/>
              <w:right w:val="nil"/>
            </w:tcBorders>
            <w:shd w:val="clear" w:color="auto" w:fill="FFFFFF"/>
            <w:tcMar>
              <w:top w:w="80" w:type="dxa"/>
              <w:left w:w="120" w:type="dxa"/>
              <w:bottom w:w="80" w:type="dxa"/>
              <w:right w:w="120" w:type="dxa"/>
            </w:tcMar>
            <w:vAlign w:val="center"/>
          </w:tcPr>
          <w:p w14:paraId="66E84CEC">
            <w:pPr>
              <w:pStyle w:val="23"/>
              <w:suppressAutoHyphens w:val="0"/>
              <w:spacing w:after="0" w:line="276" w:lineRule="auto"/>
              <w:jc w:val="center"/>
              <w:rPr>
                <w:rFonts w:ascii="Times New Roman" w:hAnsi="Times New Roman" w:eastAsia="宋体"/>
                <w:b w:val="0"/>
                <w:color w:val="000000"/>
                <w:sz w:val="24"/>
                <w:szCs w:val="18"/>
                <w:lang w:eastAsia="en-US" w:bidi="ar-SA"/>
              </w:rPr>
            </w:pPr>
            <w:r>
              <w:rPr>
                <w:rStyle w:val="19"/>
                <w:rFonts w:ascii="Times New Roman" w:hAnsi="Times New Roman" w:eastAsia="宋体" w:cs="Calibri"/>
                <w:b w:val="0"/>
                <w:color w:val="000000"/>
                <w:sz w:val="24"/>
                <w:lang w:eastAsia="en-US" w:bidi="ar-SA"/>
              </w:rPr>
              <w:t>best_so_far</w:t>
            </w:r>
          </w:p>
        </w:tc>
        <w:tc>
          <w:tcPr>
            <w:tcW w:w="5200" w:type="dxa"/>
            <w:tcBorders>
              <w:top w:val="nil"/>
              <w:left w:val="nil"/>
              <w:bottom w:val="nil"/>
              <w:right w:val="nil"/>
            </w:tcBorders>
            <w:shd w:val="clear" w:color="auto" w:fill="FFFFFF"/>
            <w:tcMar>
              <w:top w:w="80" w:type="dxa"/>
              <w:left w:w="120" w:type="dxa"/>
              <w:bottom w:w="80" w:type="dxa"/>
              <w:right w:w="120" w:type="dxa"/>
            </w:tcMar>
            <w:vAlign w:val="center"/>
          </w:tcPr>
          <w:p w14:paraId="653A64B9">
            <w:pPr>
              <w:pStyle w:val="23"/>
              <w:suppressAutoHyphens w:val="0"/>
              <w:spacing w:after="0"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cs="Calibri"/>
                <w:b w:val="0"/>
                <w:color w:val="000000"/>
                <w:sz w:val="24"/>
                <w:szCs w:val="18"/>
                <w:lang w:eastAsia="zh-CN" w:bidi="ar-SA"/>
              </w:rPr>
              <w:t>截至本轮已观测产率最大值</w:t>
            </w:r>
          </w:p>
        </w:tc>
        <w:tc>
          <w:tcPr>
            <w:tcW w:w="2060" w:type="dxa"/>
            <w:tcBorders>
              <w:top w:val="nil"/>
              <w:left w:val="nil"/>
              <w:bottom w:val="nil"/>
              <w:right w:val="nil"/>
            </w:tcBorders>
            <w:shd w:val="clear" w:color="auto" w:fill="FFFFFF"/>
            <w:tcMar>
              <w:top w:w="80" w:type="dxa"/>
              <w:left w:w="120" w:type="dxa"/>
              <w:bottom w:w="80" w:type="dxa"/>
              <w:right w:w="120" w:type="dxa"/>
            </w:tcMar>
            <w:vAlign w:val="center"/>
          </w:tcPr>
          <w:p w14:paraId="7A7E1214">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是</w:t>
            </w:r>
          </w:p>
        </w:tc>
      </w:tr>
      <w:tr w14:paraId="47404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nil"/>
              <w:left w:val="nil"/>
              <w:bottom w:val="nil"/>
              <w:right w:val="nil"/>
            </w:tcBorders>
            <w:shd w:val="clear" w:color="auto" w:fill="FFFFFF"/>
            <w:tcMar>
              <w:top w:w="80" w:type="dxa"/>
              <w:left w:w="120" w:type="dxa"/>
              <w:bottom w:w="80" w:type="dxa"/>
              <w:right w:w="120" w:type="dxa"/>
            </w:tcMar>
            <w:vAlign w:val="center"/>
          </w:tcPr>
          <w:p w14:paraId="2AC2ABC3">
            <w:pPr>
              <w:pStyle w:val="23"/>
              <w:suppressAutoHyphens w:val="0"/>
              <w:spacing w:after="0" w:line="276" w:lineRule="auto"/>
              <w:jc w:val="center"/>
              <w:rPr>
                <w:rFonts w:ascii="Times New Roman" w:hAnsi="Times New Roman" w:eastAsia="宋体"/>
                <w:b w:val="0"/>
                <w:color w:val="000000"/>
                <w:sz w:val="24"/>
                <w:szCs w:val="18"/>
                <w:lang w:eastAsia="en-US" w:bidi="ar-SA"/>
              </w:rPr>
            </w:pPr>
            <w:r>
              <w:rPr>
                <w:rStyle w:val="19"/>
                <w:rFonts w:ascii="Times New Roman" w:hAnsi="Times New Roman" w:eastAsia="宋体" w:cs="Calibri"/>
                <w:b w:val="0"/>
                <w:color w:val="000000"/>
                <w:sz w:val="24"/>
                <w:lang w:eastAsia="en-US" w:bidi="ar-SA"/>
              </w:rPr>
              <w:t>predicted_yield</w:t>
            </w:r>
          </w:p>
        </w:tc>
        <w:tc>
          <w:tcPr>
            <w:tcW w:w="5200" w:type="dxa"/>
            <w:tcBorders>
              <w:top w:val="nil"/>
              <w:left w:val="nil"/>
              <w:bottom w:val="nil"/>
              <w:right w:val="nil"/>
            </w:tcBorders>
            <w:shd w:val="clear" w:color="auto" w:fill="FFFFFF"/>
            <w:tcMar>
              <w:top w:w="80" w:type="dxa"/>
              <w:left w:w="120" w:type="dxa"/>
              <w:bottom w:w="80" w:type="dxa"/>
              <w:right w:w="120" w:type="dxa"/>
            </w:tcMar>
            <w:vAlign w:val="center"/>
          </w:tcPr>
          <w:p w14:paraId="4570442C">
            <w:pPr>
              <w:pStyle w:val="23"/>
              <w:suppressAutoHyphens w:val="0"/>
              <w:spacing w:after="0"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cs="Calibri"/>
                <w:b w:val="0"/>
                <w:color w:val="000000"/>
                <w:sz w:val="24"/>
                <w:szCs w:val="18"/>
                <w:lang w:eastAsia="zh-CN" w:bidi="ar-SA"/>
              </w:rPr>
              <w:t>选择前代理模型对被选候选的均值预测</w:t>
            </w:r>
          </w:p>
        </w:tc>
        <w:tc>
          <w:tcPr>
            <w:tcW w:w="2060" w:type="dxa"/>
            <w:tcBorders>
              <w:top w:val="nil"/>
              <w:left w:val="nil"/>
              <w:bottom w:val="nil"/>
              <w:right w:val="nil"/>
            </w:tcBorders>
            <w:shd w:val="clear" w:color="auto" w:fill="FFFFFF"/>
            <w:tcMar>
              <w:top w:w="80" w:type="dxa"/>
              <w:left w:w="120" w:type="dxa"/>
              <w:bottom w:w="80" w:type="dxa"/>
              <w:right w:w="120" w:type="dxa"/>
            </w:tcMar>
            <w:vAlign w:val="center"/>
          </w:tcPr>
          <w:p w14:paraId="6503695B">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是</w:t>
            </w:r>
          </w:p>
        </w:tc>
      </w:tr>
      <w:tr w14:paraId="27C8E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nil"/>
              <w:left w:val="nil"/>
              <w:bottom w:val="nil"/>
              <w:right w:val="nil"/>
            </w:tcBorders>
            <w:shd w:val="clear" w:color="auto" w:fill="FFFFFF"/>
            <w:tcMar>
              <w:top w:w="80" w:type="dxa"/>
              <w:left w:w="120" w:type="dxa"/>
              <w:bottom w:w="80" w:type="dxa"/>
              <w:right w:w="120" w:type="dxa"/>
            </w:tcMar>
            <w:vAlign w:val="center"/>
          </w:tcPr>
          <w:p w14:paraId="46F3F9CF">
            <w:pPr>
              <w:pStyle w:val="23"/>
              <w:suppressAutoHyphens w:val="0"/>
              <w:spacing w:after="0" w:line="276" w:lineRule="auto"/>
              <w:jc w:val="center"/>
              <w:rPr>
                <w:rFonts w:ascii="Times New Roman" w:hAnsi="Times New Roman" w:eastAsia="宋体"/>
                <w:b w:val="0"/>
                <w:color w:val="000000"/>
                <w:sz w:val="24"/>
                <w:szCs w:val="18"/>
                <w:lang w:eastAsia="en-US" w:bidi="ar-SA"/>
              </w:rPr>
            </w:pPr>
            <w:r>
              <w:rPr>
                <w:rStyle w:val="19"/>
                <w:rFonts w:ascii="Times New Roman" w:hAnsi="Times New Roman" w:eastAsia="宋体" w:cs="Calibri"/>
                <w:b w:val="0"/>
                <w:color w:val="000000"/>
                <w:sz w:val="24"/>
                <w:lang w:eastAsia="en-US" w:bidi="ar-SA"/>
              </w:rPr>
              <w:t>uncertainty</w:t>
            </w:r>
          </w:p>
        </w:tc>
        <w:tc>
          <w:tcPr>
            <w:tcW w:w="5200" w:type="dxa"/>
            <w:tcBorders>
              <w:top w:val="nil"/>
              <w:left w:val="nil"/>
              <w:bottom w:val="nil"/>
              <w:right w:val="nil"/>
            </w:tcBorders>
            <w:shd w:val="clear" w:color="auto" w:fill="FFFFFF"/>
            <w:tcMar>
              <w:top w:w="80" w:type="dxa"/>
              <w:left w:w="120" w:type="dxa"/>
              <w:bottom w:w="80" w:type="dxa"/>
              <w:right w:w="120" w:type="dxa"/>
            </w:tcMar>
            <w:vAlign w:val="center"/>
          </w:tcPr>
          <w:p w14:paraId="2C9D3CCE">
            <w:pPr>
              <w:pStyle w:val="23"/>
              <w:suppressAutoHyphens w:val="0"/>
              <w:spacing w:after="0"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cs="Calibri"/>
                <w:b w:val="0"/>
                <w:color w:val="000000"/>
                <w:sz w:val="24"/>
                <w:szCs w:val="18"/>
                <w:lang w:eastAsia="zh-CN" w:bidi="ar-SA"/>
              </w:rPr>
              <w:t>选择前后验/经验标准差</w:t>
            </w:r>
          </w:p>
        </w:tc>
        <w:tc>
          <w:tcPr>
            <w:tcW w:w="2060" w:type="dxa"/>
            <w:tcBorders>
              <w:top w:val="nil"/>
              <w:left w:val="nil"/>
              <w:bottom w:val="nil"/>
              <w:right w:val="nil"/>
            </w:tcBorders>
            <w:shd w:val="clear" w:color="auto" w:fill="FFFFFF"/>
            <w:tcMar>
              <w:top w:w="80" w:type="dxa"/>
              <w:left w:w="120" w:type="dxa"/>
              <w:bottom w:w="80" w:type="dxa"/>
              <w:right w:w="120" w:type="dxa"/>
            </w:tcMar>
            <w:vAlign w:val="center"/>
          </w:tcPr>
          <w:p w14:paraId="146ADAF7">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是</w:t>
            </w:r>
          </w:p>
        </w:tc>
      </w:tr>
      <w:tr w14:paraId="53CA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nil"/>
              <w:left w:val="nil"/>
              <w:bottom w:val="nil"/>
              <w:right w:val="nil"/>
            </w:tcBorders>
            <w:shd w:val="clear" w:color="auto" w:fill="FFFFFF"/>
            <w:tcMar>
              <w:top w:w="80" w:type="dxa"/>
              <w:left w:w="120" w:type="dxa"/>
              <w:bottom w:w="80" w:type="dxa"/>
              <w:right w:w="120" w:type="dxa"/>
            </w:tcMar>
            <w:vAlign w:val="center"/>
          </w:tcPr>
          <w:p w14:paraId="1AB5E58B">
            <w:pPr>
              <w:pStyle w:val="23"/>
              <w:suppressAutoHyphens w:val="0"/>
              <w:spacing w:after="0" w:line="276" w:lineRule="auto"/>
              <w:jc w:val="center"/>
              <w:rPr>
                <w:rFonts w:ascii="Times New Roman" w:hAnsi="Times New Roman" w:eastAsia="宋体"/>
                <w:b w:val="0"/>
                <w:color w:val="000000"/>
                <w:sz w:val="24"/>
                <w:szCs w:val="18"/>
                <w:lang w:eastAsia="en-US" w:bidi="ar-SA"/>
              </w:rPr>
            </w:pPr>
            <w:r>
              <w:rPr>
                <w:rStyle w:val="19"/>
                <w:rFonts w:ascii="Times New Roman" w:hAnsi="Times New Roman" w:eastAsia="宋体" w:cs="Calibri"/>
                <w:b w:val="0"/>
                <w:color w:val="000000"/>
                <w:sz w:val="24"/>
                <w:lang w:eastAsia="en-US" w:bidi="ar-SA"/>
              </w:rPr>
              <w:t>acquisition_value</w:t>
            </w:r>
          </w:p>
        </w:tc>
        <w:tc>
          <w:tcPr>
            <w:tcW w:w="5200" w:type="dxa"/>
            <w:tcBorders>
              <w:top w:val="nil"/>
              <w:left w:val="nil"/>
              <w:bottom w:val="nil"/>
              <w:right w:val="nil"/>
            </w:tcBorders>
            <w:shd w:val="clear" w:color="auto" w:fill="FFFFFF"/>
            <w:tcMar>
              <w:top w:w="80" w:type="dxa"/>
              <w:left w:w="120" w:type="dxa"/>
              <w:bottom w:w="80" w:type="dxa"/>
              <w:right w:w="120" w:type="dxa"/>
            </w:tcMar>
            <w:vAlign w:val="center"/>
          </w:tcPr>
          <w:p w14:paraId="1FD27666">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选择前采集函数值</w:t>
            </w:r>
          </w:p>
        </w:tc>
        <w:tc>
          <w:tcPr>
            <w:tcW w:w="2060" w:type="dxa"/>
            <w:tcBorders>
              <w:top w:val="nil"/>
              <w:left w:val="nil"/>
              <w:bottom w:val="nil"/>
              <w:right w:val="nil"/>
            </w:tcBorders>
            <w:shd w:val="clear" w:color="auto" w:fill="FFFFFF"/>
            <w:tcMar>
              <w:top w:w="80" w:type="dxa"/>
              <w:left w:w="120" w:type="dxa"/>
              <w:bottom w:w="80" w:type="dxa"/>
              <w:right w:w="120" w:type="dxa"/>
            </w:tcMar>
            <w:vAlign w:val="center"/>
          </w:tcPr>
          <w:p w14:paraId="44393EA4">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是</w:t>
            </w:r>
          </w:p>
        </w:tc>
      </w:tr>
      <w:tr w14:paraId="6A96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C2D69FC">
            <w:pPr>
              <w:pStyle w:val="23"/>
              <w:suppressAutoHyphens w:val="0"/>
              <w:spacing w:after="0" w:line="276" w:lineRule="auto"/>
              <w:jc w:val="center"/>
              <w:rPr>
                <w:rFonts w:ascii="Times New Roman" w:hAnsi="Times New Roman" w:eastAsia="宋体"/>
                <w:b w:val="0"/>
                <w:color w:val="000000"/>
                <w:sz w:val="24"/>
                <w:szCs w:val="18"/>
                <w:lang w:eastAsia="en-US" w:bidi="ar-SA"/>
              </w:rPr>
            </w:pPr>
            <w:r>
              <w:rPr>
                <w:rStyle w:val="19"/>
                <w:rFonts w:ascii="Times New Roman" w:hAnsi="Times New Roman" w:eastAsia="宋体" w:cs="Calibri"/>
                <w:b w:val="0"/>
                <w:color w:val="000000"/>
                <w:sz w:val="24"/>
                <w:lang w:eastAsia="en-US" w:bidi="ar-SA"/>
              </w:rPr>
              <w:t>selection_mode</w:t>
            </w:r>
          </w:p>
        </w:tc>
        <w:tc>
          <w:tcPr>
            <w:tcW w:w="52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4ED70FA">
            <w:pPr>
              <w:pStyle w:val="23"/>
              <w:suppressAutoHyphens w:val="0"/>
              <w:spacing w:after="0"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cs="Calibri"/>
                <w:b w:val="0"/>
                <w:color w:val="000000"/>
                <w:sz w:val="24"/>
                <w:szCs w:val="18"/>
                <w:lang w:eastAsia="zh-CN" w:bidi="ar-SA"/>
              </w:rPr>
              <w:t>期望改进或冻结的均匀随机探索模式</w:t>
            </w:r>
          </w:p>
        </w:tc>
        <w:tc>
          <w:tcPr>
            <w:tcW w:w="206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29BE940">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是</w:t>
            </w:r>
          </w:p>
        </w:tc>
      </w:tr>
    </w:tbl>
    <w:p w14:paraId="6FEE6DF4">
      <w:pPr>
        <w:pStyle w:val="4"/>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每轮记录的字段如下</w:t>
      </w:r>
      <w:r>
        <w:rPr>
          <w:rFonts w:hint="eastAsia" w:ascii="Times New Roman" w:hAnsi="Times New Roman" w:eastAsia="宋体" w:cs="宋体"/>
          <w:sz w:val="24"/>
        </w:rPr>
        <w:t>：</w:t>
      </w:r>
    </w:p>
    <w:p w14:paraId="2B1E949E">
      <w:pPr>
        <w:pStyle w:val="4"/>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四项指标均对每条随机种子轨迹独立计算。令 yᵢ 为第 i 轮观测产率，bₜ 为截至第 t 轮已观测到的最高产率：</w:t>
      </w:r>
    </w:p>
    <w:p w14:paraId="4F383DD3">
      <w:pPr>
        <w:pStyle w:val="26"/>
        <w:rPr>
          <w:rFonts w:ascii="Times New Roman" w:hAnsi="Times New Roman" w:eastAsia="宋体"/>
          <w:sz w:val="24"/>
        </w:rPr>
      </w:pPr>
      <w:r>
        <w:rPr>
          <w:rFonts w:ascii="Times New Roman" w:hAnsi="Times New Roman" w:eastAsia="宋体"/>
          <w:sz w:val="24"/>
        </w:rPr>
        <w:t>bₜ = max(y₁, y₂, …, yₜ)</w:t>
      </w:r>
    </w:p>
    <w:p w14:paraId="3BA8ABFB">
      <w:pPr>
        <w:pStyle w:val="26"/>
        <w:rPr>
          <w:rFonts w:ascii="Times New Roman" w:hAnsi="Times New Roman" w:eastAsia="宋体"/>
          <w:sz w:val="24"/>
        </w:rPr>
      </w:pPr>
      <w:r>
        <w:rPr>
          <w:rFonts w:ascii="Times New Roman" w:hAnsi="Times New Roman" w:eastAsia="宋体"/>
          <w:sz w:val="24"/>
        </w:rPr>
        <w:t>首轮发现值 = b₁</w:t>
      </w:r>
    </w:p>
    <w:p w14:paraId="50DA9E57">
      <w:pPr>
        <w:pStyle w:val="26"/>
        <w:rPr>
          <w:rFonts w:ascii="Times New Roman" w:hAnsi="Times New Roman" w:eastAsia="宋体"/>
          <w:sz w:val="24"/>
        </w:rPr>
      </w:pPr>
      <w:r>
        <w:rPr>
          <w:rFonts w:ascii="Times New Roman" w:hAnsi="Times New Roman" w:eastAsia="宋体"/>
          <w:sz w:val="24"/>
        </w:rPr>
        <w:t>40 轮最高值 = b₄₀</w:t>
      </w:r>
    </w:p>
    <w:p w14:paraId="6DF9477E">
      <w:pPr>
        <w:pStyle w:val="26"/>
        <w:rPr>
          <w:rFonts w:ascii="Times New Roman" w:hAnsi="Times New Roman" w:eastAsia="宋体"/>
          <w:sz w:val="24"/>
        </w:rPr>
      </w:pPr>
      <w:r>
        <w:rPr>
          <w:rFonts w:ascii="Times New Roman" w:hAnsi="Times New Roman" w:eastAsia="宋体"/>
          <w:sz w:val="24"/>
        </w:rPr>
        <w:t>全过程曲线面积 = (b₁ + b₂ + … + b₄₀) / 40</w:t>
      </w:r>
    </w:p>
    <w:p w14:paraId="0F38AF74">
      <w:pPr>
        <w:pStyle w:val="4"/>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若 y</w:t>
      </w:r>
      <w:r>
        <w:rPr>
          <w:rFonts w:ascii="Times New Roman" w:hAnsi="Times New Roman" w:eastAsia="宋体" w:cs="Segoe UI Symbol"/>
          <w:sz w:val="24"/>
        </w:rPr>
        <w:t>★</w:t>
      </w:r>
      <w:r>
        <w:rPr>
          <w:rFonts w:ascii="Times New Roman" w:hAnsi="Times New Roman" w:eastAsia="宋体" w:cs="宋体"/>
          <w:sz w:val="24"/>
        </w:rPr>
        <w:t xml:space="preserve"> 表示候选池全局最高产率，则 t95 为首个满足 bₜ ≥ 0.95 × y</w:t>
      </w:r>
      <w:r>
        <w:rPr>
          <w:rFonts w:ascii="Times New Roman" w:hAnsi="Times New Roman" w:eastAsia="宋体" w:cs="Segoe UI Symbol"/>
          <w:sz w:val="24"/>
        </w:rPr>
        <w:t>★</w:t>
      </w:r>
      <w:r>
        <w:rPr>
          <w:rFonts w:ascii="Times New Roman" w:hAnsi="Times New Roman" w:eastAsia="宋体" w:cs="宋体"/>
          <w:sz w:val="24"/>
        </w:rPr>
        <w:t xml:space="preserve"> 的轮数；若 40 轮内未达到，则记为 41。随后对 20 个随机种子的指标报告算术均值、样本标准差和基于 t 分布的 95% 置信区间：</w:t>
      </w:r>
    </w:p>
    <w:p w14:paraId="0CAFA03A">
      <w:pPr>
        <w:pStyle w:val="26"/>
        <w:rPr>
          <w:rFonts w:ascii="Times New Roman" w:hAnsi="Times New Roman" w:eastAsia="宋体"/>
          <w:sz w:val="24"/>
        </w:rPr>
      </w:pPr>
      <w:r>
        <w:rPr>
          <w:rFonts w:ascii="Times New Roman" w:hAnsi="Times New Roman" w:eastAsia="宋体"/>
          <w:sz w:val="24"/>
        </w:rPr>
        <w:t>95% 置信区间 = 样本均值 ± t₀.₉₇₅₁₉ × 样本标准差 / √20</w:t>
      </w:r>
    </w:p>
    <w:p w14:paraId="48A2958E">
      <w:pPr>
        <w:pStyle w:val="4"/>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 xml:space="preserve">results/figures/trajectory_schema.json </w:t>
      </w:r>
      <w:r>
        <w:rPr>
          <w:rFonts w:hint="eastAsia" w:ascii="Times New Roman" w:hAnsi="Times New Roman" w:eastAsia="宋体" w:cs="宋体"/>
          <w:sz w:val="24"/>
        </w:rPr>
        <w:t>提供机器可读</w:t>
      </w:r>
      <w:r>
        <w:rPr>
          <w:rFonts w:ascii="Times New Roman" w:hAnsi="Times New Roman" w:eastAsia="宋体" w:cs="宋体"/>
          <w:sz w:val="24"/>
        </w:rPr>
        <w:t xml:space="preserve"> schema</w:t>
      </w:r>
      <w:r>
        <w:rPr>
          <w:rFonts w:hint="eastAsia" w:ascii="Times New Roman" w:hAnsi="Times New Roman" w:eastAsia="宋体" w:cs="宋体"/>
          <w:sz w:val="24"/>
        </w:rPr>
        <w:t>；</w:t>
      </w:r>
      <w:r>
        <w:rPr>
          <w:rFonts w:ascii="Times New Roman" w:hAnsi="Times New Roman" w:eastAsia="宋体" w:cs="宋体"/>
          <w:sz w:val="24"/>
        </w:rPr>
        <w:t xml:space="preserve">trajectory_field_audit.csv </w:t>
      </w:r>
      <w:r>
        <w:rPr>
          <w:rFonts w:hint="eastAsia" w:ascii="Times New Roman" w:hAnsi="Times New Roman" w:eastAsia="宋体" w:cs="宋体"/>
          <w:sz w:val="24"/>
        </w:rPr>
        <w:t>证明</w:t>
      </w:r>
      <w:r>
        <w:rPr>
          <w:rFonts w:ascii="Times New Roman" w:hAnsi="Times New Roman" w:eastAsia="宋体" w:cs="宋体"/>
          <w:sz w:val="24"/>
        </w:rPr>
        <w:t xml:space="preserve"> 40 </w:t>
      </w:r>
      <w:r>
        <w:rPr>
          <w:rFonts w:hint="eastAsia" w:ascii="Times New Roman" w:hAnsi="Times New Roman" w:eastAsia="宋体" w:cs="宋体"/>
          <w:sz w:val="24"/>
        </w:rPr>
        <w:t>个文件均为连续</w:t>
      </w:r>
      <w:r>
        <w:rPr>
          <w:rFonts w:ascii="Times New Roman" w:hAnsi="Times New Roman" w:eastAsia="宋体" w:cs="宋体"/>
          <w:sz w:val="24"/>
        </w:rPr>
        <w:t xml:space="preserve"> 40 </w:t>
      </w:r>
      <w:r>
        <w:rPr>
          <w:rFonts w:hint="eastAsia" w:ascii="Times New Roman" w:hAnsi="Times New Roman" w:eastAsia="宋体" w:cs="宋体"/>
          <w:sz w:val="24"/>
        </w:rPr>
        <w:t>步、候选索引不重复且必需字段完整；</w:t>
      </w:r>
      <w:r>
        <w:rPr>
          <w:rFonts w:ascii="Times New Roman" w:hAnsi="Times New Roman" w:eastAsia="宋体" w:cs="宋体"/>
          <w:sz w:val="24"/>
        </w:rPr>
        <w:t xml:space="preserve">supplementary_metrics_per_seed.csv </w:t>
      </w:r>
      <w:r>
        <w:rPr>
          <w:rFonts w:hint="eastAsia" w:ascii="Times New Roman" w:hAnsi="Times New Roman" w:eastAsia="宋体" w:cs="宋体"/>
          <w:sz w:val="24"/>
        </w:rPr>
        <w:t>可直接审计各</w:t>
      </w:r>
      <w:r>
        <w:rPr>
          <w:rFonts w:ascii="Times New Roman" w:hAnsi="Times New Roman" w:eastAsia="宋体" w:cs="宋体"/>
          <w:sz w:val="24"/>
        </w:rPr>
        <w:t xml:space="preserve"> seed </w:t>
      </w:r>
      <w:r>
        <w:rPr>
          <w:rFonts w:hint="eastAsia" w:ascii="Times New Roman" w:hAnsi="Times New Roman" w:eastAsia="宋体" w:cs="宋体"/>
          <w:sz w:val="24"/>
        </w:rPr>
        <w:t>的主指标和补充指标。</w:t>
      </w:r>
    </w:p>
    <w:p w14:paraId="2050432D">
      <w:pPr>
        <w:pStyle w:val="5"/>
        <w:rPr>
          <w:rFonts w:ascii="Times New Roman" w:hAnsi="Times New Roman" w:eastAsia="宋体"/>
          <w:sz w:val="24"/>
        </w:rPr>
      </w:pPr>
      <w:r>
        <w:rPr>
          <w:rFonts w:ascii="Times New Roman" w:hAnsi="Times New Roman" w:eastAsia="宋体"/>
          <w:sz w:val="24"/>
        </w:rPr>
        <w:t>8. 外部兼容性检查</w:t>
      </w:r>
    </w:p>
    <w:p w14:paraId="422DDFFA">
      <w:pPr>
        <w:pStyle w:val="6"/>
        <w:rPr>
          <w:rFonts w:ascii="Times New Roman" w:hAnsi="Times New Roman" w:eastAsia="宋体"/>
          <w:sz w:val="24"/>
        </w:rPr>
      </w:pPr>
      <w:r>
        <w:rPr>
          <w:rFonts w:ascii="Times New Roman" w:hAnsi="Times New Roman" w:eastAsia="宋体"/>
          <w:sz w:val="24"/>
        </w:rPr>
        <w:t>8.1 官方两套数据</w:t>
      </w:r>
    </w:p>
    <w:p w14:paraId="74F6505C">
      <w:pPr>
        <w:pStyle w:val="4"/>
        <w:numPr>
          <w:ilvl w:val="0"/>
          <w:numId w:val="4"/>
        </w:numPr>
        <w:spacing w:after="0"/>
        <w:rPr>
          <w:rFonts w:ascii="Times New Roman" w:hAnsi="Times New Roman" w:eastAsia="宋体"/>
          <w:sz w:val="24"/>
        </w:rPr>
      </w:pPr>
      <w:r>
        <w:rPr>
          <w:rFonts w:ascii="Times New Roman" w:hAnsi="Times New Roman" w:eastAsia="宋体"/>
          <w:sz w:val="24"/>
        </w:rPr>
        <w:t>两套任务不共用产率标签或模型状态；</w:t>
      </w:r>
    </w:p>
    <w:p w14:paraId="2875D1C2">
      <w:pPr>
        <w:pStyle w:val="4"/>
        <w:numPr>
          <w:ilvl w:val="0"/>
          <w:numId w:val="4"/>
        </w:numPr>
        <w:spacing w:after="0"/>
        <w:rPr>
          <w:rFonts w:ascii="Times New Roman" w:hAnsi="Times New Roman" w:eastAsia="宋体"/>
          <w:sz w:val="24"/>
        </w:rPr>
      </w:pPr>
      <w:r>
        <w:rPr>
          <w:rFonts w:ascii="Times New Roman" w:hAnsi="Times New Roman" w:eastAsia="宋体"/>
          <w:sz w:val="24"/>
        </w:rPr>
        <w:t>Buchwald 的产物字段保留为上下文信息，公开候选中固定为目标产物；</w:t>
      </w:r>
    </w:p>
    <w:p w14:paraId="4AFCCE87">
      <w:pPr>
        <w:pStyle w:val="4"/>
        <w:numPr>
          <w:ilvl w:val="0"/>
          <w:numId w:val="4"/>
        </w:numPr>
        <w:spacing w:after="0"/>
        <w:rPr>
          <w:rFonts w:ascii="Times New Roman" w:hAnsi="Times New Roman" w:eastAsia="宋体"/>
          <w:sz w:val="24"/>
        </w:rPr>
      </w:pPr>
      <w:r>
        <w:rPr>
          <w:rFonts w:ascii="Times New Roman" w:hAnsi="Times New Roman" w:eastAsia="宋体"/>
          <w:sz w:val="24"/>
        </w:rPr>
        <w:t>Suzuki 的 5 个离散变量均进入表示；</w:t>
      </w:r>
    </w:p>
    <w:p w14:paraId="5F8BDCB8">
      <w:pPr>
        <w:pStyle w:val="4"/>
        <w:numPr>
          <w:ilvl w:val="0"/>
          <w:numId w:val="4"/>
        </w:numPr>
        <w:spacing w:after="0"/>
        <w:rPr>
          <w:rFonts w:ascii="Times New Roman" w:hAnsi="Times New Roman" w:eastAsia="宋体"/>
          <w:sz w:val="24"/>
        </w:rPr>
      </w:pPr>
      <w:r>
        <w:rPr>
          <w:rFonts w:ascii="Times New Roman" w:hAnsi="Times New Roman" w:eastAsia="宋体"/>
          <w:sz w:val="24"/>
        </w:rPr>
        <w:t>候选表不含 Yield，且条件表示保持一一可区分；</w:t>
      </w:r>
    </w:p>
    <w:p w14:paraId="139F6A38">
      <w:pPr>
        <w:pStyle w:val="4"/>
        <w:numPr>
          <w:ilvl w:val="0"/>
          <w:numId w:val="4"/>
        </w:numPr>
        <w:rPr>
          <w:rFonts w:ascii="Times New Roman" w:hAnsi="Times New Roman" w:eastAsia="宋体"/>
          <w:sz w:val="24"/>
        </w:rPr>
      </w:pPr>
      <w:r>
        <w:rPr>
          <w:rFonts w:ascii="Times New Roman" w:hAnsi="Times New Roman" w:eastAsia="宋体"/>
          <w:sz w:val="24"/>
        </w:rPr>
        <w:t>20×40 的 40 个轨迹文件均通过提交校验。</w:t>
      </w:r>
    </w:p>
    <w:p w14:paraId="65BAA4FB">
      <w:pPr>
        <w:pStyle w:val="6"/>
        <w:rPr>
          <w:rFonts w:ascii="Times New Roman" w:hAnsi="Times New Roman" w:eastAsia="宋体"/>
          <w:sz w:val="24"/>
        </w:rPr>
      </w:pPr>
      <w:r>
        <w:rPr>
          <w:rFonts w:ascii="Times New Roman" w:hAnsi="Times New Roman" w:eastAsia="宋体"/>
          <w:sz w:val="24"/>
        </w:rPr>
        <w:t>8.2 第三方 Buchwald 压力测试</w:t>
      </w:r>
    </w:p>
    <w:p w14:paraId="44582BB1">
      <w:pPr>
        <w:pStyle w:val="4"/>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AstraZeneca/ORD 的 750 条原始记录中，6 条产率超过 100% 的记录在划分、特征构建和训练前被删除，保留 744 条。10 个随机种子 × 40 轮的结果如下：</w:t>
      </w:r>
    </w:p>
    <w:tbl>
      <w:tblPr>
        <w:tblStyle w:val="1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00"/>
        <w:gridCol w:w="1390"/>
        <w:gridCol w:w="1390"/>
        <w:gridCol w:w="1390"/>
        <w:gridCol w:w="1390"/>
      </w:tblGrid>
      <w:tr w14:paraId="02D9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00" w:type="dxa"/>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0590FE78">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方法</w:t>
            </w:r>
          </w:p>
        </w:tc>
        <w:tc>
          <w:tcPr>
            <w:tcW w:w="139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267EFAEA">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initial ↑</w:t>
            </w:r>
          </w:p>
        </w:tc>
        <w:tc>
          <w:tcPr>
            <w:tcW w:w="139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706CBB1F">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best ↑</w:t>
            </w:r>
          </w:p>
        </w:tc>
        <w:tc>
          <w:tcPr>
            <w:tcW w:w="139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1653857B">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t95 ↓</w:t>
            </w:r>
          </w:p>
        </w:tc>
        <w:tc>
          <w:tcPr>
            <w:tcW w:w="139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1D3484D8">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AUC ↑</w:t>
            </w:r>
          </w:p>
        </w:tc>
      </w:tr>
      <w:tr w14:paraId="3B3EE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E88DB4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随机搜索</w:t>
            </w:r>
          </w:p>
        </w:tc>
        <w:tc>
          <w:tcPr>
            <w:tcW w:w="139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3507342">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41.24</w:t>
            </w:r>
          </w:p>
        </w:tc>
        <w:tc>
          <w:tcPr>
            <w:tcW w:w="139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062744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92.68</w:t>
            </w:r>
          </w:p>
        </w:tc>
        <w:tc>
          <w:tcPr>
            <w:tcW w:w="139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C12D42D">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33.60</w:t>
            </w:r>
          </w:p>
        </w:tc>
        <w:tc>
          <w:tcPr>
            <w:tcW w:w="139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962B82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83.58</w:t>
            </w:r>
          </w:p>
        </w:tc>
      </w:tr>
      <w:tr w14:paraId="15ED2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Borders>
              <w:top w:val="nil"/>
              <w:left w:val="nil"/>
              <w:bottom w:val="nil"/>
              <w:right w:val="nil"/>
            </w:tcBorders>
            <w:shd w:val="clear" w:color="auto" w:fill="FFFFFF"/>
            <w:tcMar>
              <w:top w:w="80" w:type="dxa"/>
              <w:left w:w="120" w:type="dxa"/>
              <w:bottom w:w="80" w:type="dxa"/>
              <w:right w:w="120" w:type="dxa"/>
            </w:tcMar>
            <w:vAlign w:val="center"/>
          </w:tcPr>
          <w:p w14:paraId="7820CEF2">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lang w:eastAsia="en-US" w:bidi="ar-SA"/>
              </w:rPr>
              <w:t>分类变量随机森林</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1DB00F2E">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46.15</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06431588">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94.61</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569DB04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21.40</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7A7FDA78">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90.27</w:t>
            </w:r>
          </w:p>
        </w:tc>
      </w:tr>
      <w:tr w14:paraId="7FD8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Borders>
              <w:top w:val="nil"/>
              <w:left w:val="nil"/>
              <w:bottom w:val="nil"/>
              <w:right w:val="nil"/>
            </w:tcBorders>
            <w:shd w:val="clear" w:color="auto" w:fill="FFFFFF"/>
            <w:tcMar>
              <w:top w:w="80" w:type="dxa"/>
              <w:left w:w="120" w:type="dxa"/>
              <w:bottom w:w="80" w:type="dxa"/>
              <w:right w:w="120" w:type="dxa"/>
            </w:tcMar>
            <w:vAlign w:val="center"/>
          </w:tcPr>
          <w:p w14:paraId="4744D9F5">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分子结构随机森林</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376A6146">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46.76</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07228909">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98.37</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52EFC02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14.60</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52AADC7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92.03</w:t>
            </w:r>
          </w:p>
        </w:tc>
      </w:tr>
      <w:tr w14:paraId="2597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E18ECAF">
            <w:pPr>
              <w:pStyle w:val="23"/>
              <w:suppressAutoHyphens w:val="0"/>
              <w:spacing w:after="0"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lang w:eastAsia="en-US" w:bidi="ar-SA"/>
              </w:rPr>
              <w:t>分类变量—化学知识—结构特征融合随机森林</w:t>
            </w:r>
          </w:p>
        </w:tc>
        <w:tc>
          <w:tcPr>
            <w:tcW w:w="139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D3CB0FE">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53.06</w:t>
            </w:r>
          </w:p>
        </w:tc>
        <w:tc>
          <w:tcPr>
            <w:tcW w:w="139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C5EDBAF">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97.63</w:t>
            </w:r>
          </w:p>
        </w:tc>
        <w:tc>
          <w:tcPr>
            <w:tcW w:w="139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E1EB97E">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17.50</w:t>
            </w:r>
          </w:p>
        </w:tc>
        <w:tc>
          <w:tcPr>
            <w:tcW w:w="139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BBEE659">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91.02</w:t>
            </w:r>
          </w:p>
        </w:tc>
      </w:tr>
    </w:tbl>
    <w:p w14:paraId="48D7B61F">
      <w:pPr>
        <w:pStyle w:val="4"/>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结构表示明显改善了可迁移性，但“纯结构”和“融合结构”在不同指标上各有优势。</w:t>
      </w:r>
    </w:p>
    <w:p w14:paraId="1672AAE4">
      <w:pPr>
        <w:pStyle w:val="6"/>
        <w:rPr>
          <w:rFonts w:ascii="Times New Roman" w:hAnsi="Times New Roman" w:eastAsia="宋体"/>
          <w:sz w:val="24"/>
        </w:rPr>
      </w:pPr>
      <w:r>
        <w:rPr>
          <w:rFonts w:ascii="Times New Roman" w:hAnsi="Times New Roman" w:eastAsia="宋体"/>
          <w:sz w:val="24"/>
        </w:rPr>
        <w:t>8.3 第三方 Suzuki 压力测试</w:t>
      </w:r>
    </w:p>
    <w:tbl>
      <w:tblPr>
        <w:tblStyle w:val="13"/>
        <w:tblpPr w:leftFromText="180" w:rightFromText="180" w:vertAnchor="text" w:horzAnchor="page" w:tblpX="1387" w:tblpY="925"/>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00"/>
        <w:gridCol w:w="1390"/>
        <w:gridCol w:w="1390"/>
        <w:gridCol w:w="1390"/>
        <w:gridCol w:w="1390"/>
      </w:tblGrid>
      <w:tr w14:paraId="2C59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800" w:type="dxa"/>
            <w:tcBorders>
              <w:top w:val="single" w:color="000000" w:sz="12" w:space="0"/>
              <w:left w:val="nil"/>
              <w:bottom w:val="single" w:color="000000" w:sz="4" w:space="0"/>
              <w:right w:val="nil"/>
              <w:tl2br w:val="nil"/>
            </w:tcBorders>
            <w:shd w:val="clear" w:color="auto" w:fill="FFFFFF"/>
            <w:tcMar>
              <w:top w:w="80" w:type="dxa"/>
              <w:left w:w="120" w:type="dxa"/>
              <w:bottom w:w="80" w:type="dxa"/>
              <w:right w:w="120" w:type="dxa"/>
            </w:tcMar>
            <w:vAlign w:val="center"/>
          </w:tcPr>
          <w:p w14:paraId="6A8A922C">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方法</w:t>
            </w:r>
          </w:p>
        </w:tc>
        <w:tc>
          <w:tcPr>
            <w:tcW w:w="139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3FF85EC8">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initial ↑</w:t>
            </w:r>
          </w:p>
        </w:tc>
        <w:tc>
          <w:tcPr>
            <w:tcW w:w="139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022C9966">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best ↑</w:t>
            </w:r>
          </w:p>
        </w:tc>
        <w:tc>
          <w:tcPr>
            <w:tcW w:w="139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75EB47DE">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t95 ↓</w:t>
            </w:r>
          </w:p>
        </w:tc>
        <w:tc>
          <w:tcPr>
            <w:tcW w:w="1390" w:type="dxa"/>
            <w:tcBorders>
              <w:top w:val="single" w:color="000000" w:sz="12" w:space="0"/>
              <w:left w:val="nil"/>
              <w:bottom w:val="single" w:color="000000" w:sz="4" w:space="0"/>
              <w:right w:val="nil"/>
            </w:tcBorders>
            <w:shd w:val="clear" w:color="auto" w:fill="FFFFFF"/>
            <w:tcMar>
              <w:top w:w="80" w:type="dxa"/>
              <w:left w:w="120" w:type="dxa"/>
              <w:bottom w:w="80" w:type="dxa"/>
              <w:right w:w="120" w:type="dxa"/>
            </w:tcMar>
            <w:vAlign w:val="center"/>
          </w:tcPr>
          <w:p w14:paraId="2B642C3E">
            <w:pPr>
              <w:suppressAutoHyphens w:val="0"/>
              <w:spacing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b w:val="0"/>
                <w:color w:val="000000"/>
                <w:sz w:val="24"/>
                <w:szCs w:val="18"/>
                <w:lang w:eastAsia="en-US" w:bidi="ar-SA"/>
              </w:rPr>
              <w:t>AUC ↑</w:t>
            </w:r>
          </w:p>
        </w:tc>
      </w:tr>
      <w:tr w14:paraId="53BA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80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F024B74">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随机搜索</w:t>
            </w:r>
          </w:p>
        </w:tc>
        <w:tc>
          <w:tcPr>
            <w:tcW w:w="139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27768C6">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52.61</w:t>
            </w:r>
          </w:p>
        </w:tc>
        <w:tc>
          <w:tcPr>
            <w:tcW w:w="139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7A69B0F">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94.74</w:t>
            </w:r>
          </w:p>
        </w:tc>
        <w:tc>
          <w:tcPr>
            <w:tcW w:w="139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78146C7">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28.50</w:t>
            </w:r>
          </w:p>
        </w:tc>
        <w:tc>
          <w:tcPr>
            <w:tcW w:w="139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9E1ACDC">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90.85</w:t>
            </w:r>
          </w:p>
        </w:tc>
      </w:tr>
      <w:tr w14:paraId="50831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800" w:type="dxa"/>
            <w:tcBorders>
              <w:top w:val="nil"/>
              <w:left w:val="nil"/>
              <w:bottom w:val="nil"/>
              <w:right w:val="nil"/>
            </w:tcBorders>
            <w:shd w:val="clear" w:color="auto" w:fill="FFFFFF"/>
            <w:tcMar>
              <w:top w:w="80" w:type="dxa"/>
              <w:left w:w="120" w:type="dxa"/>
              <w:bottom w:w="80" w:type="dxa"/>
              <w:right w:w="120" w:type="dxa"/>
            </w:tcMar>
            <w:vAlign w:val="center"/>
          </w:tcPr>
          <w:p w14:paraId="2AA8F0EB">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混合变量随机森林</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45F6C107">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62.76</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0D449FB9">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99.54</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63DFACB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18.30</w:t>
            </w:r>
          </w:p>
        </w:tc>
        <w:tc>
          <w:tcPr>
            <w:tcW w:w="1390" w:type="dxa"/>
            <w:tcBorders>
              <w:top w:val="nil"/>
              <w:left w:val="nil"/>
              <w:bottom w:val="nil"/>
              <w:right w:val="nil"/>
            </w:tcBorders>
            <w:shd w:val="clear" w:color="auto" w:fill="FFFFFF"/>
            <w:tcMar>
              <w:top w:w="80" w:type="dxa"/>
              <w:left w:w="120" w:type="dxa"/>
              <w:bottom w:w="80" w:type="dxa"/>
              <w:right w:w="120" w:type="dxa"/>
            </w:tcMar>
            <w:vAlign w:val="center"/>
          </w:tcPr>
          <w:p w14:paraId="58D16776">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95.03</w:t>
            </w:r>
          </w:p>
        </w:tc>
      </w:tr>
      <w:tr w14:paraId="69757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80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AD05CF6">
            <w:pPr>
              <w:pStyle w:val="23"/>
              <w:suppressAutoHyphens w:val="0"/>
              <w:spacing w:after="0"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cs="Calibri"/>
                <w:b w:val="0"/>
                <w:color w:val="000000"/>
                <w:sz w:val="24"/>
                <w:szCs w:val="18"/>
                <w:lang w:eastAsia="zh-CN" w:bidi="ar-SA"/>
              </w:rPr>
              <w:t>连续/类别混合核—森林代理</w:t>
            </w:r>
          </w:p>
        </w:tc>
        <w:tc>
          <w:tcPr>
            <w:tcW w:w="139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23754F5">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86.31</w:t>
            </w:r>
          </w:p>
        </w:tc>
        <w:tc>
          <w:tcPr>
            <w:tcW w:w="139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C493FC3">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99.77</w:t>
            </w:r>
          </w:p>
        </w:tc>
        <w:tc>
          <w:tcPr>
            <w:tcW w:w="139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BA4AA04">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8.90</w:t>
            </w:r>
          </w:p>
        </w:tc>
        <w:tc>
          <w:tcPr>
            <w:tcW w:w="139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B27DA8D">
            <w:pPr>
              <w:pStyle w:val="23"/>
              <w:suppressAutoHyphens w:val="0"/>
              <w:spacing w:after="0" w:line="276" w:lineRule="auto"/>
              <w:jc w:val="center"/>
              <w:rPr>
                <w:rFonts w:ascii="Times New Roman" w:hAnsi="Times New Roman" w:eastAsia="宋体"/>
                <w:b w:val="0"/>
                <w:color w:val="000000"/>
                <w:sz w:val="24"/>
                <w:szCs w:val="18"/>
                <w:lang w:eastAsia="en-US" w:bidi="ar-SA"/>
              </w:rPr>
            </w:pPr>
            <w:r>
              <w:rPr>
                <w:rFonts w:ascii="Times New Roman" w:hAnsi="Times New Roman" w:eastAsia="宋体" w:cs="Calibri"/>
                <w:b w:val="0"/>
                <w:color w:val="000000"/>
                <w:sz w:val="24"/>
                <w:szCs w:val="18"/>
                <w:lang w:eastAsia="en-US" w:bidi="ar-SA"/>
              </w:rPr>
              <w:t>97.61</w:t>
            </w:r>
          </w:p>
        </w:tc>
      </w:tr>
    </w:tbl>
    <w:p w14:paraId="4812A852">
      <w:pPr>
        <w:pStyle w:val="4"/>
        <w:spacing w:before="120" w:beforeLines="50" w:after="120" w:afterLines="50" w:line="360" w:lineRule="auto"/>
        <w:ind w:firstLine="480" w:firstLineChars="200"/>
        <w:contextualSpacing/>
        <w:rPr>
          <w:rFonts w:ascii="Times New Roman" w:hAnsi="Times New Roman" w:eastAsia="宋体" w:cs="宋体"/>
          <w:sz w:val="24"/>
        </w:rPr>
      </w:pPr>
      <w:r>
        <w:rPr>
          <w:rFonts w:ascii="Times New Roman" w:hAnsi="Times New Roman" w:eastAsia="宋体" w:cs="宋体"/>
          <w:sz w:val="24"/>
        </w:rPr>
        <w:t>Reizman 流动反应包含额外连续变量。字段适配器保留并标准化这些变量，而非直接删列。10 个随机种子 × 40 轮的结果如下：</w:t>
      </w:r>
    </w:p>
    <w:p w14:paraId="21A11419">
      <w:pPr>
        <w:pStyle w:val="4"/>
        <w:spacing w:before="120" w:beforeLines="50" w:after="120" w:afterLines="50" w:line="360" w:lineRule="auto"/>
        <w:ind w:firstLine="480" w:firstLineChars="200"/>
        <w:contextualSpacing/>
        <w:rPr>
          <w:rFonts w:ascii="Times New Roman" w:hAnsi="Times New Roman" w:eastAsia="宋体"/>
          <w:sz w:val="24"/>
        </w:rPr>
      </w:pPr>
      <w:r>
        <w:rPr>
          <w:rFonts w:ascii="Times New Roman" w:hAnsi="Times New Roman" w:eastAsia="宋体"/>
          <w:sz w:val="24"/>
        </w:rPr>
        <w:t>这里验证的是完整架构的兼容性：先按字段类型建立表示，再由混合代理预测，最后按期望改进排序。外部适配器使用适合连续变量的径向基函数核，并不等同于官方全类别 Suzuki 的可交换分类协方差函数的张量积核，因此不将该结果表述为最终类别核代理的直接外推成绩。</w:t>
      </w:r>
    </w:p>
    <w:p w14:paraId="36BF71BD">
      <w:pPr>
        <w:pStyle w:val="4"/>
        <w:spacing w:before="120" w:beforeLines="50" w:after="120" w:afterLines="50" w:line="360" w:lineRule="auto"/>
        <w:ind w:firstLine="480" w:firstLineChars="200"/>
        <w:contextualSpacing/>
        <w:rPr>
          <w:rFonts w:ascii="Times New Roman" w:hAnsi="Times New Roman" w:eastAsia="宋体"/>
          <w:sz w:val="24"/>
        </w:rPr>
      </w:pPr>
    </w:p>
    <w:p w14:paraId="1A41429F">
      <w:pPr>
        <w:pStyle w:val="5"/>
        <w:bidi w:val="0"/>
        <w:jc w:val="left"/>
        <w:rPr>
          <w:rFonts w:ascii="Times New Roman" w:hAnsi="Times New Roman" w:eastAsia="宋体"/>
          <w:sz w:val="24"/>
        </w:rPr>
      </w:pPr>
      <w:r>
        <w:rPr>
          <w:rFonts w:ascii="Times New Roman" w:hAnsi="Times New Roman" w:eastAsia="宋体"/>
          <w:sz w:val="24"/>
        </w:rPr>
        <w:t>9. 智能体独立复现、已查询 Top-5 反应条件与最终推荐反应条件</w:t>
      </w:r>
    </w:p>
    <w:p w14:paraId="18F22DE9">
      <w:pPr>
        <w:pStyle w:val="4"/>
        <w:bidi w:val="0"/>
        <w:jc w:val="left"/>
        <w:rPr>
          <w:rFonts w:ascii="Times New Roman" w:hAnsi="Times New Roman" w:eastAsia="宋体"/>
          <w:sz w:val="24"/>
        </w:rPr>
      </w:pPr>
      <w:r>
        <w:rPr>
          <w:rFonts w:ascii="Times New Roman" w:hAnsi="Times New Roman" w:eastAsia="宋体"/>
          <w:sz w:val="24"/>
        </w:rPr>
        <w:t xml:space="preserve">使用独立 </w:t>
      </w:r>
      <w:r>
        <w:rPr>
          <w:rStyle w:val="19"/>
          <w:rFonts w:ascii="Times New Roman" w:hAnsi="Times New Roman" w:eastAsia="宋体"/>
          <w:sz w:val="24"/>
        </w:rPr>
        <w:t>test</w:t>
      </w:r>
      <w:r>
        <w:rPr>
          <w:rFonts w:ascii="Times New Roman" w:hAnsi="Times New Roman" w:eastAsia="宋体"/>
          <w:sz w:val="24"/>
        </w:rPr>
        <w:t xml:space="preserve"> Conda 环境重新执行 2 × 20 × 40 正式复现实验。由 Open Science 智能体直接读取包内组织方原始数据 </w:t>
      </w:r>
      <w:r>
        <w:rPr>
          <w:rStyle w:val="19"/>
          <w:rFonts w:ascii="Times New Roman" w:hAnsi="Times New Roman" w:eastAsia="宋体"/>
          <w:sz w:val="24"/>
        </w:rPr>
        <w:t>data/</w:t>
      </w:r>
      <w:r>
        <w:rPr>
          <w:rFonts w:ascii="Times New Roman" w:hAnsi="Times New Roman" w:eastAsia="宋体"/>
          <w:sz w:val="24"/>
        </w:rPr>
        <w:t>，新建作业并完成相同协议。两次运行均不是加载随包轨迹，而是使用固定模型配置 从头拟合代理模型并逐轮查询。结果如下：</w:t>
      </w:r>
    </w:p>
    <w:tbl>
      <w:tblPr>
        <w:tblStyle w:val="12"/>
        <w:tblW w:w="8619" w:type="dxa"/>
        <w:jc w:val="center"/>
        <w:tblLayout w:type="fixed"/>
        <w:tblCellMar>
          <w:top w:w="28" w:type="dxa"/>
          <w:left w:w="28" w:type="dxa"/>
          <w:bottom w:w="28" w:type="dxa"/>
          <w:right w:w="28" w:type="dxa"/>
        </w:tblCellMar>
      </w:tblPr>
      <w:tblGrid>
        <w:gridCol w:w="4089"/>
        <w:gridCol w:w="4530"/>
      </w:tblGrid>
      <w:tr w14:paraId="50044E23">
        <w:tblPrEx>
          <w:tblCellMar>
            <w:top w:w="28" w:type="dxa"/>
            <w:left w:w="28" w:type="dxa"/>
            <w:bottom w:w="28" w:type="dxa"/>
            <w:right w:w="28" w:type="dxa"/>
          </w:tblCellMar>
        </w:tblPrEx>
        <w:trPr>
          <w:trHeight w:val="317" w:hRule="atLeast"/>
          <w:tblHeader/>
          <w:jc w:val="center"/>
        </w:trPr>
        <w:tc>
          <w:tcPr>
            <w:tcW w:w="4089" w:type="dxa"/>
            <w:tcBorders>
              <w:top w:val="single" w:color="000000" w:sz="12" w:space="0"/>
              <w:left w:val="nil"/>
              <w:bottom w:val="single" w:color="000000" w:sz="4" w:space="0"/>
              <w:right w:val="nil"/>
              <w:tl2br w:val="nil"/>
            </w:tcBorders>
            <w:shd w:val="clear" w:color="auto" w:fill="FFFFFF"/>
            <w:vAlign w:val="center"/>
          </w:tcPr>
          <w:p w14:paraId="47AB0A47">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审计项</w:t>
            </w:r>
          </w:p>
        </w:tc>
        <w:tc>
          <w:tcPr>
            <w:tcW w:w="4530" w:type="dxa"/>
            <w:tcBorders>
              <w:top w:val="single" w:color="000000" w:sz="12" w:space="0"/>
              <w:left w:val="nil"/>
              <w:bottom w:val="single" w:color="000000" w:sz="4" w:space="0"/>
              <w:right w:val="nil"/>
            </w:tcBorders>
            <w:shd w:val="clear" w:color="auto" w:fill="FFFFFF"/>
            <w:vAlign w:val="center"/>
          </w:tcPr>
          <w:p w14:paraId="626EC188">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结果</w:t>
            </w:r>
          </w:p>
        </w:tc>
      </w:tr>
      <w:tr w14:paraId="2ED1B345">
        <w:tblPrEx>
          <w:tblCellMar>
            <w:top w:w="28" w:type="dxa"/>
            <w:left w:w="28" w:type="dxa"/>
            <w:bottom w:w="28" w:type="dxa"/>
            <w:right w:w="28" w:type="dxa"/>
          </w:tblCellMar>
        </w:tblPrEx>
        <w:trPr>
          <w:trHeight w:val="294" w:hRule="atLeast"/>
          <w:jc w:val="center"/>
        </w:trPr>
        <w:tc>
          <w:tcPr>
            <w:tcW w:w="4089" w:type="dxa"/>
            <w:tcBorders>
              <w:top w:val="single" w:color="000000" w:sz="4" w:space="0"/>
              <w:left w:val="nil"/>
              <w:bottom w:val="nil"/>
              <w:right w:val="nil"/>
            </w:tcBorders>
            <w:shd w:val="clear" w:color="auto" w:fill="FFFFFF"/>
            <w:vAlign w:val="center"/>
          </w:tcPr>
          <w:p w14:paraId="49A967F1">
            <w:pPr>
              <w:pStyle w:val="23"/>
              <w:suppressAutoHyphens w:val="0"/>
              <w:spacing w:after="0" w:line="276" w:lineRule="auto"/>
              <w:jc w:val="center"/>
              <w:rPr>
                <w:rFonts w:ascii="Times New Roman" w:hAnsi="Times New Roman" w:eastAsia="宋体" w:cs="Calibri"/>
                <w:b w:val="0"/>
                <w:color w:val="000000"/>
                <w:sz w:val="24"/>
                <w:szCs w:val="18"/>
                <w:lang w:eastAsia="zh-CN" w:bidi="ar-SA"/>
              </w:rPr>
            </w:pPr>
            <w:r>
              <w:rPr>
                <w:rFonts w:ascii="Times New Roman" w:hAnsi="Times New Roman" w:eastAsia="宋体" w:cs="Calibri"/>
                <w:b w:val="0"/>
                <w:color w:val="000000"/>
                <w:sz w:val="24"/>
                <w:szCs w:val="18"/>
                <w:lang w:eastAsia="zh-CN" w:bidi="ar-SA"/>
              </w:rPr>
              <w:t>新生成轨迹</w:t>
            </w:r>
          </w:p>
        </w:tc>
        <w:tc>
          <w:tcPr>
            <w:tcW w:w="4530" w:type="dxa"/>
            <w:tcBorders>
              <w:top w:val="single" w:color="000000" w:sz="4" w:space="0"/>
              <w:left w:val="nil"/>
              <w:bottom w:val="nil"/>
              <w:right w:val="nil"/>
            </w:tcBorders>
            <w:shd w:val="clear" w:color="auto" w:fill="FFFFFF"/>
            <w:vAlign w:val="center"/>
          </w:tcPr>
          <w:p w14:paraId="0B602FE0">
            <w:pPr>
              <w:pStyle w:val="23"/>
              <w:suppressAutoHyphens w:val="0"/>
              <w:spacing w:after="0" w:line="276" w:lineRule="auto"/>
              <w:jc w:val="center"/>
              <w:rPr>
                <w:rFonts w:ascii="Times New Roman" w:hAnsi="Times New Roman" w:eastAsia="宋体" w:cs="Calibri"/>
                <w:b w:val="0"/>
                <w:color w:val="000000"/>
                <w:sz w:val="24"/>
                <w:szCs w:val="18"/>
                <w:lang w:eastAsia="zh-CN" w:bidi="ar-SA"/>
              </w:rPr>
            </w:pPr>
            <w:r>
              <w:rPr>
                <w:rFonts w:ascii="Times New Roman" w:hAnsi="Times New Roman" w:eastAsia="宋体" w:cs="Calibri"/>
                <w:b w:val="0"/>
                <w:color w:val="000000"/>
                <w:sz w:val="24"/>
                <w:szCs w:val="18"/>
                <w:lang w:eastAsia="zh-CN" w:bidi="ar-SA"/>
              </w:rPr>
              <w:t>40/40 合法</w:t>
            </w:r>
          </w:p>
        </w:tc>
      </w:tr>
      <w:tr w14:paraId="530BE9BE">
        <w:tblPrEx>
          <w:tblCellMar>
            <w:top w:w="28" w:type="dxa"/>
            <w:left w:w="28" w:type="dxa"/>
            <w:bottom w:w="28" w:type="dxa"/>
            <w:right w:w="28" w:type="dxa"/>
          </w:tblCellMar>
        </w:tblPrEx>
        <w:trPr>
          <w:trHeight w:val="283" w:hRule="atLeast"/>
          <w:jc w:val="center"/>
        </w:trPr>
        <w:tc>
          <w:tcPr>
            <w:tcW w:w="4089" w:type="dxa"/>
            <w:tcBorders>
              <w:top w:val="nil"/>
              <w:left w:val="nil"/>
              <w:bottom w:val="nil"/>
              <w:right w:val="nil"/>
            </w:tcBorders>
            <w:shd w:val="clear" w:color="auto" w:fill="FFFFFF"/>
            <w:vAlign w:val="center"/>
          </w:tcPr>
          <w:p w14:paraId="5F8F56E0">
            <w:pPr>
              <w:pStyle w:val="23"/>
              <w:suppressAutoHyphens w:val="0"/>
              <w:spacing w:after="0" w:line="276" w:lineRule="auto"/>
              <w:jc w:val="center"/>
              <w:rPr>
                <w:rFonts w:ascii="Times New Roman" w:hAnsi="Times New Roman" w:eastAsia="宋体" w:cs="Calibri"/>
                <w:b w:val="0"/>
                <w:color w:val="000000"/>
                <w:sz w:val="24"/>
                <w:szCs w:val="18"/>
                <w:lang w:eastAsia="zh-CN" w:bidi="ar-SA"/>
              </w:rPr>
            </w:pPr>
            <w:r>
              <w:rPr>
                <w:rFonts w:ascii="Times New Roman" w:hAnsi="Times New Roman" w:eastAsia="宋体" w:cs="Calibri"/>
                <w:b w:val="0"/>
                <w:color w:val="000000"/>
                <w:sz w:val="24"/>
                <w:szCs w:val="18"/>
                <w:lang w:eastAsia="zh-CN" w:bidi="ar-SA"/>
              </w:rPr>
              <w:t>顺序查询记录</w:t>
            </w:r>
          </w:p>
        </w:tc>
        <w:tc>
          <w:tcPr>
            <w:tcW w:w="4530" w:type="dxa"/>
            <w:tcBorders>
              <w:top w:val="nil"/>
              <w:left w:val="nil"/>
              <w:bottom w:val="nil"/>
              <w:right w:val="nil"/>
            </w:tcBorders>
            <w:shd w:val="clear" w:color="auto" w:fill="FFFFFF"/>
            <w:vAlign w:val="center"/>
          </w:tcPr>
          <w:p w14:paraId="3CC4E89B">
            <w:pPr>
              <w:pStyle w:val="23"/>
              <w:suppressAutoHyphens w:val="0"/>
              <w:spacing w:after="0" w:line="276" w:lineRule="auto"/>
              <w:jc w:val="center"/>
              <w:rPr>
                <w:rFonts w:ascii="Times New Roman" w:hAnsi="Times New Roman" w:eastAsia="宋体" w:cs="Calibri"/>
                <w:b w:val="0"/>
                <w:color w:val="000000"/>
                <w:sz w:val="24"/>
                <w:szCs w:val="18"/>
                <w:lang w:eastAsia="zh-CN" w:bidi="ar-SA"/>
              </w:rPr>
            </w:pPr>
            <w:r>
              <w:rPr>
                <w:rFonts w:ascii="Times New Roman" w:hAnsi="Times New Roman" w:eastAsia="宋体" w:cs="Calibri"/>
                <w:b w:val="0"/>
                <w:color w:val="000000"/>
                <w:sz w:val="24"/>
                <w:szCs w:val="18"/>
                <w:lang w:eastAsia="zh-CN" w:bidi="ar-SA"/>
              </w:rPr>
              <w:t>1,600/1,600 完整</w:t>
            </w:r>
          </w:p>
        </w:tc>
      </w:tr>
      <w:tr w14:paraId="083885D2">
        <w:tblPrEx>
          <w:tblCellMar>
            <w:top w:w="28" w:type="dxa"/>
            <w:left w:w="28" w:type="dxa"/>
            <w:bottom w:w="28" w:type="dxa"/>
            <w:right w:w="28" w:type="dxa"/>
          </w:tblCellMar>
        </w:tblPrEx>
        <w:trPr>
          <w:trHeight w:val="283" w:hRule="atLeast"/>
          <w:jc w:val="center"/>
        </w:trPr>
        <w:tc>
          <w:tcPr>
            <w:tcW w:w="4089" w:type="dxa"/>
            <w:tcBorders>
              <w:top w:val="nil"/>
              <w:left w:val="nil"/>
              <w:bottom w:val="nil"/>
              <w:right w:val="nil"/>
            </w:tcBorders>
            <w:shd w:val="clear" w:color="auto" w:fill="FFFFFF"/>
            <w:vAlign w:val="center"/>
          </w:tcPr>
          <w:p w14:paraId="34C4EE96">
            <w:pPr>
              <w:pStyle w:val="23"/>
              <w:suppressAutoHyphens w:val="0"/>
              <w:spacing w:after="0" w:line="276" w:lineRule="auto"/>
              <w:jc w:val="center"/>
              <w:rPr>
                <w:rFonts w:ascii="Times New Roman" w:hAnsi="Times New Roman" w:eastAsia="宋体" w:cs="Calibri"/>
                <w:b w:val="0"/>
                <w:color w:val="000000"/>
                <w:sz w:val="24"/>
                <w:szCs w:val="18"/>
                <w:lang w:eastAsia="zh-CN" w:bidi="ar-SA"/>
              </w:rPr>
            </w:pPr>
            <w:r>
              <w:rPr>
                <w:rFonts w:ascii="Times New Roman" w:hAnsi="Times New Roman" w:eastAsia="宋体" w:cs="Calibri"/>
                <w:b w:val="0"/>
                <w:color w:val="000000"/>
                <w:sz w:val="24"/>
                <w:szCs w:val="18"/>
                <w:lang w:eastAsia="zh-CN" w:bidi="ar-SA"/>
              </w:rPr>
              <w:t>与提交基准逐轮比较</w:t>
            </w:r>
          </w:p>
        </w:tc>
        <w:tc>
          <w:tcPr>
            <w:tcW w:w="4530" w:type="dxa"/>
            <w:tcBorders>
              <w:top w:val="nil"/>
              <w:left w:val="nil"/>
              <w:bottom w:val="nil"/>
              <w:right w:val="nil"/>
            </w:tcBorders>
            <w:shd w:val="clear" w:color="auto" w:fill="FFFFFF"/>
            <w:vAlign w:val="center"/>
          </w:tcPr>
          <w:p w14:paraId="4DF13F72">
            <w:pPr>
              <w:pStyle w:val="23"/>
              <w:suppressAutoHyphens w:val="0"/>
              <w:spacing w:after="0" w:line="276" w:lineRule="auto"/>
              <w:jc w:val="center"/>
              <w:rPr>
                <w:rFonts w:ascii="Times New Roman" w:hAnsi="Times New Roman" w:eastAsia="宋体" w:cs="Calibri"/>
                <w:b w:val="0"/>
                <w:color w:val="000000"/>
                <w:sz w:val="24"/>
                <w:szCs w:val="18"/>
                <w:lang w:eastAsia="zh-CN" w:bidi="ar-SA"/>
              </w:rPr>
            </w:pPr>
            <w:r>
              <w:rPr>
                <w:rFonts w:ascii="Times New Roman" w:hAnsi="Times New Roman" w:eastAsia="宋体" w:cs="Calibri"/>
                <w:b w:val="0"/>
                <w:color w:val="000000"/>
                <w:sz w:val="24"/>
                <w:szCs w:val="18"/>
                <w:lang w:eastAsia="zh-CN" w:bidi="ar-SA"/>
              </w:rPr>
              <w:t>40 identical，0 different</w:t>
            </w:r>
          </w:p>
        </w:tc>
      </w:tr>
      <w:tr w14:paraId="7409C263">
        <w:tblPrEx>
          <w:tblCellMar>
            <w:top w:w="28" w:type="dxa"/>
            <w:left w:w="28" w:type="dxa"/>
            <w:bottom w:w="28" w:type="dxa"/>
            <w:right w:w="28" w:type="dxa"/>
          </w:tblCellMar>
        </w:tblPrEx>
        <w:trPr>
          <w:trHeight w:val="283" w:hRule="atLeast"/>
          <w:jc w:val="center"/>
        </w:trPr>
        <w:tc>
          <w:tcPr>
            <w:tcW w:w="4089" w:type="dxa"/>
            <w:tcBorders>
              <w:top w:val="nil"/>
              <w:left w:val="nil"/>
              <w:bottom w:val="nil"/>
              <w:right w:val="nil"/>
            </w:tcBorders>
            <w:shd w:val="clear" w:color="auto" w:fill="FFFFFF"/>
            <w:vAlign w:val="center"/>
          </w:tcPr>
          <w:p w14:paraId="61A88066">
            <w:pPr>
              <w:pStyle w:val="23"/>
              <w:suppressAutoHyphens w:val="0"/>
              <w:spacing w:after="0" w:line="276" w:lineRule="auto"/>
              <w:jc w:val="center"/>
              <w:rPr>
                <w:rFonts w:ascii="Times New Roman" w:hAnsi="Times New Roman" w:eastAsia="宋体" w:cs="Calibri"/>
                <w:b w:val="0"/>
                <w:color w:val="000000"/>
                <w:sz w:val="24"/>
                <w:szCs w:val="18"/>
                <w:lang w:eastAsia="zh-CN" w:bidi="ar-SA"/>
              </w:rPr>
            </w:pPr>
            <w:r>
              <w:rPr>
                <w:rFonts w:ascii="Times New Roman" w:hAnsi="Times New Roman" w:eastAsia="宋体" w:cs="Calibri"/>
                <w:b w:val="0"/>
                <w:color w:val="000000"/>
                <w:sz w:val="24"/>
                <w:szCs w:val="18"/>
                <w:lang w:eastAsia="zh-CN" w:bidi="ar-SA"/>
              </w:rPr>
              <w:t>四项指标</w:t>
            </w:r>
          </w:p>
        </w:tc>
        <w:tc>
          <w:tcPr>
            <w:tcW w:w="4530" w:type="dxa"/>
            <w:tcBorders>
              <w:top w:val="nil"/>
              <w:left w:val="nil"/>
              <w:bottom w:val="nil"/>
              <w:right w:val="nil"/>
            </w:tcBorders>
            <w:shd w:val="clear" w:color="auto" w:fill="FFFFFF"/>
            <w:vAlign w:val="center"/>
          </w:tcPr>
          <w:p w14:paraId="1D21E68E">
            <w:pPr>
              <w:pStyle w:val="23"/>
              <w:suppressAutoHyphens w:val="0"/>
              <w:spacing w:after="0" w:line="276" w:lineRule="auto"/>
              <w:jc w:val="center"/>
              <w:rPr>
                <w:rFonts w:ascii="Times New Roman" w:hAnsi="Times New Roman" w:eastAsia="宋体" w:cs="Calibri"/>
                <w:b w:val="0"/>
                <w:color w:val="000000"/>
                <w:sz w:val="24"/>
                <w:szCs w:val="18"/>
                <w:lang w:eastAsia="zh-CN" w:bidi="ar-SA"/>
              </w:rPr>
            </w:pPr>
            <w:r>
              <w:rPr>
                <w:rFonts w:ascii="Times New Roman" w:hAnsi="Times New Roman" w:eastAsia="宋体" w:cs="Calibri"/>
                <w:b w:val="0"/>
                <w:color w:val="000000"/>
                <w:sz w:val="24"/>
                <w:szCs w:val="18"/>
                <w:lang w:eastAsia="zh-CN" w:bidi="ar-SA"/>
              </w:rPr>
              <w:t>与提交汇总一致</w:t>
            </w:r>
          </w:p>
        </w:tc>
      </w:tr>
      <w:tr w14:paraId="02803656">
        <w:tblPrEx>
          <w:tblCellMar>
            <w:top w:w="28" w:type="dxa"/>
            <w:left w:w="28" w:type="dxa"/>
            <w:bottom w:w="28" w:type="dxa"/>
            <w:right w:w="28" w:type="dxa"/>
          </w:tblCellMar>
        </w:tblPrEx>
        <w:trPr>
          <w:trHeight w:val="317" w:hRule="atLeast"/>
          <w:jc w:val="center"/>
        </w:trPr>
        <w:tc>
          <w:tcPr>
            <w:tcW w:w="4089" w:type="dxa"/>
            <w:tcBorders>
              <w:top w:val="nil"/>
              <w:left w:val="nil"/>
              <w:bottom w:val="single" w:color="000000" w:sz="12" w:space="0"/>
              <w:right w:val="nil"/>
            </w:tcBorders>
            <w:shd w:val="clear" w:color="auto" w:fill="FFFFFF"/>
            <w:vAlign w:val="center"/>
          </w:tcPr>
          <w:p w14:paraId="176DC6A9">
            <w:pPr>
              <w:pStyle w:val="23"/>
              <w:suppressAutoHyphens w:val="0"/>
              <w:spacing w:after="0" w:line="276" w:lineRule="auto"/>
              <w:jc w:val="center"/>
              <w:rPr>
                <w:rFonts w:ascii="Times New Roman" w:hAnsi="Times New Roman" w:eastAsia="宋体" w:cs="Calibri"/>
                <w:b w:val="0"/>
                <w:color w:val="000000"/>
                <w:sz w:val="24"/>
                <w:szCs w:val="18"/>
                <w:lang w:eastAsia="zh-CN" w:bidi="ar-SA"/>
              </w:rPr>
            </w:pPr>
            <w:r>
              <w:rPr>
                <w:rFonts w:ascii="Times New Roman" w:hAnsi="Times New Roman" w:eastAsia="宋体" w:cs="Calibri"/>
                <w:b w:val="0"/>
                <w:color w:val="000000"/>
                <w:sz w:val="24"/>
                <w:szCs w:val="18"/>
                <w:lang w:eastAsia="zh-CN" w:bidi="ar-SA"/>
              </w:rPr>
              <w:t>已查询 Top-5 反应条件</w:t>
            </w:r>
          </w:p>
        </w:tc>
        <w:tc>
          <w:tcPr>
            <w:tcW w:w="4530" w:type="dxa"/>
            <w:tcBorders>
              <w:top w:val="nil"/>
              <w:left w:val="nil"/>
              <w:bottom w:val="single" w:color="000000" w:sz="12" w:space="0"/>
              <w:right w:val="nil"/>
            </w:tcBorders>
            <w:shd w:val="clear" w:color="auto" w:fill="FFFFFF"/>
            <w:vAlign w:val="center"/>
          </w:tcPr>
          <w:p w14:paraId="5FD4AB0A">
            <w:pPr>
              <w:pStyle w:val="23"/>
              <w:suppressAutoHyphens w:val="0"/>
              <w:spacing w:after="0" w:line="276" w:lineRule="auto"/>
              <w:jc w:val="center"/>
              <w:rPr>
                <w:rFonts w:ascii="Times New Roman" w:hAnsi="Times New Roman" w:eastAsia="宋体" w:cs="Calibri"/>
                <w:b w:val="0"/>
                <w:color w:val="000000"/>
                <w:sz w:val="24"/>
                <w:szCs w:val="18"/>
                <w:lang w:eastAsia="zh-CN" w:bidi="ar-SA"/>
              </w:rPr>
            </w:pPr>
            <w:r>
              <w:rPr>
                <w:rFonts w:ascii="Times New Roman" w:hAnsi="Times New Roman" w:eastAsia="宋体" w:cs="Calibri"/>
                <w:b w:val="0"/>
                <w:color w:val="000000"/>
                <w:sz w:val="24"/>
                <w:szCs w:val="18"/>
                <w:lang w:eastAsia="zh-CN" w:bidi="ar-SA"/>
              </w:rPr>
              <w:t>与首次复现一致</w:t>
            </w:r>
          </w:p>
        </w:tc>
      </w:tr>
    </w:tbl>
    <w:p w14:paraId="106952C6">
      <w:pPr>
        <w:pStyle w:val="4"/>
        <w:bidi w:val="0"/>
        <w:jc w:val="left"/>
        <w:rPr>
          <w:rFonts w:ascii="Times New Roman" w:hAnsi="Times New Roman" w:eastAsia="宋体"/>
          <w:sz w:val="24"/>
        </w:rPr>
      </w:pPr>
      <w:r>
        <w:rPr>
          <w:rFonts w:ascii="Times New Roman" w:hAnsi="Times New Roman" w:eastAsia="宋体"/>
          <w:sz w:val="24"/>
        </w:rPr>
        <w:t xml:space="preserve">本节现实可行性判断和最终推荐对应随包保存的一次数据库增强智能体运行样例。数值 Top-5 冻结后，Open Science 智能体先检索并读取可用数据库记录，再由 DeepSeek 对缺少 直接证据的维度作明确标记的推断；完整来源和检索失败记录见 </w:t>
      </w:r>
      <w:r>
        <w:rPr>
          <w:rStyle w:val="19"/>
          <w:rFonts w:ascii="Times New Roman" w:hAnsi="Times New Roman" w:eastAsia="宋体"/>
          <w:sz w:val="24"/>
        </w:rPr>
        <w:t>results/top5_external_evidence.json</w:t>
      </w:r>
      <w:r>
        <w:rPr>
          <w:rFonts w:ascii="Times New Roman" w:hAnsi="Times New Roman" w:eastAsia="宋体"/>
          <w:sz w:val="24"/>
        </w:rPr>
        <w:t xml:space="preserve"> 与 </w:t>
      </w:r>
      <w:r>
        <w:rPr>
          <w:rStyle w:val="19"/>
          <w:rFonts w:ascii="Times New Roman" w:hAnsi="Times New Roman" w:eastAsia="宋体"/>
          <w:sz w:val="24"/>
        </w:rPr>
        <w:t>results/deepseek_database_enhanced_review.json</w:t>
      </w:r>
      <w:r>
        <w:rPr>
          <w:rFonts w:ascii="Times New Roman" w:hAnsi="Times New Roman" w:eastAsia="宋体"/>
          <w:sz w:val="24"/>
        </w:rPr>
        <w:t xml:space="preserve">。 再次运行时，外部数据库状态和时点信息可能变化，但不会改变数值轨迹、核心指标、 DFT 的选后定位或 </w:t>
      </w:r>
      <w:r>
        <w:rPr>
          <w:rStyle w:val="19"/>
          <w:rFonts w:ascii="Times New Roman" w:hAnsi="Times New Roman" w:eastAsia="宋体"/>
          <w:sz w:val="24"/>
        </w:rPr>
        <w:t>optimizer_rank</w:t>
      </w:r>
      <w:r>
        <w:rPr>
          <w:rFonts w:ascii="Times New Roman" w:hAnsi="Times New Roman" w:eastAsia="宋体"/>
          <w:sz w:val="24"/>
        </w:rPr>
        <w:t>。这里的“已查询 Top-5 反应条件”是两个数据集各 20 条合法轨迹实际查询过的唯一条件，按最高观测产率降序汇总；不是对未实验候选的新预测。密度泛函理论解释和 DeepSeek 现实可行性评估均在轨迹完成后执行，</w:t>
      </w:r>
      <w:r>
        <w:rPr>
          <w:rStyle w:val="19"/>
          <w:rFonts w:ascii="Times New Roman" w:hAnsi="Times New Roman" w:eastAsia="宋体"/>
          <w:sz w:val="24"/>
        </w:rPr>
        <w:t>ranking_effect=none</w:t>
      </w:r>
      <w:r>
        <w:rPr>
          <w:rFonts w:ascii="Times New Roman" w:hAnsi="Times New Roman" w:eastAsia="宋体"/>
          <w:sz w:val="24"/>
        </w:rPr>
        <w:t>。六个维度均按负担等级记录：</w:t>
      </w:r>
      <w:r>
        <w:rPr>
          <w:rStyle w:val="19"/>
          <w:rFonts w:ascii="Times New Roman" w:hAnsi="Times New Roman" w:eastAsia="宋体"/>
          <w:sz w:val="24"/>
        </w:rPr>
        <w:t>low=3</w:t>
      </w:r>
      <w:r>
        <w:rPr>
          <w:rFonts w:ascii="Times New Roman" w:hAnsi="Times New Roman" w:eastAsia="宋体"/>
          <w:sz w:val="24"/>
        </w:rPr>
        <w:t>、</w:t>
      </w:r>
      <w:r>
        <w:rPr>
          <w:rStyle w:val="19"/>
          <w:rFonts w:ascii="Times New Roman" w:hAnsi="Times New Roman" w:eastAsia="宋体"/>
          <w:sz w:val="24"/>
        </w:rPr>
        <w:t>medium=2</w:t>
      </w:r>
      <w:r>
        <w:rPr>
          <w:rFonts w:ascii="Times New Roman" w:hAnsi="Times New Roman" w:eastAsia="宋体"/>
          <w:sz w:val="24"/>
        </w:rPr>
        <w:t>、</w:t>
      </w:r>
      <w:r>
        <w:rPr>
          <w:rStyle w:val="19"/>
          <w:rFonts w:ascii="Times New Roman" w:hAnsi="Times New Roman" w:eastAsia="宋体"/>
          <w:sz w:val="24"/>
        </w:rPr>
        <w:t>high=1</w:t>
      </w:r>
      <w:r>
        <w:rPr>
          <w:rFonts w:ascii="Times New Roman" w:hAnsi="Times New Roman" w:eastAsia="宋体"/>
          <w:sz w:val="24"/>
        </w:rPr>
        <w:t>、</w:t>
      </w:r>
      <w:r>
        <w:rPr>
          <w:rStyle w:val="19"/>
          <w:rFonts w:ascii="Times New Roman" w:hAnsi="Times New Roman" w:eastAsia="宋体"/>
          <w:sz w:val="24"/>
        </w:rPr>
        <w:t>unknown=null</w:t>
      </w:r>
      <w:r>
        <w:rPr>
          <w:rFonts w:ascii="Times New Roman" w:hAnsi="Times New Roman" w:eastAsia="宋体"/>
          <w:sz w:val="24"/>
        </w:rPr>
        <w:t xml:space="preserve">，完整 总分范围为 6–18，分数越高表示现实可行性越高。任一维度未知时总分为空。表格中的“—（4/6）”表示六个维度中仅有 4 个维度具备可评分信息，另 2 个维度为 unknown，因此不计算总分；括号内为“已评分维度数/总维度数”。 </w:t>
      </w:r>
      <w:r>
        <w:rPr>
          <w:rStyle w:val="19"/>
          <w:rFonts w:ascii="Times New Roman" w:hAnsi="Times New Roman" w:eastAsia="宋体"/>
          <w:sz w:val="24"/>
        </w:rPr>
        <w:t>critical_safety_flags</w:t>
      </w:r>
      <w:r>
        <w:rPr>
          <w:rFonts w:ascii="Times New Roman" w:hAnsi="Times New Roman" w:eastAsia="宋体"/>
          <w:sz w:val="24"/>
        </w:rPr>
        <w:t xml:space="preserve"> 非空、初步危险性为 high 或放大风险为 high 时为 </w:t>
      </w:r>
      <w:r>
        <w:rPr>
          <w:rStyle w:val="19"/>
          <w:rFonts w:ascii="Times New Roman" w:hAnsi="Times New Roman" w:eastAsia="宋体"/>
          <w:sz w:val="24"/>
        </w:rPr>
        <w:t>blocked</w:t>
      </w:r>
      <w:r>
        <w:rPr>
          <w:rFonts w:ascii="Times New Roman" w:hAnsi="Times New Roman" w:eastAsia="宋体"/>
          <w:sz w:val="24"/>
        </w:rPr>
        <w:t xml:space="preserve">； 其余需要补充安全证据或废物处置审查的条件为 </w:t>
      </w:r>
      <w:r>
        <w:rPr>
          <w:rStyle w:val="19"/>
          <w:rFonts w:ascii="Times New Roman" w:hAnsi="Times New Roman" w:eastAsia="宋体"/>
          <w:sz w:val="24"/>
        </w:rPr>
        <w:t>conditional</w:t>
      </w:r>
      <w:r>
        <w:rPr>
          <w:rFonts w:ascii="Times New Roman" w:hAnsi="Times New Roman" w:eastAsia="宋体"/>
          <w:sz w:val="24"/>
        </w:rPr>
        <w:t xml:space="preserve">。该安全门槛由程序计算， </w:t>
      </w:r>
      <w:r>
        <w:rPr>
          <w:rStyle w:val="19"/>
          <w:rFonts w:ascii="Times New Roman" w:hAnsi="Times New Roman" w:eastAsia="宋体"/>
          <w:sz w:val="24"/>
        </w:rPr>
        <w:t>blocked</w:t>
      </w:r>
      <w:r>
        <w:rPr>
          <w:rFonts w:ascii="Times New Roman" w:hAnsi="Times New Roman" w:eastAsia="宋体"/>
          <w:sz w:val="24"/>
        </w:rPr>
        <w:t xml:space="preserve"> 条件不能成为最终推荐反应条件；如果某数据集的五条条件均为 </w:t>
      </w:r>
      <w:r>
        <w:rPr>
          <w:rStyle w:val="19"/>
          <w:rFonts w:ascii="Times New Roman" w:hAnsi="Times New Roman" w:eastAsia="宋体"/>
          <w:sz w:val="24"/>
        </w:rPr>
        <w:t>blocked</w:t>
      </w:r>
      <w:r>
        <w:rPr>
          <w:rFonts w:ascii="Times New Roman" w:hAnsi="Times New Roman" w:eastAsia="宋体"/>
          <w:sz w:val="24"/>
        </w:rPr>
        <w:t xml:space="preserve">， 系统输出 </w:t>
      </w:r>
      <w:r>
        <w:rPr>
          <w:rStyle w:val="19"/>
          <w:rFonts w:ascii="Times New Roman" w:hAnsi="Times New Roman" w:eastAsia="宋体"/>
          <w:sz w:val="24"/>
        </w:rPr>
        <w:t>no_condition_recommended</w:t>
      </w:r>
      <w:r>
        <w:rPr>
          <w:rFonts w:ascii="Times New Roman" w:hAnsi="Times New Roman" w:eastAsia="宋体"/>
          <w:sz w:val="24"/>
        </w:rPr>
        <w:t>。</w:t>
      </w:r>
    </w:p>
    <w:p w14:paraId="43744536">
      <w:pPr>
        <w:pStyle w:val="6"/>
        <w:bidi w:val="0"/>
        <w:jc w:val="left"/>
        <w:rPr>
          <w:rFonts w:ascii="Times New Roman" w:hAnsi="Times New Roman" w:eastAsia="宋体"/>
          <w:sz w:val="24"/>
        </w:rPr>
      </w:pPr>
      <w:r>
        <w:rPr>
          <w:rFonts w:ascii="Times New Roman" w:hAnsi="Times New Roman" w:eastAsia="宋体"/>
          <w:sz w:val="24"/>
        </w:rPr>
        <w:t>9.1 Suzuki 已查询 Top-5 反应条件</w:t>
      </w:r>
    </w:p>
    <w:tbl>
      <w:tblPr>
        <w:tblStyle w:val="12"/>
        <w:tblpPr w:leftFromText="180" w:rightFromText="180" w:vertAnchor="text" w:horzAnchor="page" w:tblpX="961" w:tblpY="634"/>
        <w:tblOverlap w:val="never"/>
        <w:tblW w:w="4997" w:type="pct"/>
        <w:tblInd w:w="0" w:type="dxa"/>
        <w:tblLayout w:type="autofit"/>
        <w:tblCellMar>
          <w:top w:w="28" w:type="dxa"/>
          <w:left w:w="28" w:type="dxa"/>
          <w:bottom w:w="28" w:type="dxa"/>
          <w:right w:w="28" w:type="dxa"/>
        </w:tblCellMar>
      </w:tblPr>
      <w:tblGrid>
        <w:gridCol w:w="886"/>
        <w:gridCol w:w="637"/>
        <w:gridCol w:w="836"/>
        <w:gridCol w:w="475"/>
        <w:gridCol w:w="475"/>
        <w:gridCol w:w="843"/>
        <w:gridCol w:w="843"/>
        <w:gridCol w:w="843"/>
        <w:gridCol w:w="951"/>
        <w:gridCol w:w="928"/>
        <w:gridCol w:w="1174"/>
        <w:gridCol w:w="1137"/>
      </w:tblGrid>
      <w:tr w14:paraId="65784DC4">
        <w:tblPrEx>
          <w:tblCellMar>
            <w:top w:w="28" w:type="dxa"/>
            <w:left w:w="28" w:type="dxa"/>
            <w:bottom w:w="28" w:type="dxa"/>
            <w:right w:w="28" w:type="dxa"/>
          </w:tblCellMar>
        </w:tblPrEx>
        <w:trPr>
          <w:trHeight w:val="772" w:hRule="atLeast"/>
          <w:tblHeader/>
        </w:trPr>
        <w:tc>
          <w:tcPr>
            <w:tcW w:w="667" w:type="pct"/>
            <w:gridSpan w:val="2"/>
            <w:tcBorders>
              <w:top w:val="single" w:color="000000" w:sz="12" w:space="0"/>
              <w:left w:val="nil"/>
              <w:bottom w:val="single" w:color="000000" w:sz="4" w:space="0"/>
              <w:right w:val="nil"/>
              <w:tl2br w:val="nil"/>
            </w:tcBorders>
            <w:shd w:val="clear" w:color="auto" w:fill="auto"/>
            <w:vAlign w:val="center"/>
          </w:tcPr>
          <w:p w14:paraId="0F171641">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optimizer_rank</w:t>
            </w:r>
          </w:p>
        </w:tc>
        <w:tc>
          <w:tcPr>
            <w:tcW w:w="484" w:type="pct"/>
            <w:tcBorders>
              <w:top w:val="single" w:color="000000" w:sz="12" w:space="0"/>
              <w:left w:val="nil"/>
              <w:bottom w:val="single" w:color="000000" w:sz="4" w:space="0"/>
              <w:right w:val="nil"/>
            </w:tcBorders>
            <w:shd w:val="clear" w:color="auto" w:fill="auto"/>
            <w:vAlign w:val="center"/>
          </w:tcPr>
          <w:p w14:paraId="4F163718">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已查询最高产率</w:t>
            </w:r>
          </w:p>
        </w:tc>
        <w:tc>
          <w:tcPr>
            <w:tcW w:w="444" w:type="pct"/>
            <w:gridSpan w:val="2"/>
            <w:tcBorders>
              <w:top w:val="single" w:color="000000" w:sz="12" w:space="0"/>
              <w:left w:val="nil"/>
              <w:bottom w:val="single" w:color="000000" w:sz="4" w:space="0"/>
              <w:right w:val="nil"/>
            </w:tcBorders>
            <w:shd w:val="clear" w:color="auto" w:fill="auto"/>
            <w:vAlign w:val="center"/>
          </w:tcPr>
          <w:p w14:paraId="1029862D">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预算</w:t>
            </w:r>
          </w:p>
        </w:tc>
        <w:tc>
          <w:tcPr>
            <w:tcW w:w="372" w:type="pct"/>
            <w:tcBorders>
              <w:top w:val="single" w:color="000000" w:sz="12" w:space="0"/>
              <w:left w:val="nil"/>
              <w:bottom w:val="single" w:color="000000" w:sz="4" w:space="0"/>
              <w:right w:val="nil"/>
            </w:tcBorders>
            <w:shd w:val="clear" w:color="auto" w:fill="auto"/>
            <w:vAlign w:val="center"/>
          </w:tcPr>
          <w:p w14:paraId="585B919F">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采购难度</w:t>
            </w:r>
          </w:p>
        </w:tc>
        <w:tc>
          <w:tcPr>
            <w:tcW w:w="371" w:type="pct"/>
            <w:tcBorders>
              <w:top w:val="single" w:color="000000" w:sz="12" w:space="0"/>
              <w:left w:val="nil"/>
              <w:bottom w:val="single" w:color="000000" w:sz="4" w:space="0"/>
              <w:right w:val="nil"/>
            </w:tcBorders>
            <w:shd w:val="clear" w:color="auto" w:fill="auto"/>
            <w:vAlign w:val="center"/>
          </w:tcPr>
          <w:p w14:paraId="2D059A96">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初步危险性</w:t>
            </w:r>
          </w:p>
        </w:tc>
        <w:tc>
          <w:tcPr>
            <w:tcW w:w="477" w:type="pct"/>
            <w:tcBorders>
              <w:top w:val="single" w:color="000000" w:sz="12" w:space="0"/>
              <w:left w:val="nil"/>
              <w:bottom w:val="single" w:color="000000" w:sz="4" w:space="0"/>
              <w:right w:val="nil"/>
            </w:tcBorders>
            <w:shd w:val="clear" w:color="auto" w:fill="auto"/>
            <w:vAlign w:val="center"/>
          </w:tcPr>
          <w:p w14:paraId="4E6F5818">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操作复杂度</w:t>
            </w:r>
          </w:p>
        </w:tc>
        <w:tc>
          <w:tcPr>
            <w:tcW w:w="417" w:type="pct"/>
            <w:tcBorders>
              <w:top w:val="single" w:color="000000" w:sz="12" w:space="0"/>
              <w:left w:val="nil"/>
              <w:bottom w:val="single" w:color="000000" w:sz="4" w:space="0"/>
              <w:right w:val="nil"/>
            </w:tcBorders>
            <w:shd w:val="clear" w:color="auto" w:fill="auto"/>
            <w:vAlign w:val="center"/>
          </w:tcPr>
          <w:p w14:paraId="43C05A34">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放大风险</w:t>
            </w:r>
          </w:p>
        </w:tc>
        <w:tc>
          <w:tcPr>
            <w:tcW w:w="537" w:type="pct"/>
            <w:tcBorders>
              <w:top w:val="single" w:color="000000" w:sz="12" w:space="0"/>
              <w:left w:val="nil"/>
              <w:bottom w:val="single" w:color="000000" w:sz="4" w:space="0"/>
              <w:right w:val="nil"/>
            </w:tcBorders>
            <w:shd w:val="clear" w:color="auto" w:fill="auto"/>
            <w:vAlign w:val="center"/>
          </w:tcPr>
          <w:p w14:paraId="234EC234">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废物处置负担</w:t>
            </w:r>
          </w:p>
        </w:tc>
        <w:tc>
          <w:tcPr>
            <w:tcW w:w="652" w:type="pct"/>
            <w:tcBorders>
              <w:top w:val="single" w:color="000000" w:sz="12" w:space="0"/>
              <w:left w:val="nil"/>
              <w:bottom w:val="single" w:color="000000" w:sz="4" w:space="0"/>
              <w:right w:val="nil"/>
            </w:tcBorders>
            <w:shd w:val="clear" w:color="auto" w:fill="auto"/>
            <w:vAlign w:val="center"/>
          </w:tcPr>
          <w:p w14:paraId="1ADCE15E">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现实可行性总分（6–18）</w:t>
            </w:r>
          </w:p>
        </w:tc>
        <w:tc>
          <w:tcPr>
            <w:tcW w:w="574" w:type="pct"/>
            <w:tcBorders>
              <w:top w:val="single" w:color="000000" w:sz="12" w:space="0"/>
              <w:left w:val="nil"/>
              <w:bottom w:val="single" w:color="000000" w:sz="4" w:space="0"/>
              <w:right w:val="nil"/>
            </w:tcBorders>
            <w:shd w:val="clear" w:color="auto" w:fill="auto"/>
            <w:vAlign w:val="center"/>
          </w:tcPr>
          <w:p w14:paraId="2EBBF872">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安全门槛</w:t>
            </w:r>
          </w:p>
        </w:tc>
      </w:tr>
      <w:tr w14:paraId="51F748AA">
        <w:tblPrEx>
          <w:tblCellMar>
            <w:top w:w="28" w:type="dxa"/>
            <w:left w:w="28" w:type="dxa"/>
            <w:bottom w:w="28" w:type="dxa"/>
            <w:right w:w="28" w:type="dxa"/>
          </w:tblCellMar>
        </w:tblPrEx>
        <w:trPr>
          <w:trHeight w:val="1078" w:hRule="atLeast"/>
        </w:trPr>
        <w:tc>
          <w:tcPr>
            <w:tcW w:w="667" w:type="pct"/>
            <w:gridSpan w:val="2"/>
            <w:tcBorders>
              <w:top w:val="single" w:color="000000" w:sz="4" w:space="0"/>
              <w:left w:val="nil"/>
              <w:bottom w:val="nil"/>
              <w:right w:val="nil"/>
            </w:tcBorders>
            <w:shd w:val="clear" w:color="auto" w:fill="FFFFFF"/>
            <w:vAlign w:val="center"/>
          </w:tcPr>
          <w:p w14:paraId="3230025A">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1</w:t>
            </w:r>
          </w:p>
        </w:tc>
        <w:tc>
          <w:tcPr>
            <w:tcW w:w="484" w:type="pct"/>
            <w:tcBorders>
              <w:top w:val="single" w:color="000000" w:sz="4" w:space="0"/>
              <w:left w:val="nil"/>
              <w:bottom w:val="nil"/>
              <w:right w:val="nil"/>
            </w:tcBorders>
            <w:shd w:val="clear" w:color="auto" w:fill="FFFFFF"/>
            <w:vAlign w:val="center"/>
          </w:tcPr>
          <w:p w14:paraId="56898DF7">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99.90</w:t>
            </w:r>
          </w:p>
        </w:tc>
        <w:tc>
          <w:tcPr>
            <w:tcW w:w="444" w:type="pct"/>
            <w:gridSpan w:val="2"/>
            <w:tcBorders>
              <w:top w:val="single" w:color="000000" w:sz="4" w:space="0"/>
              <w:left w:val="nil"/>
              <w:bottom w:val="nil"/>
              <w:right w:val="nil"/>
            </w:tcBorders>
            <w:shd w:val="clear" w:color="auto" w:fill="FFFFFF"/>
            <w:vAlign w:val="center"/>
          </w:tcPr>
          <w:p w14:paraId="60A6DE7E">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72" w:type="pct"/>
            <w:tcBorders>
              <w:top w:val="single" w:color="000000" w:sz="4" w:space="0"/>
              <w:left w:val="nil"/>
              <w:bottom w:val="nil"/>
              <w:right w:val="nil"/>
            </w:tcBorders>
            <w:shd w:val="clear" w:color="auto" w:fill="FFFFFF"/>
            <w:vAlign w:val="center"/>
          </w:tcPr>
          <w:p w14:paraId="190C8F85">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71" w:type="pct"/>
            <w:tcBorders>
              <w:top w:val="single" w:color="000000" w:sz="4" w:space="0"/>
              <w:left w:val="nil"/>
              <w:bottom w:val="nil"/>
              <w:right w:val="nil"/>
            </w:tcBorders>
            <w:shd w:val="clear" w:color="auto" w:fill="FFFFFF"/>
            <w:vAlign w:val="center"/>
          </w:tcPr>
          <w:p w14:paraId="7E85D51E">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high</w:t>
            </w:r>
          </w:p>
        </w:tc>
        <w:tc>
          <w:tcPr>
            <w:tcW w:w="477" w:type="pct"/>
            <w:tcBorders>
              <w:top w:val="single" w:color="000000" w:sz="4" w:space="0"/>
              <w:left w:val="nil"/>
              <w:bottom w:val="nil"/>
              <w:right w:val="nil"/>
            </w:tcBorders>
            <w:shd w:val="clear" w:color="auto" w:fill="FFFFFF"/>
            <w:vAlign w:val="center"/>
          </w:tcPr>
          <w:p w14:paraId="43605A5D">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high</w:t>
            </w:r>
          </w:p>
        </w:tc>
        <w:tc>
          <w:tcPr>
            <w:tcW w:w="417" w:type="pct"/>
            <w:tcBorders>
              <w:top w:val="single" w:color="000000" w:sz="4" w:space="0"/>
              <w:left w:val="nil"/>
              <w:bottom w:val="nil"/>
              <w:right w:val="nil"/>
            </w:tcBorders>
            <w:shd w:val="clear" w:color="auto" w:fill="FFFFFF"/>
            <w:vAlign w:val="center"/>
          </w:tcPr>
          <w:p w14:paraId="174688B8">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537" w:type="pct"/>
            <w:tcBorders>
              <w:top w:val="single" w:color="000000" w:sz="4" w:space="0"/>
              <w:left w:val="nil"/>
              <w:bottom w:val="nil"/>
              <w:right w:val="nil"/>
            </w:tcBorders>
            <w:shd w:val="clear" w:color="auto" w:fill="FFFFFF"/>
            <w:vAlign w:val="center"/>
          </w:tcPr>
          <w:p w14:paraId="08F88E0F">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652" w:type="pct"/>
            <w:tcBorders>
              <w:top w:val="single" w:color="000000" w:sz="4" w:space="0"/>
              <w:left w:val="nil"/>
              <w:bottom w:val="nil"/>
              <w:right w:val="nil"/>
            </w:tcBorders>
            <w:shd w:val="clear" w:color="auto" w:fill="FFFFFF"/>
            <w:vAlign w:val="center"/>
          </w:tcPr>
          <w:p w14:paraId="0C0F6D34">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—（4/6）</w:t>
            </w:r>
          </w:p>
        </w:tc>
        <w:tc>
          <w:tcPr>
            <w:tcW w:w="574" w:type="pct"/>
            <w:tcBorders>
              <w:top w:val="single" w:color="000000" w:sz="4" w:space="0"/>
              <w:left w:val="nil"/>
              <w:bottom w:val="nil"/>
              <w:right w:val="nil"/>
            </w:tcBorders>
            <w:shd w:val="clear" w:color="auto" w:fill="FFFFFF"/>
            <w:vAlign w:val="center"/>
          </w:tcPr>
          <w:p w14:paraId="5E568F30">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blocked</w:t>
            </w:r>
          </w:p>
        </w:tc>
      </w:tr>
      <w:tr w14:paraId="18591AF5">
        <w:tblPrEx>
          <w:tblCellMar>
            <w:top w:w="28" w:type="dxa"/>
            <w:left w:w="28" w:type="dxa"/>
            <w:bottom w:w="28" w:type="dxa"/>
            <w:right w:w="28" w:type="dxa"/>
          </w:tblCellMar>
        </w:tblPrEx>
        <w:trPr>
          <w:trHeight w:val="1068" w:hRule="atLeast"/>
        </w:trPr>
        <w:tc>
          <w:tcPr>
            <w:tcW w:w="667" w:type="pct"/>
            <w:gridSpan w:val="2"/>
            <w:tcBorders>
              <w:top w:val="nil"/>
              <w:left w:val="nil"/>
              <w:bottom w:val="nil"/>
              <w:right w:val="nil"/>
            </w:tcBorders>
            <w:shd w:val="clear" w:color="auto" w:fill="FFFFFF"/>
            <w:vAlign w:val="center"/>
          </w:tcPr>
          <w:p w14:paraId="319B02B3">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2</w:t>
            </w:r>
          </w:p>
        </w:tc>
        <w:tc>
          <w:tcPr>
            <w:tcW w:w="484" w:type="pct"/>
            <w:tcBorders>
              <w:top w:val="nil"/>
              <w:left w:val="nil"/>
              <w:bottom w:val="nil"/>
              <w:right w:val="nil"/>
            </w:tcBorders>
            <w:shd w:val="clear" w:color="auto" w:fill="FFFFFF"/>
            <w:vAlign w:val="center"/>
          </w:tcPr>
          <w:p w14:paraId="77A5FF37">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99.15</w:t>
            </w:r>
          </w:p>
        </w:tc>
        <w:tc>
          <w:tcPr>
            <w:tcW w:w="444" w:type="pct"/>
            <w:gridSpan w:val="2"/>
            <w:tcBorders>
              <w:top w:val="nil"/>
              <w:left w:val="nil"/>
              <w:bottom w:val="nil"/>
              <w:right w:val="nil"/>
            </w:tcBorders>
            <w:shd w:val="clear" w:color="auto" w:fill="FFFFFF"/>
            <w:vAlign w:val="center"/>
          </w:tcPr>
          <w:p w14:paraId="25AD104A">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72" w:type="pct"/>
            <w:tcBorders>
              <w:top w:val="nil"/>
              <w:left w:val="nil"/>
              <w:bottom w:val="nil"/>
              <w:right w:val="nil"/>
            </w:tcBorders>
            <w:shd w:val="clear" w:color="auto" w:fill="FFFFFF"/>
            <w:vAlign w:val="center"/>
          </w:tcPr>
          <w:p w14:paraId="0354D4E2">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71" w:type="pct"/>
            <w:tcBorders>
              <w:top w:val="nil"/>
              <w:left w:val="nil"/>
              <w:bottom w:val="nil"/>
              <w:right w:val="nil"/>
            </w:tcBorders>
            <w:shd w:val="clear" w:color="auto" w:fill="FFFFFF"/>
            <w:vAlign w:val="center"/>
          </w:tcPr>
          <w:p w14:paraId="0BD34EC3">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high</w:t>
            </w:r>
          </w:p>
        </w:tc>
        <w:tc>
          <w:tcPr>
            <w:tcW w:w="477" w:type="pct"/>
            <w:tcBorders>
              <w:top w:val="nil"/>
              <w:left w:val="nil"/>
              <w:bottom w:val="nil"/>
              <w:right w:val="nil"/>
            </w:tcBorders>
            <w:shd w:val="clear" w:color="auto" w:fill="FFFFFF"/>
            <w:vAlign w:val="center"/>
          </w:tcPr>
          <w:p w14:paraId="4B35615B">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high</w:t>
            </w:r>
          </w:p>
        </w:tc>
        <w:tc>
          <w:tcPr>
            <w:tcW w:w="417" w:type="pct"/>
            <w:tcBorders>
              <w:top w:val="nil"/>
              <w:left w:val="nil"/>
              <w:bottom w:val="nil"/>
              <w:right w:val="nil"/>
            </w:tcBorders>
            <w:shd w:val="clear" w:color="auto" w:fill="FFFFFF"/>
            <w:vAlign w:val="center"/>
          </w:tcPr>
          <w:p w14:paraId="183CB3A0">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537" w:type="pct"/>
            <w:tcBorders>
              <w:top w:val="nil"/>
              <w:left w:val="nil"/>
              <w:bottom w:val="nil"/>
              <w:right w:val="nil"/>
            </w:tcBorders>
            <w:shd w:val="clear" w:color="auto" w:fill="FFFFFF"/>
            <w:vAlign w:val="center"/>
          </w:tcPr>
          <w:p w14:paraId="05D4083E">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652" w:type="pct"/>
            <w:tcBorders>
              <w:top w:val="nil"/>
              <w:left w:val="nil"/>
              <w:bottom w:val="nil"/>
              <w:right w:val="nil"/>
            </w:tcBorders>
            <w:shd w:val="clear" w:color="auto" w:fill="FFFFFF"/>
            <w:vAlign w:val="center"/>
          </w:tcPr>
          <w:p w14:paraId="1815F455">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—（4/6）</w:t>
            </w:r>
          </w:p>
        </w:tc>
        <w:tc>
          <w:tcPr>
            <w:tcW w:w="574" w:type="pct"/>
            <w:tcBorders>
              <w:top w:val="nil"/>
              <w:left w:val="nil"/>
              <w:bottom w:val="nil"/>
              <w:right w:val="nil"/>
            </w:tcBorders>
            <w:shd w:val="clear" w:color="auto" w:fill="FFFFFF"/>
            <w:vAlign w:val="center"/>
          </w:tcPr>
          <w:p w14:paraId="6FC003E8">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blocked</w:t>
            </w:r>
          </w:p>
        </w:tc>
      </w:tr>
      <w:tr w14:paraId="7270C1E6">
        <w:tblPrEx>
          <w:tblCellMar>
            <w:top w:w="28" w:type="dxa"/>
            <w:left w:w="28" w:type="dxa"/>
            <w:bottom w:w="28" w:type="dxa"/>
            <w:right w:w="28" w:type="dxa"/>
          </w:tblCellMar>
        </w:tblPrEx>
        <w:trPr>
          <w:trHeight w:val="1068" w:hRule="atLeast"/>
        </w:trPr>
        <w:tc>
          <w:tcPr>
            <w:tcW w:w="667" w:type="pct"/>
            <w:gridSpan w:val="2"/>
            <w:tcBorders>
              <w:top w:val="nil"/>
              <w:left w:val="nil"/>
              <w:bottom w:val="nil"/>
              <w:right w:val="nil"/>
            </w:tcBorders>
            <w:shd w:val="clear" w:color="auto" w:fill="FFFFFF"/>
            <w:vAlign w:val="center"/>
          </w:tcPr>
          <w:p w14:paraId="5C4CBB8E">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3</w:t>
            </w:r>
          </w:p>
        </w:tc>
        <w:tc>
          <w:tcPr>
            <w:tcW w:w="484" w:type="pct"/>
            <w:tcBorders>
              <w:top w:val="nil"/>
              <w:left w:val="nil"/>
              <w:bottom w:val="nil"/>
              <w:right w:val="nil"/>
            </w:tcBorders>
            <w:shd w:val="clear" w:color="auto" w:fill="FFFFFF"/>
            <w:vAlign w:val="center"/>
          </w:tcPr>
          <w:p w14:paraId="713EDEEC">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99.05</w:t>
            </w:r>
          </w:p>
        </w:tc>
        <w:tc>
          <w:tcPr>
            <w:tcW w:w="444" w:type="pct"/>
            <w:gridSpan w:val="2"/>
            <w:tcBorders>
              <w:top w:val="nil"/>
              <w:left w:val="nil"/>
              <w:bottom w:val="nil"/>
              <w:right w:val="nil"/>
            </w:tcBorders>
            <w:shd w:val="clear" w:color="auto" w:fill="FFFFFF"/>
            <w:vAlign w:val="center"/>
          </w:tcPr>
          <w:p w14:paraId="1558B53B">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72" w:type="pct"/>
            <w:tcBorders>
              <w:top w:val="nil"/>
              <w:left w:val="nil"/>
              <w:bottom w:val="nil"/>
              <w:right w:val="nil"/>
            </w:tcBorders>
            <w:shd w:val="clear" w:color="auto" w:fill="FFFFFF"/>
            <w:vAlign w:val="center"/>
          </w:tcPr>
          <w:p w14:paraId="5E73CB3F">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71" w:type="pct"/>
            <w:tcBorders>
              <w:top w:val="nil"/>
              <w:left w:val="nil"/>
              <w:bottom w:val="nil"/>
              <w:right w:val="nil"/>
            </w:tcBorders>
            <w:shd w:val="clear" w:color="auto" w:fill="FFFFFF"/>
            <w:vAlign w:val="center"/>
          </w:tcPr>
          <w:p w14:paraId="579E63F8">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477" w:type="pct"/>
            <w:tcBorders>
              <w:top w:val="nil"/>
              <w:left w:val="nil"/>
              <w:bottom w:val="nil"/>
              <w:right w:val="nil"/>
            </w:tcBorders>
            <w:shd w:val="clear" w:color="auto" w:fill="FFFFFF"/>
            <w:vAlign w:val="center"/>
          </w:tcPr>
          <w:p w14:paraId="20BFACA0">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417" w:type="pct"/>
            <w:tcBorders>
              <w:top w:val="nil"/>
              <w:left w:val="nil"/>
              <w:bottom w:val="nil"/>
              <w:right w:val="nil"/>
            </w:tcBorders>
            <w:shd w:val="clear" w:color="auto" w:fill="FFFFFF"/>
            <w:vAlign w:val="center"/>
          </w:tcPr>
          <w:p w14:paraId="2A074FC4">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537" w:type="pct"/>
            <w:tcBorders>
              <w:top w:val="nil"/>
              <w:left w:val="nil"/>
              <w:bottom w:val="nil"/>
              <w:right w:val="nil"/>
            </w:tcBorders>
            <w:shd w:val="clear" w:color="auto" w:fill="FFFFFF"/>
            <w:vAlign w:val="center"/>
          </w:tcPr>
          <w:p w14:paraId="312FD916">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652" w:type="pct"/>
            <w:tcBorders>
              <w:top w:val="nil"/>
              <w:left w:val="nil"/>
              <w:bottom w:val="nil"/>
              <w:right w:val="nil"/>
            </w:tcBorders>
            <w:shd w:val="clear" w:color="auto" w:fill="FFFFFF"/>
            <w:vAlign w:val="center"/>
          </w:tcPr>
          <w:p w14:paraId="349ED6A3">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—（4/6）</w:t>
            </w:r>
          </w:p>
        </w:tc>
        <w:tc>
          <w:tcPr>
            <w:tcW w:w="574" w:type="pct"/>
            <w:tcBorders>
              <w:top w:val="nil"/>
              <w:left w:val="nil"/>
              <w:bottom w:val="nil"/>
              <w:right w:val="nil"/>
            </w:tcBorders>
            <w:shd w:val="clear" w:color="auto" w:fill="FFFFFF"/>
            <w:vAlign w:val="center"/>
          </w:tcPr>
          <w:p w14:paraId="5AA30795">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conditional</w:t>
            </w:r>
          </w:p>
        </w:tc>
      </w:tr>
      <w:tr w14:paraId="27ECD697">
        <w:tblPrEx>
          <w:tblCellMar>
            <w:top w:w="28" w:type="dxa"/>
            <w:left w:w="28" w:type="dxa"/>
            <w:bottom w:w="28" w:type="dxa"/>
            <w:right w:w="28" w:type="dxa"/>
          </w:tblCellMar>
        </w:tblPrEx>
        <w:trPr>
          <w:trHeight w:val="1068" w:hRule="atLeast"/>
        </w:trPr>
        <w:tc>
          <w:tcPr>
            <w:tcW w:w="667" w:type="pct"/>
            <w:gridSpan w:val="2"/>
            <w:tcBorders>
              <w:top w:val="nil"/>
              <w:left w:val="nil"/>
              <w:bottom w:val="nil"/>
              <w:right w:val="nil"/>
            </w:tcBorders>
            <w:shd w:val="clear" w:color="auto" w:fill="FFFFFF"/>
            <w:vAlign w:val="center"/>
          </w:tcPr>
          <w:p w14:paraId="72014ACE">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4</w:t>
            </w:r>
          </w:p>
        </w:tc>
        <w:tc>
          <w:tcPr>
            <w:tcW w:w="484" w:type="pct"/>
            <w:tcBorders>
              <w:top w:val="nil"/>
              <w:left w:val="nil"/>
              <w:bottom w:val="nil"/>
              <w:right w:val="nil"/>
            </w:tcBorders>
            <w:shd w:val="clear" w:color="auto" w:fill="FFFFFF"/>
            <w:vAlign w:val="center"/>
          </w:tcPr>
          <w:p w14:paraId="15A27B5E">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98.69</w:t>
            </w:r>
          </w:p>
        </w:tc>
        <w:tc>
          <w:tcPr>
            <w:tcW w:w="444" w:type="pct"/>
            <w:gridSpan w:val="2"/>
            <w:tcBorders>
              <w:top w:val="nil"/>
              <w:left w:val="nil"/>
              <w:bottom w:val="nil"/>
              <w:right w:val="nil"/>
            </w:tcBorders>
            <w:shd w:val="clear" w:color="auto" w:fill="FFFFFF"/>
            <w:vAlign w:val="center"/>
          </w:tcPr>
          <w:p w14:paraId="131B83EB">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72" w:type="pct"/>
            <w:tcBorders>
              <w:top w:val="nil"/>
              <w:left w:val="nil"/>
              <w:bottom w:val="nil"/>
              <w:right w:val="nil"/>
            </w:tcBorders>
            <w:shd w:val="clear" w:color="auto" w:fill="FFFFFF"/>
            <w:vAlign w:val="center"/>
          </w:tcPr>
          <w:p w14:paraId="3D961948">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high</w:t>
            </w:r>
          </w:p>
        </w:tc>
        <w:tc>
          <w:tcPr>
            <w:tcW w:w="371" w:type="pct"/>
            <w:tcBorders>
              <w:top w:val="nil"/>
              <w:left w:val="nil"/>
              <w:bottom w:val="nil"/>
              <w:right w:val="nil"/>
            </w:tcBorders>
            <w:shd w:val="clear" w:color="auto" w:fill="FFFFFF"/>
            <w:vAlign w:val="center"/>
          </w:tcPr>
          <w:p w14:paraId="4E1309EA">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high</w:t>
            </w:r>
          </w:p>
        </w:tc>
        <w:tc>
          <w:tcPr>
            <w:tcW w:w="477" w:type="pct"/>
            <w:tcBorders>
              <w:top w:val="nil"/>
              <w:left w:val="nil"/>
              <w:bottom w:val="nil"/>
              <w:right w:val="nil"/>
            </w:tcBorders>
            <w:shd w:val="clear" w:color="auto" w:fill="FFFFFF"/>
            <w:vAlign w:val="center"/>
          </w:tcPr>
          <w:p w14:paraId="54EBE016">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high</w:t>
            </w:r>
          </w:p>
        </w:tc>
        <w:tc>
          <w:tcPr>
            <w:tcW w:w="417" w:type="pct"/>
            <w:tcBorders>
              <w:top w:val="nil"/>
              <w:left w:val="nil"/>
              <w:bottom w:val="nil"/>
              <w:right w:val="nil"/>
            </w:tcBorders>
            <w:shd w:val="clear" w:color="auto" w:fill="FFFFFF"/>
            <w:vAlign w:val="center"/>
          </w:tcPr>
          <w:p w14:paraId="32694E19">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537" w:type="pct"/>
            <w:tcBorders>
              <w:top w:val="nil"/>
              <w:left w:val="nil"/>
              <w:bottom w:val="nil"/>
              <w:right w:val="nil"/>
            </w:tcBorders>
            <w:shd w:val="clear" w:color="auto" w:fill="FFFFFF"/>
            <w:vAlign w:val="center"/>
          </w:tcPr>
          <w:p w14:paraId="49E20560">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652" w:type="pct"/>
            <w:tcBorders>
              <w:top w:val="nil"/>
              <w:left w:val="nil"/>
              <w:bottom w:val="nil"/>
              <w:right w:val="nil"/>
            </w:tcBorders>
            <w:shd w:val="clear" w:color="auto" w:fill="FFFFFF"/>
            <w:vAlign w:val="center"/>
          </w:tcPr>
          <w:p w14:paraId="08F38107">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—（4/6）</w:t>
            </w:r>
          </w:p>
        </w:tc>
        <w:tc>
          <w:tcPr>
            <w:tcW w:w="574" w:type="pct"/>
            <w:tcBorders>
              <w:top w:val="nil"/>
              <w:left w:val="nil"/>
              <w:bottom w:val="nil"/>
              <w:right w:val="nil"/>
            </w:tcBorders>
            <w:shd w:val="clear" w:color="auto" w:fill="FFFFFF"/>
            <w:vAlign w:val="center"/>
          </w:tcPr>
          <w:p w14:paraId="7F74076B">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blocked</w:t>
            </w:r>
          </w:p>
        </w:tc>
      </w:tr>
      <w:tr w14:paraId="22A077F7">
        <w:tblPrEx>
          <w:tblCellMar>
            <w:top w:w="28" w:type="dxa"/>
            <w:left w:w="28" w:type="dxa"/>
            <w:bottom w:w="28" w:type="dxa"/>
            <w:right w:w="28" w:type="dxa"/>
          </w:tblCellMar>
        </w:tblPrEx>
        <w:trPr>
          <w:trHeight w:val="1068" w:hRule="atLeast"/>
        </w:trPr>
        <w:tc>
          <w:tcPr>
            <w:tcW w:w="667" w:type="pct"/>
            <w:gridSpan w:val="2"/>
            <w:tcBorders>
              <w:top w:val="nil"/>
              <w:left w:val="nil"/>
              <w:bottom w:val="nil"/>
              <w:right w:val="nil"/>
            </w:tcBorders>
            <w:shd w:val="clear" w:color="auto" w:fill="FFFFFF"/>
            <w:vAlign w:val="center"/>
          </w:tcPr>
          <w:p w14:paraId="4BD384C4">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5</w:t>
            </w:r>
          </w:p>
        </w:tc>
        <w:tc>
          <w:tcPr>
            <w:tcW w:w="484" w:type="pct"/>
            <w:tcBorders>
              <w:top w:val="nil"/>
              <w:left w:val="nil"/>
              <w:bottom w:val="nil"/>
              <w:right w:val="nil"/>
            </w:tcBorders>
            <w:shd w:val="clear" w:color="auto" w:fill="FFFFFF"/>
            <w:vAlign w:val="center"/>
          </w:tcPr>
          <w:p w14:paraId="72AAA4C9">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97.98</w:t>
            </w:r>
          </w:p>
        </w:tc>
        <w:tc>
          <w:tcPr>
            <w:tcW w:w="444" w:type="pct"/>
            <w:gridSpan w:val="2"/>
            <w:tcBorders>
              <w:top w:val="nil"/>
              <w:left w:val="nil"/>
              <w:bottom w:val="nil"/>
              <w:right w:val="nil"/>
            </w:tcBorders>
            <w:shd w:val="clear" w:color="auto" w:fill="FFFFFF"/>
            <w:vAlign w:val="center"/>
          </w:tcPr>
          <w:p w14:paraId="05845D85">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72" w:type="pct"/>
            <w:tcBorders>
              <w:top w:val="nil"/>
              <w:left w:val="nil"/>
              <w:bottom w:val="nil"/>
              <w:right w:val="nil"/>
            </w:tcBorders>
            <w:shd w:val="clear" w:color="auto" w:fill="FFFFFF"/>
            <w:vAlign w:val="center"/>
          </w:tcPr>
          <w:p w14:paraId="3239E275">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71" w:type="pct"/>
            <w:tcBorders>
              <w:top w:val="nil"/>
              <w:left w:val="nil"/>
              <w:bottom w:val="nil"/>
              <w:right w:val="nil"/>
            </w:tcBorders>
            <w:shd w:val="clear" w:color="auto" w:fill="FFFFFF"/>
            <w:vAlign w:val="center"/>
          </w:tcPr>
          <w:p w14:paraId="449F04AC">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high</w:t>
            </w:r>
          </w:p>
        </w:tc>
        <w:tc>
          <w:tcPr>
            <w:tcW w:w="477" w:type="pct"/>
            <w:tcBorders>
              <w:top w:val="nil"/>
              <w:left w:val="nil"/>
              <w:bottom w:val="nil"/>
              <w:right w:val="nil"/>
            </w:tcBorders>
            <w:shd w:val="clear" w:color="auto" w:fill="FFFFFF"/>
            <w:vAlign w:val="center"/>
          </w:tcPr>
          <w:p w14:paraId="74748C17">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high</w:t>
            </w:r>
          </w:p>
        </w:tc>
        <w:tc>
          <w:tcPr>
            <w:tcW w:w="417" w:type="pct"/>
            <w:tcBorders>
              <w:top w:val="nil"/>
              <w:left w:val="nil"/>
              <w:bottom w:val="nil"/>
              <w:right w:val="nil"/>
            </w:tcBorders>
            <w:shd w:val="clear" w:color="auto" w:fill="FFFFFF"/>
            <w:vAlign w:val="center"/>
          </w:tcPr>
          <w:p w14:paraId="6084E5AF">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537" w:type="pct"/>
            <w:tcBorders>
              <w:top w:val="nil"/>
              <w:left w:val="nil"/>
              <w:bottom w:val="nil"/>
              <w:right w:val="nil"/>
            </w:tcBorders>
            <w:shd w:val="clear" w:color="auto" w:fill="FFFFFF"/>
            <w:vAlign w:val="center"/>
          </w:tcPr>
          <w:p w14:paraId="7C4EC673">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652" w:type="pct"/>
            <w:tcBorders>
              <w:top w:val="nil"/>
              <w:left w:val="nil"/>
              <w:bottom w:val="nil"/>
              <w:right w:val="nil"/>
            </w:tcBorders>
            <w:shd w:val="clear" w:color="auto" w:fill="FFFFFF"/>
            <w:vAlign w:val="center"/>
          </w:tcPr>
          <w:p w14:paraId="2CC0BAA3">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—（4/6）</w:t>
            </w:r>
          </w:p>
        </w:tc>
        <w:tc>
          <w:tcPr>
            <w:tcW w:w="574" w:type="pct"/>
            <w:tcBorders>
              <w:top w:val="nil"/>
              <w:left w:val="nil"/>
              <w:bottom w:val="nil"/>
              <w:right w:val="nil"/>
            </w:tcBorders>
            <w:shd w:val="clear" w:color="auto" w:fill="FFFFFF"/>
            <w:vAlign w:val="center"/>
          </w:tcPr>
          <w:p w14:paraId="67465A7E">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blocked</w:t>
            </w:r>
          </w:p>
        </w:tc>
      </w:tr>
      <w:tr w14:paraId="50DC415A">
        <w:tblPrEx>
          <w:tblCellMar>
            <w:top w:w="28" w:type="dxa"/>
            <w:left w:w="28" w:type="dxa"/>
            <w:bottom w:w="28" w:type="dxa"/>
            <w:right w:w="28" w:type="dxa"/>
          </w:tblCellMar>
        </w:tblPrEx>
        <w:trPr>
          <w:trHeight w:val="681" w:hRule="atLeast"/>
          <w:tblHeader/>
        </w:trPr>
        <w:tc>
          <w:tcPr>
            <w:tcW w:w="388" w:type="pct"/>
            <w:tcBorders>
              <w:top w:val="nil"/>
              <w:left w:val="nil"/>
              <w:bottom w:val="nil"/>
              <w:right w:val="nil"/>
            </w:tcBorders>
            <w:shd w:val="clear" w:color="auto" w:fill="FFFFFF"/>
            <w:vAlign w:val="center"/>
          </w:tcPr>
          <w:p w14:paraId="2B6E9D88">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排名</w:t>
            </w:r>
          </w:p>
        </w:tc>
        <w:tc>
          <w:tcPr>
            <w:tcW w:w="985" w:type="pct"/>
            <w:gridSpan w:val="3"/>
            <w:tcBorders>
              <w:top w:val="nil"/>
              <w:left w:val="nil"/>
              <w:bottom w:val="nil"/>
              <w:right w:val="nil"/>
            </w:tcBorders>
            <w:shd w:val="clear" w:color="auto" w:fill="FFFFFF"/>
            <w:vAlign w:val="center"/>
          </w:tcPr>
          <w:p w14:paraId="2A741D85">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关键条件差异</w:t>
            </w:r>
          </w:p>
        </w:tc>
        <w:tc>
          <w:tcPr>
            <w:tcW w:w="2399" w:type="pct"/>
            <w:gridSpan w:val="6"/>
            <w:tcBorders>
              <w:top w:val="nil"/>
              <w:left w:val="nil"/>
              <w:bottom w:val="nil"/>
              <w:right w:val="nil"/>
            </w:tcBorders>
            <w:shd w:val="clear" w:color="auto" w:fill="FFFFFF"/>
            <w:vAlign w:val="center"/>
          </w:tcPr>
          <w:p w14:paraId="4883A14A">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主要现实因素与核查事项</w:t>
            </w:r>
          </w:p>
        </w:tc>
        <w:tc>
          <w:tcPr>
            <w:tcW w:w="1226" w:type="pct"/>
            <w:gridSpan w:val="2"/>
            <w:tcBorders>
              <w:top w:val="nil"/>
              <w:left w:val="nil"/>
              <w:bottom w:val="nil"/>
              <w:right w:val="nil"/>
            </w:tcBorders>
            <w:shd w:val="clear" w:color="auto" w:fill="FFFFFF"/>
            <w:vAlign w:val="center"/>
          </w:tcPr>
          <w:p w14:paraId="229ECA25">
            <w:pPr>
              <w:suppressAutoHyphens w:val="0"/>
              <w:spacing w:line="276" w:lineRule="auto"/>
              <w:jc w:val="center"/>
              <w:rPr>
                <w:rFonts w:ascii="Times New Roman" w:hAnsi="Times New Roman" w:eastAsia="宋体"/>
                <w:b w:val="0"/>
                <w:color w:val="000000"/>
                <w:sz w:val="24"/>
                <w:szCs w:val="18"/>
                <w:lang w:eastAsia="zh-CN" w:bidi="ar-SA"/>
              </w:rPr>
            </w:pPr>
            <w:r>
              <w:rPr>
                <w:rFonts w:ascii="Times New Roman" w:hAnsi="Times New Roman" w:eastAsia="宋体"/>
                <w:b w:val="0"/>
                <w:color w:val="000000"/>
                <w:sz w:val="24"/>
                <w:szCs w:val="18"/>
                <w:lang w:eastAsia="zh-CN" w:bidi="ar-SA"/>
              </w:rPr>
              <w:t>推荐定位</w:t>
            </w:r>
          </w:p>
        </w:tc>
      </w:tr>
      <w:tr w14:paraId="6A4AC16C">
        <w:tblPrEx>
          <w:tblCellMar>
            <w:top w:w="28" w:type="dxa"/>
            <w:left w:w="28" w:type="dxa"/>
            <w:bottom w:w="28" w:type="dxa"/>
            <w:right w:w="28" w:type="dxa"/>
          </w:tblCellMar>
        </w:tblPrEx>
        <w:trPr>
          <w:trHeight w:val="1147" w:hRule="atLeast"/>
        </w:trPr>
        <w:tc>
          <w:tcPr>
            <w:tcW w:w="388" w:type="pct"/>
            <w:tcBorders>
              <w:top w:val="nil"/>
              <w:left w:val="nil"/>
              <w:bottom w:val="nil"/>
              <w:right w:val="nil"/>
            </w:tcBorders>
            <w:shd w:val="clear" w:color="auto" w:fill="FFFFFF"/>
            <w:vAlign w:val="center"/>
          </w:tcPr>
          <w:p w14:paraId="0696AE6C">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1</w:t>
            </w:r>
          </w:p>
        </w:tc>
        <w:tc>
          <w:tcPr>
            <w:tcW w:w="985" w:type="pct"/>
            <w:gridSpan w:val="3"/>
            <w:tcBorders>
              <w:top w:val="nil"/>
              <w:left w:val="nil"/>
              <w:bottom w:val="nil"/>
              <w:right w:val="nil"/>
            </w:tcBorders>
            <w:shd w:val="clear" w:color="auto" w:fill="FFFFFF"/>
            <w:vAlign w:val="center"/>
          </w:tcPr>
          <w:p w14:paraId="5DCF75AC">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叔丁醇锂 / 甲醇</w:t>
            </w:r>
          </w:p>
        </w:tc>
        <w:tc>
          <w:tcPr>
            <w:tcW w:w="2399" w:type="pct"/>
            <w:gridSpan w:val="6"/>
            <w:tcBorders>
              <w:top w:val="nil"/>
              <w:left w:val="nil"/>
              <w:bottom w:val="nil"/>
              <w:right w:val="nil"/>
            </w:tcBorders>
            <w:shd w:val="clear" w:color="auto" w:fill="FFFFFF"/>
            <w:vAlign w:val="center"/>
          </w:tcPr>
          <w:p w14:paraId="5A9C2CA1">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目录可核验主要物料；叔丁醇锂 SDS 为 Self-heating Category 1，触发阻断</w:t>
            </w:r>
          </w:p>
        </w:tc>
        <w:tc>
          <w:tcPr>
            <w:tcW w:w="1226" w:type="pct"/>
            <w:gridSpan w:val="2"/>
            <w:tcBorders>
              <w:top w:val="nil"/>
              <w:left w:val="nil"/>
              <w:bottom w:val="nil"/>
              <w:right w:val="nil"/>
            </w:tcBorders>
            <w:shd w:val="clear" w:color="auto" w:fill="FFFFFF"/>
            <w:vAlign w:val="center"/>
          </w:tcPr>
          <w:p w14:paraId="7908DD9C">
            <w:pPr>
              <w:pStyle w:val="23"/>
              <w:bidi w:val="0"/>
              <w:spacing w:before="0" w:after="283"/>
              <w:ind w:left="0" w:right="0" w:firstLine="0"/>
              <w:jc w:val="center"/>
              <w:rPr>
                <w:rFonts w:ascii="Times New Roman" w:hAnsi="Times New Roman" w:eastAsia="宋体"/>
                <w:b w:val="0"/>
                <w:color w:val="000000"/>
                <w:sz w:val="24"/>
              </w:rPr>
            </w:pPr>
            <w:r>
              <w:rPr>
                <w:rStyle w:val="19"/>
                <w:rFonts w:ascii="Times New Roman" w:hAnsi="Times New Roman" w:eastAsia="宋体"/>
                <w:b w:val="0"/>
                <w:color w:val="000000"/>
                <w:sz w:val="24"/>
              </w:rPr>
              <w:t>blocked</w:t>
            </w:r>
            <w:r>
              <w:rPr>
                <w:rFonts w:ascii="Times New Roman" w:hAnsi="Times New Roman" w:eastAsia="宋体"/>
                <w:b w:val="0"/>
                <w:color w:val="000000"/>
                <w:sz w:val="24"/>
              </w:rPr>
              <w:t>，不推荐直接执行</w:t>
            </w:r>
          </w:p>
        </w:tc>
      </w:tr>
      <w:tr w14:paraId="06CACA69">
        <w:tblPrEx>
          <w:tblCellMar>
            <w:top w:w="28" w:type="dxa"/>
            <w:left w:w="28" w:type="dxa"/>
            <w:bottom w:w="28" w:type="dxa"/>
            <w:right w:w="28" w:type="dxa"/>
          </w:tblCellMar>
        </w:tblPrEx>
        <w:trPr>
          <w:trHeight w:val="1147" w:hRule="atLeast"/>
        </w:trPr>
        <w:tc>
          <w:tcPr>
            <w:tcW w:w="388" w:type="pct"/>
            <w:tcBorders>
              <w:top w:val="nil"/>
              <w:left w:val="nil"/>
              <w:bottom w:val="nil"/>
              <w:right w:val="nil"/>
            </w:tcBorders>
            <w:shd w:val="clear" w:color="auto" w:fill="FFFFFF"/>
            <w:vAlign w:val="center"/>
          </w:tcPr>
          <w:p w14:paraId="6FC8BD99">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2</w:t>
            </w:r>
          </w:p>
        </w:tc>
        <w:tc>
          <w:tcPr>
            <w:tcW w:w="985" w:type="pct"/>
            <w:gridSpan w:val="3"/>
            <w:tcBorders>
              <w:top w:val="nil"/>
              <w:left w:val="nil"/>
              <w:bottom w:val="nil"/>
              <w:right w:val="nil"/>
            </w:tcBorders>
            <w:shd w:val="clear" w:color="auto" w:fill="FFFFFF"/>
            <w:vAlign w:val="center"/>
          </w:tcPr>
          <w:p w14:paraId="3EC4754D">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叔丁醇锂 / 乙腈</w:t>
            </w:r>
          </w:p>
        </w:tc>
        <w:tc>
          <w:tcPr>
            <w:tcW w:w="2399" w:type="pct"/>
            <w:gridSpan w:val="6"/>
            <w:tcBorders>
              <w:top w:val="nil"/>
              <w:left w:val="nil"/>
              <w:bottom w:val="nil"/>
              <w:right w:val="nil"/>
            </w:tcBorders>
            <w:shd w:val="clear" w:color="auto" w:fill="FFFFFF"/>
            <w:vAlign w:val="center"/>
          </w:tcPr>
          <w:p w14:paraId="088123A7">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采购证据与排名 1 相近；叔丁醇锂 SDS 仍触发阻断</w:t>
            </w:r>
          </w:p>
        </w:tc>
        <w:tc>
          <w:tcPr>
            <w:tcW w:w="1226" w:type="pct"/>
            <w:gridSpan w:val="2"/>
            <w:tcBorders>
              <w:top w:val="nil"/>
              <w:left w:val="nil"/>
              <w:bottom w:val="nil"/>
              <w:right w:val="nil"/>
            </w:tcBorders>
            <w:shd w:val="clear" w:color="auto" w:fill="FFFFFF"/>
            <w:vAlign w:val="center"/>
          </w:tcPr>
          <w:p w14:paraId="7D2D3321">
            <w:pPr>
              <w:pStyle w:val="23"/>
              <w:bidi w:val="0"/>
              <w:spacing w:before="0" w:after="283"/>
              <w:ind w:left="0" w:right="0" w:firstLine="0"/>
              <w:jc w:val="center"/>
              <w:rPr>
                <w:rFonts w:ascii="Times New Roman" w:hAnsi="Times New Roman" w:eastAsia="宋体"/>
                <w:b w:val="0"/>
                <w:color w:val="000000"/>
                <w:sz w:val="24"/>
              </w:rPr>
            </w:pPr>
            <w:r>
              <w:rPr>
                <w:rStyle w:val="19"/>
                <w:rFonts w:ascii="Times New Roman" w:hAnsi="Times New Roman" w:eastAsia="宋体"/>
                <w:b w:val="0"/>
                <w:color w:val="000000"/>
                <w:sz w:val="24"/>
              </w:rPr>
              <w:t>blocked</w:t>
            </w:r>
            <w:r>
              <w:rPr>
                <w:rFonts w:ascii="Times New Roman" w:hAnsi="Times New Roman" w:eastAsia="宋体"/>
                <w:b w:val="0"/>
                <w:color w:val="000000"/>
                <w:sz w:val="24"/>
              </w:rPr>
              <w:t>，不推荐直接执行</w:t>
            </w:r>
          </w:p>
        </w:tc>
      </w:tr>
      <w:tr w14:paraId="419301D0">
        <w:tblPrEx>
          <w:tblCellMar>
            <w:top w:w="28" w:type="dxa"/>
            <w:left w:w="28" w:type="dxa"/>
            <w:bottom w:w="28" w:type="dxa"/>
            <w:right w:w="28" w:type="dxa"/>
          </w:tblCellMar>
        </w:tblPrEx>
        <w:trPr>
          <w:trHeight w:val="1147" w:hRule="atLeast"/>
        </w:trPr>
        <w:tc>
          <w:tcPr>
            <w:tcW w:w="388" w:type="pct"/>
            <w:tcBorders>
              <w:top w:val="nil"/>
              <w:left w:val="nil"/>
              <w:bottom w:val="nil"/>
              <w:right w:val="nil"/>
            </w:tcBorders>
            <w:shd w:val="clear" w:color="auto" w:fill="FFFFFF"/>
            <w:vAlign w:val="center"/>
          </w:tcPr>
          <w:p w14:paraId="2A33E257">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3</w:t>
            </w:r>
          </w:p>
        </w:tc>
        <w:tc>
          <w:tcPr>
            <w:tcW w:w="985" w:type="pct"/>
            <w:gridSpan w:val="3"/>
            <w:tcBorders>
              <w:top w:val="nil"/>
              <w:left w:val="nil"/>
              <w:bottom w:val="nil"/>
              <w:right w:val="nil"/>
            </w:tcBorders>
            <w:shd w:val="clear" w:color="auto" w:fill="FFFFFF"/>
            <w:vAlign w:val="center"/>
          </w:tcPr>
          <w:p w14:paraId="5E1E1013">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氢氧化钾 / 乙腈</w:t>
            </w:r>
          </w:p>
        </w:tc>
        <w:tc>
          <w:tcPr>
            <w:tcW w:w="2399" w:type="pct"/>
            <w:gridSpan w:val="6"/>
            <w:tcBorders>
              <w:top w:val="nil"/>
              <w:left w:val="nil"/>
              <w:bottom w:val="nil"/>
              <w:right w:val="nil"/>
            </w:tcBorders>
            <w:shd w:val="clear" w:color="auto" w:fill="FFFFFF"/>
            <w:vAlign w:val="center"/>
          </w:tcPr>
          <w:p w14:paraId="1D1F90C0">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氢氧化钾与乙腈风险可由 SDS 核验；未发现叔丁醇锂自热风险</w:t>
            </w:r>
          </w:p>
        </w:tc>
        <w:tc>
          <w:tcPr>
            <w:tcW w:w="1226" w:type="pct"/>
            <w:gridSpan w:val="2"/>
            <w:tcBorders>
              <w:top w:val="nil"/>
              <w:left w:val="nil"/>
              <w:bottom w:val="nil"/>
              <w:right w:val="nil"/>
            </w:tcBorders>
            <w:shd w:val="clear" w:color="auto" w:fill="FFFFFF"/>
            <w:vAlign w:val="center"/>
          </w:tcPr>
          <w:p w14:paraId="02BD020A">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最终推荐，条件性执行</w:t>
            </w:r>
          </w:p>
        </w:tc>
      </w:tr>
      <w:tr w14:paraId="24DC8659">
        <w:tblPrEx>
          <w:tblCellMar>
            <w:top w:w="28" w:type="dxa"/>
            <w:left w:w="28" w:type="dxa"/>
            <w:bottom w:w="28" w:type="dxa"/>
            <w:right w:w="28" w:type="dxa"/>
          </w:tblCellMar>
        </w:tblPrEx>
        <w:trPr>
          <w:trHeight w:val="1147" w:hRule="atLeast"/>
        </w:trPr>
        <w:tc>
          <w:tcPr>
            <w:tcW w:w="388" w:type="pct"/>
            <w:tcBorders>
              <w:top w:val="nil"/>
              <w:left w:val="nil"/>
              <w:bottom w:val="nil"/>
              <w:right w:val="nil"/>
            </w:tcBorders>
            <w:shd w:val="clear" w:color="auto" w:fill="FFFFFF"/>
            <w:vAlign w:val="center"/>
          </w:tcPr>
          <w:p w14:paraId="71A1B470">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w:t>
            </w:r>
          </w:p>
        </w:tc>
        <w:tc>
          <w:tcPr>
            <w:tcW w:w="985" w:type="pct"/>
            <w:gridSpan w:val="3"/>
            <w:tcBorders>
              <w:top w:val="nil"/>
              <w:left w:val="nil"/>
              <w:bottom w:val="nil"/>
              <w:right w:val="nil"/>
            </w:tcBorders>
            <w:shd w:val="clear" w:color="auto" w:fill="FFFFFF"/>
            <w:vAlign w:val="center"/>
          </w:tcPr>
          <w:p w14:paraId="404D176B">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硼酸 / 三苯基膦 / 叔丁醇锂 / 甲醇</w:t>
            </w:r>
          </w:p>
        </w:tc>
        <w:tc>
          <w:tcPr>
            <w:tcW w:w="2399" w:type="pct"/>
            <w:gridSpan w:val="6"/>
            <w:tcBorders>
              <w:top w:val="nil"/>
              <w:left w:val="nil"/>
              <w:bottom w:val="nil"/>
              <w:right w:val="nil"/>
            </w:tcBorders>
            <w:shd w:val="clear" w:color="auto" w:fill="FFFFFF"/>
            <w:vAlign w:val="center"/>
          </w:tcPr>
          <w:p w14:paraId="2B91B513">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特定硼酸目录显示 2–3 周交期且美国缺货；叔丁醇锂触发阻断</w:t>
            </w:r>
          </w:p>
        </w:tc>
        <w:tc>
          <w:tcPr>
            <w:tcW w:w="1226" w:type="pct"/>
            <w:gridSpan w:val="2"/>
            <w:tcBorders>
              <w:top w:val="nil"/>
              <w:left w:val="nil"/>
              <w:bottom w:val="nil"/>
              <w:right w:val="nil"/>
            </w:tcBorders>
            <w:shd w:val="clear" w:color="auto" w:fill="FFFFFF"/>
            <w:vAlign w:val="center"/>
          </w:tcPr>
          <w:p w14:paraId="1FA932B6">
            <w:pPr>
              <w:pStyle w:val="23"/>
              <w:bidi w:val="0"/>
              <w:spacing w:before="0" w:after="283"/>
              <w:ind w:left="0" w:right="0" w:firstLine="0"/>
              <w:jc w:val="center"/>
              <w:rPr>
                <w:rFonts w:ascii="Times New Roman" w:hAnsi="Times New Roman" w:eastAsia="宋体"/>
                <w:b w:val="0"/>
                <w:color w:val="000000"/>
                <w:sz w:val="24"/>
              </w:rPr>
            </w:pPr>
            <w:r>
              <w:rPr>
                <w:rStyle w:val="19"/>
                <w:rFonts w:ascii="Times New Roman" w:hAnsi="Times New Roman" w:eastAsia="宋体"/>
                <w:b w:val="0"/>
                <w:color w:val="000000"/>
                <w:sz w:val="24"/>
              </w:rPr>
              <w:t>blocked</w:t>
            </w:r>
            <w:r>
              <w:rPr>
                <w:rFonts w:ascii="Times New Roman" w:hAnsi="Times New Roman" w:eastAsia="宋体"/>
                <w:b w:val="0"/>
                <w:color w:val="000000"/>
                <w:sz w:val="24"/>
              </w:rPr>
              <w:t>，不推荐直接执行</w:t>
            </w:r>
          </w:p>
        </w:tc>
      </w:tr>
      <w:tr w14:paraId="28536529">
        <w:tblPrEx>
          <w:tblCellMar>
            <w:top w:w="28" w:type="dxa"/>
            <w:left w:w="28" w:type="dxa"/>
            <w:bottom w:w="28" w:type="dxa"/>
            <w:right w:w="28" w:type="dxa"/>
          </w:tblCellMar>
        </w:tblPrEx>
        <w:trPr>
          <w:trHeight w:val="1176" w:hRule="atLeast"/>
        </w:trPr>
        <w:tc>
          <w:tcPr>
            <w:tcW w:w="388" w:type="pct"/>
            <w:tcBorders>
              <w:top w:val="nil"/>
              <w:left w:val="nil"/>
              <w:bottom w:val="single" w:color="000000" w:sz="12" w:space="0"/>
              <w:right w:val="nil"/>
            </w:tcBorders>
            <w:shd w:val="clear" w:color="auto" w:fill="FFFFFF"/>
            <w:vAlign w:val="center"/>
          </w:tcPr>
          <w:p w14:paraId="540B42BE">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5</w:t>
            </w:r>
          </w:p>
        </w:tc>
        <w:tc>
          <w:tcPr>
            <w:tcW w:w="985" w:type="pct"/>
            <w:gridSpan w:val="3"/>
            <w:tcBorders>
              <w:top w:val="nil"/>
              <w:left w:val="nil"/>
              <w:bottom w:val="single" w:color="000000" w:sz="12" w:space="0"/>
              <w:right w:val="nil"/>
            </w:tcBorders>
            <w:shd w:val="clear" w:color="auto" w:fill="FFFFFF"/>
            <w:vAlign w:val="center"/>
          </w:tcPr>
          <w:p w14:paraId="61E2283A">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三乙胺 / 乙腈</w:t>
            </w:r>
          </w:p>
        </w:tc>
        <w:tc>
          <w:tcPr>
            <w:tcW w:w="2399" w:type="pct"/>
            <w:gridSpan w:val="6"/>
            <w:tcBorders>
              <w:top w:val="nil"/>
              <w:left w:val="nil"/>
              <w:bottom w:val="single" w:color="000000" w:sz="12" w:space="0"/>
              <w:right w:val="nil"/>
            </w:tcBorders>
            <w:shd w:val="clear" w:color="auto" w:fill="FFFFFF"/>
            <w:vAlign w:val="center"/>
          </w:tcPr>
          <w:p w14:paraId="04867709">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三乙胺 SDS 显示易燃、急性毒性和腐蚀性，与乙腈组合触发阻断</w:t>
            </w:r>
          </w:p>
        </w:tc>
        <w:tc>
          <w:tcPr>
            <w:tcW w:w="1226" w:type="pct"/>
            <w:gridSpan w:val="2"/>
            <w:tcBorders>
              <w:top w:val="nil"/>
              <w:left w:val="nil"/>
              <w:bottom w:val="single" w:color="000000" w:sz="12" w:space="0"/>
              <w:right w:val="nil"/>
            </w:tcBorders>
            <w:shd w:val="clear" w:color="auto" w:fill="FFFFFF"/>
            <w:vAlign w:val="center"/>
          </w:tcPr>
          <w:p w14:paraId="687ADEE9">
            <w:pPr>
              <w:pStyle w:val="23"/>
              <w:bidi w:val="0"/>
              <w:spacing w:before="0" w:after="283"/>
              <w:jc w:val="center"/>
              <w:rPr>
                <w:rFonts w:ascii="Times New Roman" w:hAnsi="Times New Roman" w:eastAsia="宋体"/>
                <w:b w:val="0"/>
                <w:color w:val="000000"/>
                <w:sz w:val="24"/>
              </w:rPr>
            </w:pPr>
            <w:r>
              <w:rPr>
                <w:rStyle w:val="19"/>
                <w:rFonts w:ascii="Times New Roman" w:hAnsi="Times New Roman" w:eastAsia="宋体"/>
                <w:b w:val="0"/>
                <w:color w:val="000000"/>
                <w:sz w:val="24"/>
              </w:rPr>
              <w:t>blocked</w:t>
            </w:r>
            <w:r>
              <w:rPr>
                <w:rFonts w:ascii="Times New Roman" w:hAnsi="Times New Roman" w:eastAsia="宋体"/>
                <w:b w:val="0"/>
                <w:color w:val="000000"/>
                <w:sz w:val="24"/>
              </w:rPr>
              <w:t>，不推荐直接执行</w:t>
            </w:r>
          </w:p>
        </w:tc>
      </w:tr>
    </w:tbl>
    <w:p w14:paraId="44E05610">
      <w:pPr>
        <w:pStyle w:val="4"/>
        <w:bidi w:val="0"/>
        <w:jc w:val="left"/>
        <w:rPr>
          <w:rFonts w:ascii="Times New Roman" w:hAnsi="Times New Roman" w:eastAsia="宋体"/>
          <w:sz w:val="24"/>
        </w:rPr>
      </w:pPr>
      <w:r>
        <w:rPr>
          <w:rFonts w:ascii="Times New Roman" w:hAnsi="Times New Roman" w:eastAsia="宋体"/>
          <w:sz w:val="24"/>
        </w:rPr>
        <w:t xml:space="preserve">预算因目标规模和地点未提供而为 </w:t>
      </w:r>
      <w:r>
        <w:rPr>
          <w:rStyle w:val="19"/>
          <w:rFonts w:ascii="Times New Roman" w:hAnsi="Times New Roman" w:eastAsia="宋体"/>
          <w:sz w:val="24"/>
        </w:rPr>
        <w:t>unknown</w:t>
      </w:r>
      <w:r>
        <w:rPr>
          <w:rFonts w:ascii="Times New Roman" w:hAnsi="Times New Roman" w:eastAsia="宋体"/>
          <w:sz w:val="24"/>
        </w:rPr>
        <w:t xml:space="preserve">；采购难度使用供应商目录证据，初步危险性 使用产品 SDS 证据。操作复杂度和废物处置负担缺少直接工艺证据，保留为低置信度 </w:t>
      </w:r>
      <w:r>
        <w:rPr>
          <w:rStyle w:val="19"/>
          <w:rFonts w:ascii="Times New Roman" w:hAnsi="Times New Roman" w:eastAsia="宋体"/>
          <w:sz w:val="24"/>
        </w:rPr>
        <w:t>llm_inference</w:t>
      </w:r>
      <w:r>
        <w:rPr>
          <w:rFonts w:ascii="Times New Roman" w:hAnsi="Times New Roman" w:eastAsia="宋体"/>
          <w:sz w:val="24"/>
        </w:rPr>
        <w:t xml:space="preserve">；放大风险为 </w:t>
      </w:r>
      <w:r>
        <w:rPr>
          <w:rStyle w:val="19"/>
          <w:rFonts w:ascii="Times New Roman" w:hAnsi="Times New Roman" w:eastAsia="宋体"/>
          <w:sz w:val="24"/>
        </w:rPr>
        <w:t>unknown</w:t>
      </w:r>
      <w:r>
        <w:rPr>
          <w:rFonts w:ascii="Times New Roman" w:hAnsi="Times New Roman" w:eastAsia="宋体"/>
          <w:sz w:val="24"/>
        </w:rPr>
        <w:t>。这些证据不替代中国地区询价、完整 SDS 审查或 EHS 批准。</w:t>
      </w:r>
    </w:p>
    <w:p w14:paraId="69ADC4B8">
      <w:pPr>
        <w:pStyle w:val="4"/>
        <w:bidi w:val="0"/>
        <w:jc w:val="left"/>
        <w:rPr>
          <w:rFonts w:ascii="Times New Roman" w:hAnsi="Times New Roman" w:eastAsia="宋体"/>
          <w:sz w:val="24"/>
        </w:rPr>
      </w:pPr>
      <w:r>
        <w:rPr>
          <w:rFonts w:ascii="Times New Roman" w:hAnsi="Times New Roman" w:eastAsia="宋体"/>
          <w:sz w:val="24"/>
        </w:rPr>
        <w:t>Suzuki 的</w:t>
      </w:r>
      <w:r>
        <w:rPr>
          <w:rStyle w:val="15"/>
          <w:rFonts w:ascii="Times New Roman" w:hAnsi="Times New Roman" w:eastAsia="宋体"/>
          <w:sz w:val="24"/>
        </w:rPr>
        <w:t>最终推荐反应条件</w:t>
      </w:r>
      <w:r>
        <w:rPr>
          <w:rFonts w:ascii="Times New Roman" w:hAnsi="Times New Roman" w:eastAsia="宋体"/>
          <w:sz w:val="24"/>
        </w:rPr>
        <w:t xml:space="preserve">选择 </w:t>
      </w:r>
      <w:r>
        <w:rPr>
          <w:rStyle w:val="19"/>
          <w:rFonts w:ascii="Times New Roman" w:hAnsi="Times New Roman" w:eastAsia="宋体"/>
          <w:sz w:val="24"/>
        </w:rPr>
        <w:t>selected_optimizer_rank=3</w:t>
      </w:r>
      <w:r>
        <w:rPr>
          <w:rFonts w:ascii="Times New Roman" w:hAnsi="Times New Roman" w:eastAsia="宋体"/>
          <w:sz w:val="24"/>
        </w:rPr>
        <w:t>：</w:t>
      </w:r>
    </w:p>
    <w:p w14:paraId="5C184E32">
      <w:pPr>
        <w:pStyle w:val="4"/>
        <w:numPr>
          <w:ilvl w:val="0"/>
          <w:numId w:val="5"/>
        </w:numPr>
        <w:bidi w:val="0"/>
        <w:spacing w:before="0" w:after="0"/>
        <w:ind w:left="709" w:hanging="283"/>
        <w:jc w:val="left"/>
        <w:rPr>
          <w:rFonts w:ascii="Times New Roman" w:hAnsi="Times New Roman" w:eastAsia="宋体"/>
          <w:sz w:val="24"/>
        </w:rPr>
      </w:pPr>
      <w:r>
        <w:rPr>
          <w:rFonts w:ascii="Times New Roman" w:hAnsi="Times New Roman" w:eastAsia="宋体"/>
          <w:sz w:val="24"/>
        </w:rPr>
        <w:t xml:space="preserve">Electrophile：6-iodoquinoline； </w:t>
      </w:r>
    </w:p>
    <w:p w14:paraId="0BE8BE06">
      <w:pPr>
        <w:pStyle w:val="4"/>
        <w:numPr>
          <w:ilvl w:val="0"/>
          <w:numId w:val="5"/>
        </w:numPr>
        <w:bidi w:val="0"/>
        <w:spacing w:before="0" w:after="0"/>
        <w:ind w:left="709" w:hanging="283"/>
        <w:jc w:val="left"/>
        <w:rPr>
          <w:rFonts w:ascii="Times New Roman" w:hAnsi="Times New Roman" w:eastAsia="宋体"/>
          <w:sz w:val="24"/>
        </w:rPr>
      </w:pPr>
      <w:r>
        <w:rPr>
          <w:rFonts w:ascii="Times New Roman" w:hAnsi="Times New Roman" w:eastAsia="宋体"/>
          <w:sz w:val="24"/>
        </w:rPr>
        <w:t xml:space="preserve">Nucleophile：5-methyl-1-(oxan-2-yl)-4-(4,4,5,5-tetramethyl-1,3,2-dioxaborolan-2-yl)indazole； </w:t>
      </w:r>
    </w:p>
    <w:p w14:paraId="37812C8A">
      <w:pPr>
        <w:pStyle w:val="4"/>
        <w:numPr>
          <w:ilvl w:val="0"/>
          <w:numId w:val="5"/>
        </w:numPr>
        <w:bidi w:val="0"/>
        <w:spacing w:before="0" w:after="0"/>
        <w:ind w:left="709" w:hanging="283"/>
        <w:jc w:val="left"/>
        <w:rPr>
          <w:rFonts w:ascii="Times New Roman" w:hAnsi="Times New Roman" w:eastAsia="宋体"/>
          <w:sz w:val="24"/>
        </w:rPr>
      </w:pPr>
      <w:r>
        <w:rPr>
          <w:rFonts w:ascii="Times New Roman" w:hAnsi="Times New Roman" w:eastAsia="宋体"/>
          <w:sz w:val="24"/>
        </w:rPr>
        <w:t xml:space="preserve">Ligand：4-ditert-butylphosphanyl-N,N-dimethylaniline； </w:t>
      </w:r>
    </w:p>
    <w:p w14:paraId="050A02E8">
      <w:pPr>
        <w:pStyle w:val="4"/>
        <w:numPr>
          <w:ilvl w:val="0"/>
          <w:numId w:val="5"/>
        </w:numPr>
        <w:bidi w:val="0"/>
        <w:spacing w:before="0" w:after="0"/>
        <w:ind w:left="709" w:hanging="283"/>
        <w:jc w:val="left"/>
        <w:rPr>
          <w:rFonts w:ascii="Times New Roman" w:hAnsi="Times New Roman" w:eastAsia="宋体"/>
          <w:sz w:val="24"/>
        </w:rPr>
      </w:pPr>
      <w:r>
        <w:rPr>
          <w:rFonts w:ascii="Times New Roman" w:hAnsi="Times New Roman" w:eastAsia="宋体"/>
          <w:sz w:val="24"/>
        </w:rPr>
        <w:t xml:space="preserve">Base：potassium hydroxide； </w:t>
      </w:r>
    </w:p>
    <w:p w14:paraId="33944049">
      <w:pPr>
        <w:pStyle w:val="4"/>
        <w:numPr>
          <w:ilvl w:val="0"/>
          <w:numId w:val="5"/>
        </w:numPr>
        <w:bidi w:val="0"/>
        <w:ind w:left="709" w:hanging="283"/>
        <w:jc w:val="left"/>
        <w:rPr>
          <w:rFonts w:ascii="Times New Roman" w:hAnsi="Times New Roman" w:eastAsia="宋体"/>
          <w:sz w:val="24"/>
        </w:rPr>
      </w:pPr>
      <w:r>
        <w:rPr>
          <w:rFonts w:ascii="Times New Roman" w:hAnsi="Times New Roman" w:eastAsia="宋体"/>
          <w:sz w:val="24"/>
        </w:rPr>
        <w:t xml:space="preserve">Solvent：acetonitrile。 </w:t>
      </w:r>
    </w:p>
    <w:p w14:paraId="531D401F">
      <w:pPr>
        <w:pStyle w:val="4"/>
        <w:bidi w:val="0"/>
        <w:jc w:val="left"/>
        <w:rPr>
          <w:rFonts w:ascii="Times New Roman" w:hAnsi="Times New Roman" w:eastAsia="宋体"/>
          <w:sz w:val="24"/>
        </w:rPr>
      </w:pPr>
      <w:r>
        <w:rPr>
          <w:rFonts w:ascii="Times New Roman" w:hAnsi="Times New Roman" w:eastAsia="宋体"/>
          <w:sz w:val="24"/>
        </w:rPr>
        <w:t>该条件的已查询产率为 99.05，比优化器排名 1 低 0.85 个百分点。它是 SDS 复核后 已查询 Top-5 中唯一未被阻断的条件：排名 1、2 和 4 使用 Self-heating Category 1 的 叔丁醇锂，排名 5 的三乙胺/乙腈组合具有更高的易燃、急性毒性与腐蚀性负担。本报告不指定安全备选。实验前须确认目标规模中国地区报价、全部物质最新 SDS、加料与温控 SOP、量热、EHS 要求和废物处置路径。</w:t>
      </w:r>
    </w:p>
    <w:p w14:paraId="4412E8CA">
      <w:pPr>
        <w:pStyle w:val="6"/>
        <w:bidi w:val="0"/>
        <w:jc w:val="left"/>
        <w:rPr>
          <w:rFonts w:ascii="Times New Roman" w:hAnsi="Times New Roman" w:eastAsia="宋体"/>
          <w:sz w:val="24"/>
        </w:rPr>
      </w:pPr>
      <w:r>
        <w:rPr>
          <w:rFonts w:ascii="Times New Roman" w:hAnsi="Times New Roman" w:eastAsia="宋体"/>
          <w:sz w:val="24"/>
        </w:rPr>
        <w:t>9.2 Buchwald_sub4 已查询 Top-5 反应条件</w:t>
      </w:r>
    </w:p>
    <w:tbl>
      <w:tblPr>
        <w:tblStyle w:val="12"/>
        <w:tblW w:w="4999" w:type="pct"/>
        <w:tblInd w:w="0" w:type="dxa"/>
        <w:tblLayout w:type="autofit"/>
        <w:tblCellMar>
          <w:top w:w="28" w:type="dxa"/>
          <w:left w:w="28" w:type="dxa"/>
          <w:bottom w:w="28" w:type="dxa"/>
          <w:right w:w="28" w:type="dxa"/>
        </w:tblCellMar>
      </w:tblPr>
      <w:tblGrid>
        <w:gridCol w:w="707"/>
        <w:gridCol w:w="816"/>
        <w:gridCol w:w="836"/>
        <w:gridCol w:w="950"/>
        <w:gridCol w:w="843"/>
        <w:gridCol w:w="843"/>
        <w:gridCol w:w="843"/>
        <w:gridCol w:w="950"/>
        <w:gridCol w:w="843"/>
        <w:gridCol w:w="1072"/>
        <w:gridCol w:w="103"/>
        <w:gridCol w:w="1226"/>
      </w:tblGrid>
      <w:tr w14:paraId="2F6C3434">
        <w:tblPrEx>
          <w:tblCellMar>
            <w:top w:w="28" w:type="dxa"/>
            <w:left w:w="28" w:type="dxa"/>
            <w:bottom w:w="28" w:type="dxa"/>
            <w:right w:w="28" w:type="dxa"/>
          </w:tblCellMar>
        </w:tblPrEx>
        <w:trPr>
          <w:trHeight w:val="1204" w:hRule="atLeast"/>
          <w:tblHeader/>
        </w:trPr>
        <w:tc>
          <w:tcPr>
            <w:tcW w:w="711" w:type="pct"/>
            <w:gridSpan w:val="2"/>
            <w:tcBorders>
              <w:top w:val="single" w:color="000000" w:sz="12" w:space="0"/>
              <w:left w:val="nil"/>
              <w:bottom w:val="single" w:color="000000" w:sz="4" w:space="0"/>
              <w:right w:val="nil"/>
              <w:tl2br w:val="nil"/>
            </w:tcBorders>
            <w:shd w:val="clear" w:color="auto" w:fill="FFFFFF"/>
            <w:vAlign w:val="center"/>
          </w:tcPr>
          <w:p w14:paraId="7B6C91D1">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optimizer_rank</w:t>
            </w:r>
          </w:p>
        </w:tc>
        <w:tc>
          <w:tcPr>
            <w:tcW w:w="413" w:type="pct"/>
            <w:tcBorders>
              <w:top w:val="single" w:color="000000" w:sz="12" w:space="0"/>
              <w:left w:val="nil"/>
              <w:bottom w:val="single" w:color="000000" w:sz="4" w:space="0"/>
              <w:right w:val="nil"/>
            </w:tcBorders>
            <w:shd w:val="clear" w:color="auto" w:fill="FFFFFF"/>
            <w:vAlign w:val="center"/>
          </w:tcPr>
          <w:p w14:paraId="14570BE4">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已查询最高产率</w:t>
            </w:r>
          </w:p>
        </w:tc>
        <w:tc>
          <w:tcPr>
            <w:tcW w:w="452" w:type="pct"/>
            <w:tcBorders>
              <w:top w:val="single" w:color="000000" w:sz="12" w:space="0"/>
              <w:left w:val="nil"/>
              <w:bottom w:val="single" w:color="000000" w:sz="4" w:space="0"/>
              <w:right w:val="nil"/>
            </w:tcBorders>
            <w:shd w:val="clear" w:color="auto" w:fill="FFFFFF"/>
            <w:vAlign w:val="center"/>
          </w:tcPr>
          <w:p w14:paraId="4045A59E">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预算</w:t>
            </w:r>
          </w:p>
        </w:tc>
        <w:tc>
          <w:tcPr>
            <w:tcW w:w="398" w:type="pct"/>
            <w:tcBorders>
              <w:top w:val="single" w:color="000000" w:sz="12" w:space="0"/>
              <w:left w:val="nil"/>
              <w:bottom w:val="single" w:color="000000" w:sz="4" w:space="0"/>
              <w:right w:val="nil"/>
            </w:tcBorders>
            <w:shd w:val="clear" w:color="auto" w:fill="FFFFFF"/>
            <w:vAlign w:val="center"/>
          </w:tcPr>
          <w:p w14:paraId="0DB2F36E">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采购难度</w:t>
            </w:r>
          </w:p>
        </w:tc>
        <w:tc>
          <w:tcPr>
            <w:tcW w:w="398" w:type="pct"/>
            <w:tcBorders>
              <w:top w:val="single" w:color="000000" w:sz="12" w:space="0"/>
              <w:left w:val="nil"/>
              <w:bottom w:val="single" w:color="000000" w:sz="4" w:space="0"/>
              <w:right w:val="nil"/>
            </w:tcBorders>
            <w:shd w:val="clear" w:color="auto" w:fill="FFFFFF"/>
            <w:vAlign w:val="center"/>
          </w:tcPr>
          <w:p w14:paraId="06D0B07A">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初步危险性</w:t>
            </w:r>
          </w:p>
        </w:tc>
        <w:tc>
          <w:tcPr>
            <w:tcW w:w="398" w:type="pct"/>
            <w:tcBorders>
              <w:top w:val="single" w:color="000000" w:sz="12" w:space="0"/>
              <w:left w:val="nil"/>
              <w:bottom w:val="single" w:color="000000" w:sz="4" w:space="0"/>
              <w:right w:val="nil"/>
            </w:tcBorders>
            <w:shd w:val="clear" w:color="auto" w:fill="FFFFFF"/>
            <w:vAlign w:val="center"/>
          </w:tcPr>
          <w:p w14:paraId="57271B0C">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操作复杂度</w:t>
            </w:r>
          </w:p>
        </w:tc>
        <w:tc>
          <w:tcPr>
            <w:tcW w:w="452" w:type="pct"/>
            <w:tcBorders>
              <w:top w:val="single" w:color="000000" w:sz="12" w:space="0"/>
              <w:left w:val="nil"/>
              <w:bottom w:val="single" w:color="000000" w:sz="4" w:space="0"/>
              <w:right w:val="nil"/>
            </w:tcBorders>
            <w:shd w:val="clear" w:color="auto" w:fill="FFFFFF"/>
            <w:vAlign w:val="center"/>
          </w:tcPr>
          <w:p w14:paraId="0DEA97BA">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放大风险</w:t>
            </w:r>
          </w:p>
        </w:tc>
        <w:tc>
          <w:tcPr>
            <w:tcW w:w="398" w:type="pct"/>
            <w:tcBorders>
              <w:top w:val="single" w:color="000000" w:sz="12" w:space="0"/>
              <w:left w:val="nil"/>
              <w:bottom w:val="single" w:color="000000" w:sz="4" w:space="0"/>
              <w:right w:val="nil"/>
            </w:tcBorders>
            <w:shd w:val="clear" w:color="auto" w:fill="FFFFFF"/>
            <w:vAlign w:val="center"/>
          </w:tcPr>
          <w:p w14:paraId="05C97BB9">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废物处置负担</w:t>
            </w:r>
          </w:p>
        </w:tc>
        <w:tc>
          <w:tcPr>
            <w:tcW w:w="595" w:type="pct"/>
            <w:tcBorders>
              <w:top w:val="single" w:color="000000" w:sz="12" w:space="0"/>
              <w:left w:val="nil"/>
              <w:bottom w:val="single" w:color="000000" w:sz="4" w:space="0"/>
              <w:right w:val="nil"/>
            </w:tcBorders>
            <w:shd w:val="clear" w:color="auto" w:fill="FFFFFF"/>
            <w:vAlign w:val="center"/>
          </w:tcPr>
          <w:p w14:paraId="048017DE">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现实可行性总分（6–18）</w:t>
            </w:r>
          </w:p>
        </w:tc>
        <w:tc>
          <w:tcPr>
            <w:tcW w:w="783" w:type="pct"/>
            <w:gridSpan w:val="2"/>
            <w:tcBorders>
              <w:top w:val="single" w:color="000000" w:sz="12" w:space="0"/>
              <w:left w:val="nil"/>
              <w:bottom w:val="single" w:color="000000" w:sz="4" w:space="0"/>
              <w:right w:val="nil"/>
            </w:tcBorders>
            <w:shd w:val="clear" w:color="auto" w:fill="FFFFFF"/>
            <w:vAlign w:val="center"/>
          </w:tcPr>
          <w:p w14:paraId="1EEE2BAC">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安全门槛</w:t>
            </w:r>
          </w:p>
        </w:tc>
      </w:tr>
      <w:tr w14:paraId="51081730">
        <w:tblPrEx>
          <w:tblCellMar>
            <w:top w:w="28" w:type="dxa"/>
            <w:left w:w="28" w:type="dxa"/>
            <w:bottom w:w="28" w:type="dxa"/>
            <w:right w:w="28" w:type="dxa"/>
          </w:tblCellMar>
        </w:tblPrEx>
        <w:trPr>
          <w:trHeight w:val="765" w:hRule="atLeast"/>
        </w:trPr>
        <w:tc>
          <w:tcPr>
            <w:tcW w:w="711" w:type="pct"/>
            <w:gridSpan w:val="2"/>
            <w:tcBorders>
              <w:top w:val="single" w:color="000000" w:sz="4" w:space="0"/>
              <w:left w:val="nil"/>
              <w:bottom w:val="nil"/>
              <w:right w:val="nil"/>
            </w:tcBorders>
            <w:shd w:val="clear" w:color="auto" w:fill="FFFFFF"/>
            <w:vAlign w:val="center"/>
          </w:tcPr>
          <w:p w14:paraId="2743B6DE">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1</w:t>
            </w:r>
          </w:p>
        </w:tc>
        <w:tc>
          <w:tcPr>
            <w:tcW w:w="413" w:type="pct"/>
            <w:tcBorders>
              <w:top w:val="single" w:color="000000" w:sz="4" w:space="0"/>
              <w:left w:val="nil"/>
              <w:bottom w:val="nil"/>
              <w:right w:val="nil"/>
            </w:tcBorders>
            <w:shd w:val="clear" w:color="auto" w:fill="FFFFFF"/>
            <w:vAlign w:val="center"/>
          </w:tcPr>
          <w:p w14:paraId="02942377">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86.5976</w:t>
            </w:r>
          </w:p>
        </w:tc>
        <w:tc>
          <w:tcPr>
            <w:tcW w:w="452" w:type="pct"/>
            <w:tcBorders>
              <w:top w:val="single" w:color="000000" w:sz="4" w:space="0"/>
              <w:left w:val="nil"/>
              <w:bottom w:val="nil"/>
              <w:right w:val="nil"/>
            </w:tcBorders>
            <w:shd w:val="clear" w:color="auto" w:fill="FFFFFF"/>
            <w:vAlign w:val="center"/>
          </w:tcPr>
          <w:p w14:paraId="477BC8FB">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98" w:type="pct"/>
            <w:tcBorders>
              <w:top w:val="single" w:color="000000" w:sz="4" w:space="0"/>
              <w:left w:val="nil"/>
              <w:bottom w:val="nil"/>
              <w:right w:val="nil"/>
            </w:tcBorders>
            <w:shd w:val="clear" w:color="auto" w:fill="FFFFFF"/>
            <w:vAlign w:val="center"/>
          </w:tcPr>
          <w:p w14:paraId="5F7A1CF5">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98" w:type="pct"/>
            <w:tcBorders>
              <w:top w:val="single" w:color="000000" w:sz="4" w:space="0"/>
              <w:left w:val="nil"/>
              <w:bottom w:val="nil"/>
              <w:right w:val="nil"/>
            </w:tcBorders>
            <w:shd w:val="clear" w:color="auto" w:fill="FFFFFF"/>
            <w:vAlign w:val="center"/>
          </w:tcPr>
          <w:p w14:paraId="6DF4B3BF">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98" w:type="pct"/>
            <w:tcBorders>
              <w:top w:val="single" w:color="000000" w:sz="4" w:space="0"/>
              <w:left w:val="nil"/>
              <w:bottom w:val="nil"/>
              <w:right w:val="nil"/>
            </w:tcBorders>
            <w:shd w:val="clear" w:color="auto" w:fill="FFFFFF"/>
            <w:vAlign w:val="center"/>
          </w:tcPr>
          <w:p w14:paraId="78462EF4">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452" w:type="pct"/>
            <w:tcBorders>
              <w:top w:val="single" w:color="000000" w:sz="4" w:space="0"/>
              <w:left w:val="nil"/>
              <w:bottom w:val="nil"/>
              <w:right w:val="nil"/>
            </w:tcBorders>
            <w:shd w:val="clear" w:color="auto" w:fill="FFFFFF"/>
            <w:vAlign w:val="center"/>
          </w:tcPr>
          <w:p w14:paraId="11AF50DE">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98" w:type="pct"/>
            <w:tcBorders>
              <w:top w:val="single" w:color="000000" w:sz="4" w:space="0"/>
              <w:left w:val="nil"/>
              <w:bottom w:val="nil"/>
              <w:right w:val="nil"/>
            </w:tcBorders>
            <w:shd w:val="clear" w:color="auto" w:fill="FFFFFF"/>
            <w:vAlign w:val="center"/>
          </w:tcPr>
          <w:p w14:paraId="523075CE">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595" w:type="pct"/>
            <w:tcBorders>
              <w:top w:val="single" w:color="000000" w:sz="4" w:space="0"/>
              <w:left w:val="nil"/>
              <w:bottom w:val="nil"/>
              <w:right w:val="nil"/>
            </w:tcBorders>
            <w:shd w:val="clear" w:color="auto" w:fill="FFFFFF"/>
            <w:vAlign w:val="center"/>
          </w:tcPr>
          <w:p w14:paraId="3AAC2EC1">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—（4/6）</w:t>
            </w:r>
          </w:p>
        </w:tc>
        <w:tc>
          <w:tcPr>
            <w:tcW w:w="783" w:type="pct"/>
            <w:gridSpan w:val="2"/>
            <w:tcBorders>
              <w:top w:val="single" w:color="000000" w:sz="4" w:space="0"/>
              <w:left w:val="nil"/>
              <w:bottom w:val="nil"/>
              <w:right w:val="nil"/>
            </w:tcBorders>
            <w:shd w:val="clear" w:color="auto" w:fill="FFFFFF"/>
            <w:vAlign w:val="center"/>
          </w:tcPr>
          <w:p w14:paraId="2D2DBDCA">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conditional</w:t>
            </w:r>
          </w:p>
        </w:tc>
      </w:tr>
      <w:tr w14:paraId="3DC34E9D">
        <w:tblPrEx>
          <w:tblCellMar>
            <w:top w:w="28" w:type="dxa"/>
            <w:left w:w="28" w:type="dxa"/>
            <w:bottom w:w="28" w:type="dxa"/>
            <w:right w:w="28" w:type="dxa"/>
          </w:tblCellMar>
        </w:tblPrEx>
        <w:trPr>
          <w:trHeight w:val="755" w:hRule="atLeast"/>
        </w:trPr>
        <w:tc>
          <w:tcPr>
            <w:tcW w:w="711" w:type="pct"/>
            <w:gridSpan w:val="2"/>
            <w:tcBorders>
              <w:top w:val="nil"/>
              <w:left w:val="nil"/>
              <w:bottom w:val="nil"/>
              <w:right w:val="nil"/>
            </w:tcBorders>
            <w:shd w:val="clear" w:color="auto" w:fill="FFFFFF"/>
            <w:vAlign w:val="center"/>
          </w:tcPr>
          <w:p w14:paraId="6F2BBE6A">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2</w:t>
            </w:r>
          </w:p>
        </w:tc>
        <w:tc>
          <w:tcPr>
            <w:tcW w:w="413" w:type="pct"/>
            <w:tcBorders>
              <w:top w:val="nil"/>
              <w:left w:val="nil"/>
              <w:bottom w:val="nil"/>
              <w:right w:val="nil"/>
            </w:tcBorders>
            <w:shd w:val="clear" w:color="auto" w:fill="FFFFFF"/>
            <w:vAlign w:val="center"/>
          </w:tcPr>
          <w:p w14:paraId="7D39C1D2">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85.8947</w:t>
            </w:r>
          </w:p>
        </w:tc>
        <w:tc>
          <w:tcPr>
            <w:tcW w:w="452" w:type="pct"/>
            <w:tcBorders>
              <w:top w:val="nil"/>
              <w:left w:val="nil"/>
              <w:bottom w:val="nil"/>
              <w:right w:val="nil"/>
            </w:tcBorders>
            <w:shd w:val="clear" w:color="auto" w:fill="FFFFFF"/>
            <w:vAlign w:val="center"/>
          </w:tcPr>
          <w:p w14:paraId="205DFB94">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98" w:type="pct"/>
            <w:tcBorders>
              <w:top w:val="nil"/>
              <w:left w:val="nil"/>
              <w:bottom w:val="nil"/>
              <w:right w:val="nil"/>
            </w:tcBorders>
            <w:shd w:val="clear" w:color="auto" w:fill="FFFFFF"/>
            <w:vAlign w:val="center"/>
          </w:tcPr>
          <w:p w14:paraId="67BD1A74">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98" w:type="pct"/>
            <w:tcBorders>
              <w:top w:val="nil"/>
              <w:left w:val="nil"/>
              <w:bottom w:val="nil"/>
              <w:right w:val="nil"/>
            </w:tcBorders>
            <w:shd w:val="clear" w:color="auto" w:fill="FFFFFF"/>
            <w:vAlign w:val="center"/>
          </w:tcPr>
          <w:p w14:paraId="66E1643B">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98" w:type="pct"/>
            <w:tcBorders>
              <w:top w:val="nil"/>
              <w:left w:val="nil"/>
              <w:bottom w:val="nil"/>
              <w:right w:val="nil"/>
            </w:tcBorders>
            <w:shd w:val="clear" w:color="auto" w:fill="FFFFFF"/>
            <w:vAlign w:val="center"/>
          </w:tcPr>
          <w:p w14:paraId="1ECBFBC6">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452" w:type="pct"/>
            <w:tcBorders>
              <w:top w:val="nil"/>
              <w:left w:val="nil"/>
              <w:bottom w:val="nil"/>
              <w:right w:val="nil"/>
            </w:tcBorders>
            <w:shd w:val="clear" w:color="auto" w:fill="FFFFFF"/>
            <w:vAlign w:val="center"/>
          </w:tcPr>
          <w:p w14:paraId="6A65DAEB">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98" w:type="pct"/>
            <w:tcBorders>
              <w:top w:val="nil"/>
              <w:left w:val="nil"/>
              <w:bottom w:val="nil"/>
              <w:right w:val="nil"/>
            </w:tcBorders>
            <w:shd w:val="clear" w:color="auto" w:fill="FFFFFF"/>
            <w:vAlign w:val="center"/>
          </w:tcPr>
          <w:p w14:paraId="3F8C48EE">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595" w:type="pct"/>
            <w:tcBorders>
              <w:top w:val="nil"/>
              <w:left w:val="nil"/>
              <w:bottom w:val="nil"/>
              <w:right w:val="nil"/>
            </w:tcBorders>
            <w:shd w:val="clear" w:color="auto" w:fill="FFFFFF"/>
            <w:vAlign w:val="center"/>
          </w:tcPr>
          <w:p w14:paraId="0E2032B5">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—（4/6）</w:t>
            </w:r>
          </w:p>
        </w:tc>
        <w:tc>
          <w:tcPr>
            <w:tcW w:w="783" w:type="pct"/>
            <w:gridSpan w:val="2"/>
            <w:tcBorders>
              <w:top w:val="nil"/>
              <w:left w:val="nil"/>
              <w:bottom w:val="nil"/>
              <w:right w:val="nil"/>
            </w:tcBorders>
            <w:shd w:val="clear" w:color="auto" w:fill="FFFFFF"/>
            <w:vAlign w:val="center"/>
          </w:tcPr>
          <w:p w14:paraId="32BFCE71">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conditional</w:t>
            </w:r>
          </w:p>
        </w:tc>
      </w:tr>
      <w:tr w14:paraId="73569A19">
        <w:tblPrEx>
          <w:tblCellMar>
            <w:top w:w="28" w:type="dxa"/>
            <w:left w:w="28" w:type="dxa"/>
            <w:bottom w:w="28" w:type="dxa"/>
            <w:right w:w="28" w:type="dxa"/>
          </w:tblCellMar>
        </w:tblPrEx>
        <w:trPr>
          <w:trHeight w:val="755" w:hRule="atLeast"/>
        </w:trPr>
        <w:tc>
          <w:tcPr>
            <w:tcW w:w="711" w:type="pct"/>
            <w:gridSpan w:val="2"/>
            <w:tcBorders>
              <w:top w:val="nil"/>
              <w:left w:val="nil"/>
              <w:bottom w:val="nil"/>
              <w:right w:val="nil"/>
            </w:tcBorders>
            <w:shd w:val="clear" w:color="auto" w:fill="FFFFFF"/>
            <w:vAlign w:val="center"/>
          </w:tcPr>
          <w:p w14:paraId="706724B3">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3</w:t>
            </w:r>
          </w:p>
        </w:tc>
        <w:tc>
          <w:tcPr>
            <w:tcW w:w="413" w:type="pct"/>
            <w:tcBorders>
              <w:top w:val="nil"/>
              <w:left w:val="nil"/>
              <w:bottom w:val="nil"/>
              <w:right w:val="nil"/>
            </w:tcBorders>
            <w:shd w:val="clear" w:color="auto" w:fill="FFFFFF"/>
            <w:vAlign w:val="center"/>
          </w:tcPr>
          <w:p w14:paraId="61F7F8D5">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84.8955</w:t>
            </w:r>
          </w:p>
        </w:tc>
        <w:tc>
          <w:tcPr>
            <w:tcW w:w="452" w:type="pct"/>
            <w:tcBorders>
              <w:top w:val="nil"/>
              <w:left w:val="nil"/>
              <w:bottom w:val="nil"/>
              <w:right w:val="nil"/>
            </w:tcBorders>
            <w:shd w:val="clear" w:color="auto" w:fill="FFFFFF"/>
            <w:vAlign w:val="center"/>
          </w:tcPr>
          <w:p w14:paraId="00BC6272">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98" w:type="pct"/>
            <w:tcBorders>
              <w:top w:val="nil"/>
              <w:left w:val="nil"/>
              <w:bottom w:val="nil"/>
              <w:right w:val="nil"/>
            </w:tcBorders>
            <w:shd w:val="clear" w:color="auto" w:fill="FFFFFF"/>
            <w:vAlign w:val="center"/>
          </w:tcPr>
          <w:p w14:paraId="1C7423D1">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98" w:type="pct"/>
            <w:tcBorders>
              <w:top w:val="nil"/>
              <w:left w:val="nil"/>
              <w:bottom w:val="nil"/>
              <w:right w:val="nil"/>
            </w:tcBorders>
            <w:shd w:val="clear" w:color="auto" w:fill="FFFFFF"/>
            <w:vAlign w:val="center"/>
          </w:tcPr>
          <w:p w14:paraId="67A194BC">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98" w:type="pct"/>
            <w:tcBorders>
              <w:top w:val="nil"/>
              <w:left w:val="nil"/>
              <w:bottom w:val="nil"/>
              <w:right w:val="nil"/>
            </w:tcBorders>
            <w:shd w:val="clear" w:color="auto" w:fill="FFFFFF"/>
            <w:vAlign w:val="center"/>
          </w:tcPr>
          <w:p w14:paraId="358B1867">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452" w:type="pct"/>
            <w:tcBorders>
              <w:top w:val="nil"/>
              <w:left w:val="nil"/>
              <w:bottom w:val="nil"/>
              <w:right w:val="nil"/>
            </w:tcBorders>
            <w:shd w:val="clear" w:color="auto" w:fill="FFFFFF"/>
            <w:vAlign w:val="center"/>
          </w:tcPr>
          <w:p w14:paraId="6623159A">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98" w:type="pct"/>
            <w:tcBorders>
              <w:top w:val="nil"/>
              <w:left w:val="nil"/>
              <w:bottom w:val="nil"/>
              <w:right w:val="nil"/>
            </w:tcBorders>
            <w:shd w:val="clear" w:color="auto" w:fill="FFFFFF"/>
            <w:vAlign w:val="center"/>
          </w:tcPr>
          <w:p w14:paraId="5F07031D">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595" w:type="pct"/>
            <w:tcBorders>
              <w:top w:val="nil"/>
              <w:left w:val="nil"/>
              <w:bottom w:val="nil"/>
              <w:right w:val="nil"/>
            </w:tcBorders>
            <w:shd w:val="clear" w:color="auto" w:fill="FFFFFF"/>
            <w:vAlign w:val="center"/>
          </w:tcPr>
          <w:p w14:paraId="657902A5">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—（4/6）</w:t>
            </w:r>
          </w:p>
        </w:tc>
        <w:tc>
          <w:tcPr>
            <w:tcW w:w="783" w:type="pct"/>
            <w:gridSpan w:val="2"/>
            <w:tcBorders>
              <w:top w:val="nil"/>
              <w:left w:val="nil"/>
              <w:bottom w:val="nil"/>
              <w:right w:val="nil"/>
            </w:tcBorders>
            <w:shd w:val="clear" w:color="auto" w:fill="FFFFFF"/>
            <w:vAlign w:val="center"/>
          </w:tcPr>
          <w:p w14:paraId="6A53E352">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conditional</w:t>
            </w:r>
          </w:p>
        </w:tc>
      </w:tr>
      <w:tr w14:paraId="2C23E784">
        <w:tblPrEx>
          <w:tblCellMar>
            <w:top w:w="28" w:type="dxa"/>
            <w:left w:w="28" w:type="dxa"/>
            <w:bottom w:w="28" w:type="dxa"/>
            <w:right w:w="28" w:type="dxa"/>
          </w:tblCellMar>
        </w:tblPrEx>
        <w:trPr>
          <w:trHeight w:val="755" w:hRule="atLeast"/>
        </w:trPr>
        <w:tc>
          <w:tcPr>
            <w:tcW w:w="711" w:type="pct"/>
            <w:gridSpan w:val="2"/>
            <w:tcBorders>
              <w:top w:val="nil"/>
              <w:left w:val="nil"/>
              <w:bottom w:val="nil"/>
              <w:right w:val="nil"/>
            </w:tcBorders>
            <w:shd w:val="clear" w:color="auto" w:fill="FFFFFF"/>
            <w:vAlign w:val="center"/>
          </w:tcPr>
          <w:p w14:paraId="36BC50E5">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4</w:t>
            </w:r>
          </w:p>
        </w:tc>
        <w:tc>
          <w:tcPr>
            <w:tcW w:w="413" w:type="pct"/>
            <w:tcBorders>
              <w:top w:val="nil"/>
              <w:left w:val="nil"/>
              <w:bottom w:val="nil"/>
              <w:right w:val="nil"/>
            </w:tcBorders>
            <w:shd w:val="clear" w:color="auto" w:fill="FFFFFF"/>
            <w:vAlign w:val="center"/>
          </w:tcPr>
          <w:p w14:paraId="54F34129">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83.2944</w:t>
            </w:r>
          </w:p>
        </w:tc>
        <w:tc>
          <w:tcPr>
            <w:tcW w:w="452" w:type="pct"/>
            <w:tcBorders>
              <w:top w:val="nil"/>
              <w:left w:val="nil"/>
              <w:bottom w:val="nil"/>
              <w:right w:val="nil"/>
            </w:tcBorders>
            <w:shd w:val="clear" w:color="auto" w:fill="FFFFFF"/>
            <w:vAlign w:val="center"/>
          </w:tcPr>
          <w:p w14:paraId="44A5C5B4">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98" w:type="pct"/>
            <w:tcBorders>
              <w:top w:val="nil"/>
              <w:left w:val="nil"/>
              <w:bottom w:val="nil"/>
              <w:right w:val="nil"/>
            </w:tcBorders>
            <w:shd w:val="clear" w:color="auto" w:fill="FFFFFF"/>
            <w:vAlign w:val="center"/>
          </w:tcPr>
          <w:p w14:paraId="1C56154D">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98" w:type="pct"/>
            <w:tcBorders>
              <w:top w:val="nil"/>
              <w:left w:val="nil"/>
              <w:bottom w:val="nil"/>
              <w:right w:val="nil"/>
            </w:tcBorders>
            <w:shd w:val="clear" w:color="auto" w:fill="FFFFFF"/>
            <w:vAlign w:val="center"/>
          </w:tcPr>
          <w:p w14:paraId="39FB4713">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98" w:type="pct"/>
            <w:tcBorders>
              <w:top w:val="nil"/>
              <w:left w:val="nil"/>
              <w:bottom w:val="nil"/>
              <w:right w:val="nil"/>
            </w:tcBorders>
            <w:shd w:val="clear" w:color="auto" w:fill="FFFFFF"/>
            <w:vAlign w:val="center"/>
          </w:tcPr>
          <w:p w14:paraId="230D1834">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452" w:type="pct"/>
            <w:tcBorders>
              <w:top w:val="nil"/>
              <w:left w:val="nil"/>
              <w:bottom w:val="nil"/>
              <w:right w:val="nil"/>
            </w:tcBorders>
            <w:shd w:val="clear" w:color="auto" w:fill="FFFFFF"/>
            <w:vAlign w:val="center"/>
          </w:tcPr>
          <w:p w14:paraId="3E64A362">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98" w:type="pct"/>
            <w:tcBorders>
              <w:top w:val="nil"/>
              <w:left w:val="nil"/>
              <w:bottom w:val="nil"/>
              <w:right w:val="nil"/>
            </w:tcBorders>
            <w:shd w:val="clear" w:color="auto" w:fill="FFFFFF"/>
            <w:vAlign w:val="center"/>
          </w:tcPr>
          <w:p w14:paraId="563FEB88">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595" w:type="pct"/>
            <w:tcBorders>
              <w:top w:val="nil"/>
              <w:left w:val="nil"/>
              <w:bottom w:val="nil"/>
              <w:right w:val="nil"/>
            </w:tcBorders>
            <w:shd w:val="clear" w:color="auto" w:fill="FFFFFF"/>
            <w:vAlign w:val="center"/>
          </w:tcPr>
          <w:p w14:paraId="599F2544">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—（4/6）</w:t>
            </w:r>
          </w:p>
        </w:tc>
        <w:tc>
          <w:tcPr>
            <w:tcW w:w="783" w:type="pct"/>
            <w:gridSpan w:val="2"/>
            <w:tcBorders>
              <w:top w:val="nil"/>
              <w:left w:val="nil"/>
              <w:bottom w:val="nil"/>
              <w:right w:val="nil"/>
            </w:tcBorders>
            <w:shd w:val="clear" w:color="auto" w:fill="FFFFFF"/>
            <w:vAlign w:val="center"/>
          </w:tcPr>
          <w:p w14:paraId="112C8AA0">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conditional</w:t>
            </w:r>
          </w:p>
        </w:tc>
      </w:tr>
      <w:tr w14:paraId="2F81E6F2">
        <w:tblPrEx>
          <w:tblCellMar>
            <w:top w:w="28" w:type="dxa"/>
            <w:left w:w="28" w:type="dxa"/>
            <w:bottom w:w="28" w:type="dxa"/>
            <w:right w:w="28" w:type="dxa"/>
          </w:tblCellMar>
        </w:tblPrEx>
        <w:trPr>
          <w:trHeight w:val="755" w:hRule="atLeast"/>
        </w:trPr>
        <w:tc>
          <w:tcPr>
            <w:tcW w:w="711" w:type="pct"/>
            <w:gridSpan w:val="2"/>
            <w:tcBorders>
              <w:top w:val="nil"/>
              <w:left w:val="nil"/>
              <w:bottom w:val="nil"/>
              <w:right w:val="nil"/>
            </w:tcBorders>
            <w:shd w:val="clear" w:color="auto" w:fill="FFFFFF"/>
            <w:vAlign w:val="center"/>
          </w:tcPr>
          <w:p w14:paraId="09FCA8E0">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5</w:t>
            </w:r>
          </w:p>
        </w:tc>
        <w:tc>
          <w:tcPr>
            <w:tcW w:w="413" w:type="pct"/>
            <w:tcBorders>
              <w:top w:val="nil"/>
              <w:left w:val="nil"/>
              <w:bottom w:val="nil"/>
              <w:right w:val="nil"/>
            </w:tcBorders>
            <w:shd w:val="clear" w:color="auto" w:fill="FFFFFF"/>
            <w:vAlign w:val="center"/>
          </w:tcPr>
          <w:p w14:paraId="76B4E14D">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82.7105</w:t>
            </w:r>
          </w:p>
        </w:tc>
        <w:tc>
          <w:tcPr>
            <w:tcW w:w="452" w:type="pct"/>
            <w:tcBorders>
              <w:top w:val="nil"/>
              <w:left w:val="nil"/>
              <w:bottom w:val="nil"/>
              <w:right w:val="nil"/>
            </w:tcBorders>
            <w:shd w:val="clear" w:color="auto" w:fill="FFFFFF"/>
            <w:vAlign w:val="center"/>
          </w:tcPr>
          <w:p w14:paraId="6B455DCC">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98" w:type="pct"/>
            <w:tcBorders>
              <w:top w:val="nil"/>
              <w:left w:val="nil"/>
              <w:bottom w:val="nil"/>
              <w:right w:val="nil"/>
            </w:tcBorders>
            <w:shd w:val="clear" w:color="auto" w:fill="FFFFFF"/>
            <w:vAlign w:val="center"/>
          </w:tcPr>
          <w:p w14:paraId="44895371">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98" w:type="pct"/>
            <w:tcBorders>
              <w:top w:val="nil"/>
              <w:left w:val="nil"/>
              <w:bottom w:val="nil"/>
              <w:right w:val="nil"/>
            </w:tcBorders>
            <w:shd w:val="clear" w:color="auto" w:fill="FFFFFF"/>
            <w:vAlign w:val="center"/>
          </w:tcPr>
          <w:p w14:paraId="63D6C92D">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398" w:type="pct"/>
            <w:tcBorders>
              <w:top w:val="nil"/>
              <w:left w:val="nil"/>
              <w:bottom w:val="nil"/>
              <w:right w:val="nil"/>
            </w:tcBorders>
            <w:shd w:val="clear" w:color="auto" w:fill="FFFFFF"/>
            <w:vAlign w:val="center"/>
          </w:tcPr>
          <w:p w14:paraId="1ADF381B">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452" w:type="pct"/>
            <w:tcBorders>
              <w:top w:val="nil"/>
              <w:left w:val="nil"/>
              <w:bottom w:val="nil"/>
              <w:right w:val="nil"/>
            </w:tcBorders>
            <w:shd w:val="clear" w:color="auto" w:fill="FFFFFF"/>
            <w:vAlign w:val="center"/>
          </w:tcPr>
          <w:p w14:paraId="0B5EDDB2">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unknown</w:t>
            </w:r>
          </w:p>
        </w:tc>
        <w:tc>
          <w:tcPr>
            <w:tcW w:w="398" w:type="pct"/>
            <w:tcBorders>
              <w:top w:val="nil"/>
              <w:left w:val="nil"/>
              <w:bottom w:val="nil"/>
              <w:right w:val="nil"/>
            </w:tcBorders>
            <w:shd w:val="clear" w:color="auto" w:fill="FFFFFF"/>
            <w:vAlign w:val="center"/>
          </w:tcPr>
          <w:p w14:paraId="2959E98C">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medium</w:t>
            </w:r>
          </w:p>
        </w:tc>
        <w:tc>
          <w:tcPr>
            <w:tcW w:w="595" w:type="pct"/>
            <w:tcBorders>
              <w:top w:val="nil"/>
              <w:left w:val="nil"/>
              <w:bottom w:val="nil"/>
              <w:right w:val="nil"/>
            </w:tcBorders>
            <w:shd w:val="clear" w:color="auto" w:fill="FFFFFF"/>
            <w:vAlign w:val="center"/>
          </w:tcPr>
          <w:p w14:paraId="3D84C97D">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—（4/6）</w:t>
            </w:r>
          </w:p>
        </w:tc>
        <w:tc>
          <w:tcPr>
            <w:tcW w:w="783" w:type="pct"/>
            <w:gridSpan w:val="2"/>
            <w:tcBorders>
              <w:top w:val="nil"/>
              <w:left w:val="nil"/>
              <w:bottom w:val="nil"/>
              <w:right w:val="nil"/>
            </w:tcBorders>
            <w:shd w:val="clear" w:color="auto" w:fill="FFFFFF"/>
            <w:vAlign w:val="center"/>
          </w:tcPr>
          <w:p w14:paraId="121D6A37">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conditional</w:t>
            </w:r>
          </w:p>
        </w:tc>
      </w:tr>
      <w:tr w14:paraId="1DDB2432">
        <w:tblPrEx>
          <w:tblCellMar>
            <w:top w:w="28" w:type="dxa"/>
            <w:left w:w="28" w:type="dxa"/>
            <w:bottom w:w="28" w:type="dxa"/>
            <w:right w:w="28" w:type="dxa"/>
          </w:tblCellMar>
        </w:tblPrEx>
        <w:trPr>
          <w:trHeight w:val="755" w:hRule="atLeast"/>
          <w:tblHeader/>
        </w:trPr>
        <w:tc>
          <w:tcPr>
            <w:tcW w:w="330" w:type="pct"/>
            <w:tcBorders>
              <w:top w:val="nil"/>
              <w:left w:val="nil"/>
              <w:bottom w:val="nil"/>
              <w:right w:val="nil"/>
            </w:tcBorders>
            <w:shd w:val="clear" w:color="auto" w:fill="FFFFFF"/>
            <w:vAlign w:val="center"/>
          </w:tcPr>
          <w:p w14:paraId="4D90FC7B">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排名</w:t>
            </w:r>
          </w:p>
        </w:tc>
        <w:tc>
          <w:tcPr>
            <w:tcW w:w="1643" w:type="pct"/>
            <w:gridSpan w:val="4"/>
            <w:tcBorders>
              <w:top w:val="nil"/>
              <w:left w:val="nil"/>
              <w:bottom w:val="nil"/>
              <w:right w:val="nil"/>
            </w:tcBorders>
            <w:shd w:val="clear" w:color="auto" w:fill="FFFFFF"/>
            <w:vAlign w:val="center"/>
          </w:tcPr>
          <w:p w14:paraId="219348E9">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关键条件差异</w:t>
            </w:r>
          </w:p>
        </w:tc>
        <w:tc>
          <w:tcPr>
            <w:tcW w:w="2312" w:type="pct"/>
            <w:gridSpan w:val="6"/>
            <w:tcBorders>
              <w:top w:val="nil"/>
              <w:left w:val="nil"/>
              <w:bottom w:val="nil"/>
              <w:right w:val="nil"/>
            </w:tcBorders>
            <w:shd w:val="clear" w:color="auto" w:fill="FFFFFF"/>
            <w:vAlign w:val="center"/>
          </w:tcPr>
          <w:p w14:paraId="781810E2">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主要现实因素与核查事项</w:t>
            </w:r>
          </w:p>
        </w:tc>
        <w:tc>
          <w:tcPr>
            <w:tcW w:w="712" w:type="pct"/>
            <w:tcBorders>
              <w:top w:val="nil"/>
              <w:left w:val="nil"/>
              <w:bottom w:val="nil"/>
              <w:right w:val="nil"/>
            </w:tcBorders>
            <w:shd w:val="clear" w:color="auto" w:fill="FFFFFF"/>
            <w:vAlign w:val="center"/>
          </w:tcPr>
          <w:p w14:paraId="2958A1BA">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推荐定位</w:t>
            </w:r>
          </w:p>
        </w:tc>
      </w:tr>
      <w:tr w14:paraId="4FC6FC78">
        <w:tblPrEx>
          <w:tblCellMar>
            <w:top w:w="28" w:type="dxa"/>
            <w:left w:w="28" w:type="dxa"/>
            <w:bottom w:w="28" w:type="dxa"/>
            <w:right w:w="28" w:type="dxa"/>
          </w:tblCellMar>
        </w:tblPrEx>
        <w:trPr>
          <w:trHeight w:val="1174" w:hRule="atLeast"/>
        </w:trPr>
        <w:tc>
          <w:tcPr>
            <w:tcW w:w="330" w:type="pct"/>
            <w:tcBorders>
              <w:top w:val="nil"/>
              <w:left w:val="nil"/>
              <w:bottom w:val="nil"/>
              <w:right w:val="nil"/>
            </w:tcBorders>
            <w:shd w:val="clear" w:color="auto" w:fill="FFFFFF"/>
            <w:vAlign w:val="center"/>
          </w:tcPr>
          <w:p w14:paraId="3FCC15F6">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1</w:t>
            </w:r>
          </w:p>
        </w:tc>
        <w:tc>
          <w:tcPr>
            <w:tcW w:w="1643" w:type="pct"/>
            <w:gridSpan w:val="4"/>
            <w:tcBorders>
              <w:top w:val="nil"/>
              <w:left w:val="nil"/>
              <w:bottom w:val="nil"/>
              <w:right w:val="nil"/>
            </w:tcBorders>
            <w:shd w:val="clear" w:color="auto" w:fill="FFFFFF"/>
            <w:vAlign w:val="center"/>
          </w:tcPr>
          <w:p w14:paraId="6192A0CE">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芳基溴化物；二叔丁基联芳基膦；羧酸酯异噁唑添加剂</w:t>
            </w:r>
          </w:p>
        </w:tc>
        <w:tc>
          <w:tcPr>
            <w:tcW w:w="2312" w:type="pct"/>
            <w:gridSpan w:val="6"/>
            <w:tcBorders>
              <w:top w:val="nil"/>
              <w:left w:val="nil"/>
              <w:bottom w:val="nil"/>
              <w:right w:val="nil"/>
            </w:tcBorders>
            <w:shd w:val="clear" w:color="auto" w:fill="FFFFFF"/>
            <w:vAlign w:val="center"/>
          </w:tcPr>
          <w:p w14:paraId="0CB7DE3C">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tBuXPhos 目录列出 1 g USD 68.70；MTBD 有目录库存并由 SDS 证实腐蚀性</w:t>
            </w:r>
          </w:p>
        </w:tc>
        <w:tc>
          <w:tcPr>
            <w:tcW w:w="712" w:type="pct"/>
            <w:tcBorders>
              <w:top w:val="nil"/>
              <w:left w:val="nil"/>
              <w:bottom w:val="nil"/>
              <w:right w:val="nil"/>
            </w:tcBorders>
            <w:shd w:val="clear" w:color="auto" w:fill="FFFFFF"/>
            <w:vAlign w:val="center"/>
          </w:tcPr>
          <w:p w14:paraId="03099A7C">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最终推荐，条件性执行</w:t>
            </w:r>
          </w:p>
        </w:tc>
      </w:tr>
      <w:tr w14:paraId="0B0D989E">
        <w:tblPrEx>
          <w:tblCellMar>
            <w:top w:w="28" w:type="dxa"/>
            <w:left w:w="28" w:type="dxa"/>
            <w:bottom w:w="28" w:type="dxa"/>
            <w:right w:w="28" w:type="dxa"/>
          </w:tblCellMar>
        </w:tblPrEx>
        <w:trPr>
          <w:trHeight w:val="755" w:hRule="atLeast"/>
        </w:trPr>
        <w:tc>
          <w:tcPr>
            <w:tcW w:w="330" w:type="pct"/>
            <w:tcBorders>
              <w:top w:val="nil"/>
              <w:left w:val="nil"/>
              <w:bottom w:val="nil"/>
              <w:right w:val="nil"/>
            </w:tcBorders>
            <w:shd w:val="clear" w:color="auto" w:fill="FFFFFF"/>
            <w:vAlign w:val="center"/>
          </w:tcPr>
          <w:p w14:paraId="2D857C42">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2</w:t>
            </w:r>
          </w:p>
        </w:tc>
        <w:tc>
          <w:tcPr>
            <w:tcW w:w="1643" w:type="pct"/>
            <w:gridSpan w:val="4"/>
            <w:tcBorders>
              <w:top w:val="nil"/>
              <w:left w:val="nil"/>
              <w:bottom w:val="nil"/>
              <w:right w:val="nil"/>
            </w:tcBorders>
            <w:shd w:val="clear" w:color="auto" w:fill="FFFFFF"/>
            <w:vAlign w:val="center"/>
          </w:tcPr>
          <w:p w14:paraId="4ADE4B0D">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芳基碘化物；双金刚烷基膦</w:t>
            </w:r>
          </w:p>
        </w:tc>
        <w:tc>
          <w:tcPr>
            <w:tcW w:w="2312" w:type="pct"/>
            <w:gridSpan w:val="6"/>
            <w:tcBorders>
              <w:top w:val="nil"/>
              <w:left w:val="nil"/>
              <w:bottom w:val="nil"/>
              <w:right w:val="nil"/>
            </w:tcBorders>
            <w:shd w:val="clear" w:color="auto" w:fill="FFFFFF"/>
            <w:vAlign w:val="center"/>
          </w:tcPr>
          <w:p w14:paraId="00EE51B4">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AdBrettPhos 目录列出 1 g USD 986，显著高于本次其余已核验配体</w:t>
            </w:r>
          </w:p>
        </w:tc>
        <w:tc>
          <w:tcPr>
            <w:tcW w:w="712" w:type="pct"/>
            <w:tcBorders>
              <w:top w:val="nil"/>
              <w:left w:val="nil"/>
              <w:bottom w:val="nil"/>
              <w:right w:val="nil"/>
            </w:tcBorders>
            <w:shd w:val="clear" w:color="auto" w:fill="FFFFFF"/>
            <w:vAlign w:val="center"/>
          </w:tcPr>
          <w:p w14:paraId="69FC41C6">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采购可得性待核查</w:t>
            </w:r>
          </w:p>
        </w:tc>
      </w:tr>
      <w:tr w14:paraId="420E7282">
        <w:tblPrEx>
          <w:tblCellMar>
            <w:top w:w="28" w:type="dxa"/>
            <w:left w:w="28" w:type="dxa"/>
            <w:bottom w:w="28" w:type="dxa"/>
            <w:right w:w="28" w:type="dxa"/>
          </w:tblCellMar>
        </w:tblPrEx>
        <w:trPr>
          <w:trHeight w:val="755" w:hRule="atLeast"/>
        </w:trPr>
        <w:tc>
          <w:tcPr>
            <w:tcW w:w="330" w:type="pct"/>
            <w:tcBorders>
              <w:top w:val="nil"/>
              <w:left w:val="nil"/>
              <w:bottom w:val="nil"/>
              <w:right w:val="nil"/>
            </w:tcBorders>
            <w:shd w:val="clear" w:color="auto" w:fill="FFFFFF"/>
            <w:vAlign w:val="center"/>
          </w:tcPr>
          <w:p w14:paraId="4DAEA938">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3</w:t>
            </w:r>
          </w:p>
        </w:tc>
        <w:tc>
          <w:tcPr>
            <w:tcW w:w="1643" w:type="pct"/>
            <w:gridSpan w:val="4"/>
            <w:tcBorders>
              <w:top w:val="nil"/>
              <w:left w:val="nil"/>
              <w:bottom w:val="nil"/>
              <w:right w:val="nil"/>
            </w:tcBorders>
            <w:shd w:val="clear" w:color="auto" w:fill="FFFFFF"/>
            <w:vAlign w:val="center"/>
          </w:tcPr>
          <w:p w14:paraId="7D94C5E9">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芳基碘化物；与排名 1 相同的二叔丁基联芳基膦</w:t>
            </w:r>
          </w:p>
        </w:tc>
        <w:tc>
          <w:tcPr>
            <w:tcW w:w="2312" w:type="pct"/>
            <w:gridSpan w:val="6"/>
            <w:tcBorders>
              <w:top w:val="nil"/>
              <w:left w:val="nil"/>
              <w:bottom w:val="nil"/>
              <w:right w:val="nil"/>
            </w:tcBorders>
            <w:shd w:val="clear" w:color="auto" w:fill="FFFFFF"/>
            <w:vAlign w:val="center"/>
          </w:tcPr>
          <w:p w14:paraId="09ACF6B1">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与排名 1 使用同一 tBuXPhos 与 MTBD；主要差异是芳基碘化物</w:t>
            </w:r>
          </w:p>
        </w:tc>
        <w:tc>
          <w:tcPr>
            <w:tcW w:w="712" w:type="pct"/>
            <w:tcBorders>
              <w:top w:val="nil"/>
              <w:left w:val="nil"/>
              <w:bottom w:val="nil"/>
              <w:right w:val="nil"/>
            </w:tcBorders>
            <w:shd w:val="clear" w:color="auto" w:fill="FFFFFF"/>
            <w:vAlign w:val="center"/>
          </w:tcPr>
          <w:p w14:paraId="3D8E05FE">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排名 1 的备选</w:t>
            </w:r>
          </w:p>
        </w:tc>
      </w:tr>
      <w:tr w14:paraId="084A4278">
        <w:tblPrEx>
          <w:tblCellMar>
            <w:top w:w="28" w:type="dxa"/>
            <w:left w:w="28" w:type="dxa"/>
            <w:bottom w:w="28" w:type="dxa"/>
            <w:right w:w="28" w:type="dxa"/>
          </w:tblCellMar>
        </w:tblPrEx>
        <w:trPr>
          <w:trHeight w:val="755" w:hRule="atLeast"/>
        </w:trPr>
        <w:tc>
          <w:tcPr>
            <w:tcW w:w="330" w:type="pct"/>
            <w:tcBorders>
              <w:top w:val="nil"/>
              <w:left w:val="nil"/>
              <w:bottom w:val="nil"/>
              <w:right w:val="nil"/>
            </w:tcBorders>
            <w:shd w:val="clear" w:color="auto" w:fill="FFFFFF"/>
            <w:vAlign w:val="center"/>
          </w:tcPr>
          <w:p w14:paraId="1E26003B">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4</w:t>
            </w:r>
          </w:p>
        </w:tc>
        <w:tc>
          <w:tcPr>
            <w:tcW w:w="1643" w:type="pct"/>
            <w:gridSpan w:val="4"/>
            <w:tcBorders>
              <w:top w:val="nil"/>
              <w:left w:val="nil"/>
              <w:bottom w:val="nil"/>
              <w:right w:val="nil"/>
            </w:tcBorders>
            <w:shd w:val="clear" w:color="auto" w:fill="FFFFFF"/>
            <w:vAlign w:val="center"/>
          </w:tcPr>
          <w:p w14:paraId="24BACBD3">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二甲氧基二叔丁基联芳基膦；4-苯基异噁唑</w:t>
            </w:r>
          </w:p>
        </w:tc>
        <w:tc>
          <w:tcPr>
            <w:tcW w:w="2312" w:type="pct"/>
            <w:gridSpan w:val="6"/>
            <w:tcBorders>
              <w:top w:val="nil"/>
              <w:left w:val="nil"/>
              <w:bottom w:val="nil"/>
              <w:right w:val="nil"/>
            </w:tcBorders>
            <w:shd w:val="clear" w:color="auto" w:fill="FFFFFF"/>
            <w:vAlign w:val="center"/>
          </w:tcPr>
          <w:p w14:paraId="5768CCF6">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tBuBrettPhos 目录列出 1 g USD 323；MTBD 仍需腐蚀性控制</w:t>
            </w:r>
          </w:p>
        </w:tc>
        <w:tc>
          <w:tcPr>
            <w:tcW w:w="712" w:type="pct"/>
            <w:tcBorders>
              <w:top w:val="nil"/>
              <w:left w:val="nil"/>
              <w:bottom w:val="nil"/>
              <w:right w:val="nil"/>
            </w:tcBorders>
            <w:shd w:val="clear" w:color="auto" w:fill="FFFFFF"/>
            <w:vAlign w:val="center"/>
          </w:tcPr>
          <w:p w14:paraId="62844185">
            <w:pPr>
              <w:pStyle w:val="23"/>
              <w:bidi w:val="0"/>
              <w:spacing w:before="0" w:after="283"/>
              <w:ind w:left="0" w:right="0" w:firstLine="0"/>
              <w:jc w:val="center"/>
              <w:rPr>
                <w:rFonts w:ascii="Times New Roman" w:hAnsi="Times New Roman" w:eastAsia="宋体"/>
                <w:b w:val="0"/>
                <w:color w:val="000000"/>
                <w:sz w:val="24"/>
              </w:rPr>
            </w:pPr>
            <w:r>
              <w:rPr>
                <w:rFonts w:ascii="Times New Roman" w:hAnsi="Times New Roman" w:eastAsia="宋体"/>
                <w:b w:val="0"/>
                <w:color w:val="000000"/>
                <w:sz w:val="24"/>
              </w:rPr>
              <w:t>仅用于条件确认</w:t>
            </w:r>
          </w:p>
        </w:tc>
      </w:tr>
      <w:tr w14:paraId="7D05DEA1">
        <w:tblPrEx>
          <w:tblCellMar>
            <w:top w:w="28" w:type="dxa"/>
            <w:left w:w="28" w:type="dxa"/>
            <w:bottom w:w="28" w:type="dxa"/>
            <w:right w:w="28" w:type="dxa"/>
          </w:tblCellMar>
        </w:tblPrEx>
        <w:trPr>
          <w:trHeight w:val="785" w:hRule="atLeast"/>
        </w:trPr>
        <w:tc>
          <w:tcPr>
            <w:tcW w:w="330" w:type="pct"/>
            <w:tcBorders>
              <w:top w:val="nil"/>
              <w:left w:val="nil"/>
              <w:bottom w:val="single" w:color="000000" w:sz="12" w:space="0"/>
              <w:right w:val="nil"/>
            </w:tcBorders>
            <w:shd w:val="clear" w:color="auto" w:fill="FFFFFF"/>
            <w:vAlign w:val="center"/>
          </w:tcPr>
          <w:p w14:paraId="4F246D29">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5</w:t>
            </w:r>
          </w:p>
        </w:tc>
        <w:tc>
          <w:tcPr>
            <w:tcW w:w="1643" w:type="pct"/>
            <w:gridSpan w:val="4"/>
            <w:tcBorders>
              <w:top w:val="nil"/>
              <w:left w:val="nil"/>
              <w:bottom w:val="single" w:color="000000" w:sz="12" w:space="0"/>
              <w:right w:val="nil"/>
            </w:tcBorders>
            <w:shd w:val="clear" w:color="auto" w:fill="FFFFFF"/>
            <w:vAlign w:val="center"/>
          </w:tcPr>
          <w:p w14:paraId="75A03CEA">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与排名 4 相同配体；羧酸酯异噁唑添加剂</w:t>
            </w:r>
          </w:p>
        </w:tc>
        <w:tc>
          <w:tcPr>
            <w:tcW w:w="2312" w:type="pct"/>
            <w:gridSpan w:val="6"/>
            <w:tcBorders>
              <w:top w:val="nil"/>
              <w:left w:val="nil"/>
              <w:bottom w:val="single" w:color="000000" w:sz="12" w:space="0"/>
              <w:right w:val="nil"/>
            </w:tcBorders>
            <w:shd w:val="clear" w:color="auto" w:fill="FFFFFF"/>
            <w:vAlign w:val="center"/>
          </w:tcPr>
          <w:p w14:paraId="2670CA82">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配体与排名 4 相同；添加剂与排名 1–3 相同</w:t>
            </w:r>
          </w:p>
        </w:tc>
        <w:tc>
          <w:tcPr>
            <w:tcW w:w="712" w:type="pct"/>
            <w:tcBorders>
              <w:top w:val="nil"/>
              <w:left w:val="nil"/>
              <w:bottom w:val="single" w:color="000000" w:sz="12" w:space="0"/>
              <w:right w:val="nil"/>
            </w:tcBorders>
            <w:shd w:val="clear" w:color="auto" w:fill="FFFFFF"/>
            <w:vAlign w:val="center"/>
          </w:tcPr>
          <w:p w14:paraId="32BEFED9">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低优先级备选</w:t>
            </w:r>
          </w:p>
        </w:tc>
      </w:tr>
    </w:tbl>
    <w:p w14:paraId="058229D9">
      <w:pPr>
        <w:pStyle w:val="4"/>
        <w:bidi w:val="0"/>
        <w:jc w:val="left"/>
        <w:rPr>
          <w:rFonts w:ascii="Times New Roman" w:hAnsi="Times New Roman" w:eastAsia="宋体"/>
          <w:sz w:val="24"/>
        </w:rPr>
      </w:pPr>
      <w:r>
        <w:rPr>
          <w:rFonts w:ascii="Times New Roman" w:hAnsi="Times New Roman" w:eastAsia="宋体"/>
          <w:sz w:val="24"/>
        </w:rPr>
        <w:t xml:space="preserve">五条条件均使用同一强有机碱，并依赖专用膦配体和含金属催化体系。采购难度使用供应商 目录证据，初步危险性使用 MTBD SDS；操作复杂度和废物处置负担为低置信度 </w:t>
      </w:r>
      <w:r>
        <w:rPr>
          <w:rStyle w:val="19"/>
          <w:rFonts w:ascii="Times New Roman" w:hAnsi="Times New Roman" w:eastAsia="宋体"/>
          <w:sz w:val="24"/>
        </w:rPr>
        <w:t>llm_inference</w:t>
      </w:r>
      <w:r>
        <w:rPr>
          <w:rFonts w:ascii="Times New Roman" w:hAnsi="Times New Roman" w:eastAsia="宋体"/>
          <w:sz w:val="24"/>
        </w:rPr>
        <w:t xml:space="preserve">。目标规模、地点和放大证据未提供，因此预算和放大风险为 </w:t>
      </w:r>
      <w:r>
        <w:rPr>
          <w:rStyle w:val="19"/>
          <w:rFonts w:ascii="Times New Roman" w:hAnsi="Times New Roman" w:eastAsia="宋体"/>
          <w:sz w:val="24"/>
        </w:rPr>
        <w:t>unknown</w:t>
      </w:r>
      <w:r>
        <w:rPr>
          <w:rFonts w:ascii="Times New Roman" w:hAnsi="Times New Roman" w:eastAsia="宋体"/>
          <w:sz w:val="24"/>
        </w:rPr>
        <w:t xml:space="preserve">， 五条均为 </w:t>
      </w:r>
      <w:r>
        <w:rPr>
          <w:rStyle w:val="19"/>
          <w:rFonts w:ascii="Times New Roman" w:hAnsi="Times New Roman" w:eastAsia="宋体"/>
          <w:sz w:val="24"/>
        </w:rPr>
        <w:t>conditional</w:t>
      </w:r>
      <w:r>
        <w:rPr>
          <w:rFonts w:ascii="Times New Roman" w:hAnsi="Times New Roman" w:eastAsia="宋体"/>
          <w:sz w:val="24"/>
        </w:rPr>
        <w:t>，不能视为已批准工艺。</w:t>
      </w:r>
    </w:p>
    <w:p w14:paraId="7AF63E34">
      <w:pPr>
        <w:pStyle w:val="4"/>
        <w:bidi w:val="0"/>
        <w:jc w:val="left"/>
        <w:rPr>
          <w:rFonts w:ascii="Times New Roman" w:hAnsi="Times New Roman" w:eastAsia="宋体"/>
          <w:sz w:val="24"/>
        </w:rPr>
      </w:pPr>
      <w:r>
        <w:rPr>
          <w:rFonts w:ascii="Times New Roman" w:hAnsi="Times New Roman" w:eastAsia="宋体"/>
          <w:sz w:val="24"/>
        </w:rPr>
        <w:t>Buchwald_sub4 的</w:t>
      </w:r>
      <w:r>
        <w:rPr>
          <w:rStyle w:val="15"/>
          <w:rFonts w:ascii="Times New Roman" w:hAnsi="Times New Roman" w:eastAsia="宋体"/>
          <w:sz w:val="24"/>
        </w:rPr>
        <w:t>最终推荐反应条件</w:t>
      </w:r>
      <w:r>
        <w:rPr>
          <w:rFonts w:ascii="Times New Roman" w:hAnsi="Times New Roman" w:eastAsia="宋体"/>
          <w:sz w:val="24"/>
        </w:rPr>
        <w:t xml:space="preserve">选择 </w:t>
      </w:r>
      <w:r>
        <w:rPr>
          <w:rStyle w:val="19"/>
          <w:rFonts w:ascii="Times New Roman" w:hAnsi="Times New Roman" w:eastAsia="宋体"/>
          <w:sz w:val="24"/>
        </w:rPr>
        <w:t>selected_optimizer_rank=1</w:t>
      </w:r>
      <w:r>
        <w:rPr>
          <w:rFonts w:ascii="Times New Roman" w:hAnsi="Times New Roman" w:eastAsia="宋体"/>
          <w:sz w:val="24"/>
        </w:rPr>
        <w:t>：</w:t>
      </w:r>
    </w:p>
    <w:p w14:paraId="285802B9">
      <w:pPr>
        <w:pStyle w:val="4"/>
        <w:numPr>
          <w:ilvl w:val="0"/>
          <w:numId w:val="6"/>
        </w:numPr>
        <w:bidi w:val="0"/>
        <w:spacing w:before="0" w:after="0"/>
        <w:ind w:left="709" w:hanging="283"/>
        <w:jc w:val="left"/>
        <w:rPr>
          <w:rFonts w:ascii="Times New Roman" w:hAnsi="Times New Roman" w:eastAsia="宋体"/>
          <w:sz w:val="24"/>
        </w:rPr>
      </w:pPr>
      <w:r>
        <w:rPr>
          <w:rFonts w:ascii="Times New Roman" w:hAnsi="Times New Roman" w:eastAsia="宋体"/>
          <w:sz w:val="24"/>
        </w:rPr>
        <w:t xml:space="preserve">Reactant2：1-bromo-4-ethylbenzene； </w:t>
      </w:r>
    </w:p>
    <w:p w14:paraId="7B21DDC0">
      <w:pPr>
        <w:pStyle w:val="4"/>
        <w:numPr>
          <w:ilvl w:val="0"/>
          <w:numId w:val="6"/>
        </w:numPr>
        <w:bidi w:val="0"/>
        <w:spacing w:before="0" w:after="0"/>
        <w:ind w:left="709" w:hanging="283"/>
        <w:jc w:val="left"/>
        <w:rPr>
          <w:rFonts w:ascii="Times New Roman" w:hAnsi="Times New Roman" w:eastAsia="宋体"/>
          <w:sz w:val="24"/>
        </w:rPr>
      </w:pPr>
      <w:r>
        <w:rPr>
          <w:rFonts w:ascii="Times New Roman" w:hAnsi="Times New Roman" w:eastAsia="宋体"/>
          <w:sz w:val="24"/>
        </w:rPr>
        <w:t xml:space="preserve">Ligand：ditert-butyl-[2-[2,4,6-tri(propan-2-yl)phenyl]phenyl]phosphane； </w:t>
      </w:r>
    </w:p>
    <w:p w14:paraId="67F3172B">
      <w:pPr>
        <w:pStyle w:val="4"/>
        <w:numPr>
          <w:ilvl w:val="0"/>
          <w:numId w:val="6"/>
        </w:numPr>
        <w:bidi w:val="0"/>
        <w:spacing w:before="0" w:after="0"/>
        <w:ind w:left="709" w:hanging="283"/>
        <w:jc w:val="left"/>
        <w:rPr>
          <w:rFonts w:ascii="Times New Roman" w:hAnsi="Times New Roman" w:eastAsia="宋体"/>
          <w:sz w:val="24"/>
        </w:rPr>
      </w:pPr>
      <w:r>
        <w:rPr>
          <w:rFonts w:ascii="Times New Roman" w:hAnsi="Times New Roman" w:eastAsia="宋体"/>
          <w:sz w:val="24"/>
        </w:rPr>
        <w:t xml:space="preserve">Additive：ethyl 3-methyl-1,2-oxazole-5-carboxylate； </w:t>
      </w:r>
    </w:p>
    <w:p w14:paraId="77348F58">
      <w:pPr>
        <w:pStyle w:val="4"/>
        <w:numPr>
          <w:ilvl w:val="0"/>
          <w:numId w:val="6"/>
        </w:numPr>
        <w:bidi w:val="0"/>
        <w:spacing w:before="0" w:after="0"/>
        <w:ind w:left="709" w:hanging="283"/>
        <w:jc w:val="left"/>
        <w:rPr>
          <w:rFonts w:ascii="Times New Roman" w:hAnsi="Times New Roman" w:eastAsia="宋体"/>
          <w:sz w:val="24"/>
        </w:rPr>
      </w:pPr>
      <w:r>
        <w:rPr>
          <w:rFonts w:ascii="Times New Roman" w:hAnsi="Times New Roman" w:eastAsia="宋体"/>
          <w:sz w:val="24"/>
        </w:rPr>
        <w:t xml:space="preserve">Base：1-methyl-2,3,4,6,7,8-hexahydropyrimido[1,2-a]pyrimidine； </w:t>
      </w:r>
    </w:p>
    <w:p w14:paraId="2C15DE22">
      <w:pPr>
        <w:pStyle w:val="4"/>
        <w:numPr>
          <w:ilvl w:val="0"/>
          <w:numId w:val="6"/>
        </w:numPr>
        <w:bidi w:val="0"/>
        <w:ind w:left="709" w:hanging="283"/>
        <w:jc w:val="left"/>
        <w:rPr>
          <w:rFonts w:ascii="Times New Roman" w:hAnsi="Times New Roman" w:eastAsia="宋体"/>
          <w:sz w:val="24"/>
        </w:rPr>
      </w:pPr>
      <w:r>
        <w:rPr>
          <w:rFonts w:ascii="Times New Roman" w:hAnsi="Times New Roman" w:eastAsia="宋体"/>
          <w:sz w:val="24"/>
        </w:rPr>
        <w:t xml:space="preserve">Product：N-(4-ethylphenyl)-4-methylaniline。 </w:t>
      </w:r>
    </w:p>
    <w:p w14:paraId="2767F88B">
      <w:pPr>
        <w:pStyle w:val="4"/>
        <w:bidi w:val="0"/>
        <w:jc w:val="left"/>
        <w:rPr>
          <w:rFonts w:ascii="Times New Roman" w:hAnsi="Times New Roman" w:eastAsia="宋体"/>
          <w:sz w:val="24"/>
        </w:rPr>
      </w:pPr>
      <w:r>
        <w:rPr>
          <w:rFonts w:ascii="Times New Roman" w:hAnsi="Times New Roman" w:eastAsia="宋体"/>
          <w:sz w:val="24"/>
        </w:rPr>
        <w:t>五条条件的现实可行性差异不足以支持牺牲数值表现，因此保留排名 1 作为询价和安全 复核的首选，排名 3 为备选。实验前须确认配体、添加剂、有机碱和芳基溴化物的报价、 库存与交期，逐一核对 SDS/GHS，完成小试放热、加料、惰性操作和废物处置审查。</w:t>
      </w:r>
    </w:p>
    <w:p w14:paraId="4B236324">
      <w:pPr>
        <w:pStyle w:val="4"/>
        <w:bidi w:val="0"/>
        <w:jc w:val="left"/>
        <w:rPr>
          <w:rFonts w:ascii="Times New Roman" w:hAnsi="Times New Roman" w:eastAsia="宋体"/>
          <w:sz w:val="24"/>
        </w:rPr>
      </w:pPr>
      <w:r>
        <w:rPr>
          <w:rFonts w:ascii="Times New Roman" w:hAnsi="Times New Roman" w:eastAsia="宋体"/>
          <w:sz w:val="24"/>
        </w:rPr>
        <w:t xml:space="preserve">本次目录价格、库存和 SDS 只支持相应产品、地区与检索日期；没有直接证据的维度使用 </w:t>
      </w:r>
      <w:r>
        <w:rPr>
          <w:rStyle w:val="19"/>
          <w:rFonts w:ascii="Times New Roman" w:hAnsi="Times New Roman" w:eastAsia="宋体"/>
          <w:sz w:val="24"/>
        </w:rPr>
        <w:t>llm_inference</w:t>
      </w:r>
      <w:r>
        <w:rPr>
          <w:rFonts w:ascii="Times New Roman" w:hAnsi="Times New Roman" w:eastAsia="宋体"/>
          <w:sz w:val="24"/>
        </w:rPr>
        <w:t xml:space="preserve"> 或 </w:t>
      </w:r>
      <w:r>
        <w:rPr>
          <w:rStyle w:val="19"/>
          <w:rFonts w:ascii="Times New Roman" w:hAnsi="Times New Roman" w:eastAsia="宋体"/>
          <w:sz w:val="24"/>
        </w:rPr>
        <w:t>unknown</w:t>
      </w:r>
      <w:r>
        <w:rPr>
          <w:rFonts w:ascii="Times New Roman" w:hAnsi="Times New Roman" w:eastAsia="宋体"/>
          <w:sz w:val="24"/>
        </w:rPr>
        <w:t>。执行前必须获取目标规模的中国地区正式报价和交期，核对 全部物质最新 SDS，确认温度、浓度、加料、淬灭和废物处置 SOP，并取得 EHS 批准。 上述数值结果、外部证据、智能体评估和推荐均已合并在本报告中；同名 JSON 保存 机器可读的轨迹审计、证据标记、六维评估和最终推荐。</w:t>
      </w:r>
    </w:p>
    <w:p w14:paraId="66F3CF52">
      <w:pPr>
        <w:pStyle w:val="5"/>
        <w:bidi w:val="0"/>
        <w:jc w:val="left"/>
        <w:rPr>
          <w:rFonts w:ascii="Times New Roman" w:hAnsi="Times New Roman" w:eastAsia="宋体"/>
          <w:sz w:val="24"/>
        </w:rPr>
      </w:pPr>
      <w:r>
        <w:rPr>
          <w:rFonts w:ascii="Times New Roman" w:hAnsi="Times New Roman" w:eastAsia="宋体"/>
          <w:sz w:val="24"/>
        </w:rPr>
        <w:t>10. 外部证据与智能体复核</w:t>
      </w:r>
    </w:p>
    <w:p w14:paraId="3C1E5E06">
      <w:pPr>
        <w:pStyle w:val="4"/>
        <w:bidi w:val="0"/>
        <w:jc w:val="left"/>
        <w:rPr>
          <w:rFonts w:ascii="Times New Roman" w:hAnsi="Times New Roman" w:eastAsia="宋体"/>
          <w:sz w:val="24"/>
        </w:rPr>
      </w:pPr>
      <w:r>
        <w:rPr>
          <w:rFonts w:ascii="Times New Roman" w:hAnsi="Times New Roman" w:eastAsia="宋体"/>
          <w:sz w:val="24"/>
        </w:rPr>
        <w:t xml:space="preserve">本次数据库复核在数值轨迹和已查询 Top-5 冻结后执行，使用 Open Science 2.0.23 调用 DeepSeek V4 Flash。科学数据库用于检索反应背景和机理文献；供应商目录与 SDS 用于核验其直接支持的采购和初步危险性主张。完整调用状态保存在 </w:t>
      </w:r>
      <w:r>
        <w:rPr>
          <w:rStyle w:val="19"/>
          <w:rFonts w:ascii="Times New Roman" w:hAnsi="Times New Roman" w:eastAsia="宋体"/>
          <w:sz w:val="24"/>
        </w:rPr>
        <w:t>results/deepseek_database_enhanced_review.json</w:t>
      </w:r>
      <w:r>
        <w:rPr>
          <w:rFonts w:ascii="Times New Roman" w:hAnsi="Times New Roman" w:eastAsia="宋体"/>
          <w:sz w:val="24"/>
        </w:rPr>
        <w:t>。</w:t>
      </w:r>
    </w:p>
    <w:tbl>
      <w:tblPr>
        <w:tblStyle w:val="12"/>
        <w:tblW w:w="5130" w:type="pct"/>
        <w:tblInd w:w="0" w:type="dxa"/>
        <w:tblLayout w:type="autofit"/>
        <w:tblCellMar>
          <w:top w:w="28" w:type="dxa"/>
          <w:left w:w="28" w:type="dxa"/>
          <w:bottom w:w="28" w:type="dxa"/>
          <w:right w:w="28" w:type="dxa"/>
        </w:tblCellMar>
      </w:tblPr>
      <w:tblGrid>
        <w:gridCol w:w="3467"/>
        <w:gridCol w:w="3955"/>
        <w:gridCol w:w="2873"/>
      </w:tblGrid>
      <w:tr w14:paraId="75AA3888">
        <w:tblPrEx>
          <w:tblCellMar>
            <w:top w:w="28" w:type="dxa"/>
            <w:left w:w="28" w:type="dxa"/>
            <w:bottom w:w="28" w:type="dxa"/>
            <w:right w:w="28" w:type="dxa"/>
          </w:tblCellMar>
        </w:tblPrEx>
        <w:trPr>
          <w:trHeight w:val="762" w:hRule="atLeast"/>
          <w:tblHeader/>
        </w:trPr>
        <w:tc>
          <w:tcPr>
            <w:tcW w:w="1683" w:type="pct"/>
            <w:tcBorders>
              <w:top w:val="single" w:color="000000" w:sz="12" w:space="0"/>
              <w:left w:val="nil"/>
              <w:bottom w:val="single" w:color="000000" w:sz="4" w:space="0"/>
              <w:right w:val="nil"/>
              <w:tl2br w:val="nil"/>
            </w:tcBorders>
            <w:shd w:val="clear" w:color="auto" w:fill="FFFFFF"/>
            <w:vAlign w:val="center"/>
          </w:tcPr>
          <w:p w14:paraId="6C5DC6AC">
            <w:pPr>
              <w:pStyle w:val="23"/>
              <w:bidi w:val="0"/>
              <w:spacing w:before="0" w:after="283"/>
              <w:ind w:left="0" w:right="0" w:firstLine="0"/>
              <w:jc w:val="center"/>
              <w:rPr>
                <w:rFonts w:ascii="Times New Roman" w:hAnsi="Times New Roman" w:eastAsia="宋体"/>
                <w:b w:val="0"/>
                <w:color w:val="000000"/>
                <w:sz w:val="24"/>
                <w:lang w:val="en-US" w:eastAsia="zh-CN"/>
              </w:rPr>
            </w:pPr>
            <w:r>
              <w:rPr>
                <w:rFonts w:ascii="Times New Roman" w:hAnsi="Times New Roman" w:eastAsia="宋体"/>
                <w:b w:val="0"/>
                <w:color w:val="000000"/>
                <w:sz w:val="24"/>
                <w:lang w:val="en-US" w:eastAsia="zh-CN"/>
              </w:rPr>
              <w:t>来源</w:t>
            </w:r>
          </w:p>
        </w:tc>
        <w:tc>
          <w:tcPr>
            <w:tcW w:w="1920" w:type="pct"/>
            <w:tcBorders>
              <w:top w:val="single" w:color="000000" w:sz="12" w:space="0"/>
              <w:left w:val="nil"/>
              <w:bottom w:val="single" w:color="000000" w:sz="4" w:space="0"/>
              <w:right w:val="nil"/>
            </w:tcBorders>
            <w:shd w:val="clear" w:color="auto" w:fill="FFFFFF"/>
            <w:vAlign w:val="center"/>
          </w:tcPr>
          <w:p w14:paraId="27A681F3">
            <w:pPr>
              <w:pStyle w:val="23"/>
              <w:bidi w:val="0"/>
              <w:spacing w:before="0" w:after="283"/>
              <w:ind w:left="0" w:right="0" w:firstLine="0"/>
              <w:jc w:val="center"/>
              <w:rPr>
                <w:rFonts w:ascii="Times New Roman" w:hAnsi="Times New Roman" w:eastAsia="宋体"/>
                <w:b w:val="0"/>
                <w:color w:val="000000"/>
                <w:sz w:val="24"/>
                <w:lang w:val="en-US" w:eastAsia="zh-CN"/>
              </w:rPr>
            </w:pPr>
            <w:r>
              <w:rPr>
                <w:rFonts w:ascii="Times New Roman" w:hAnsi="Times New Roman" w:eastAsia="宋体"/>
                <w:b w:val="0"/>
                <w:color w:val="000000"/>
                <w:sz w:val="24"/>
                <w:lang w:val="en-US" w:eastAsia="zh-CN"/>
              </w:rPr>
              <w:t>可核验信息</w:t>
            </w:r>
          </w:p>
        </w:tc>
        <w:tc>
          <w:tcPr>
            <w:tcW w:w="1395" w:type="pct"/>
            <w:tcBorders>
              <w:top w:val="single" w:color="000000" w:sz="12" w:space="0"/>
              <w:left w:val="nil"/>
              <w:bottom w:val="single" w:color="000000" w:sz="4" w:space="0"/>
              <w:right w:val="nil"/>
            </w:tcBorders>
            <w:shd w:val="clear" w:color="auto" w:fill="FFFFFF"/>
            <w:vAlign w:val="center"/>
          </w:tcPr>
          <w:p w14:paraId="18F0ECE1">
            <w:pPr>
              <w:pStyle w:val="23"/>
              <w:bidi w:val="0"/>
              <w:spacing w:before="0" w:after="283"/>
              <w:ind w:left="0" w:right="0" w:firstLine="0"/>
              <w:jc w:val="center"/>
              <w:rPr>
                <w:rFonts w:ascii="Times New Roman" w:hAnsi="Times New Roman" w:eastAsia="宋体"/>
                <w:b w:val="0"/>
                <w:color w:val="000000"/>
                <w:sz w:val="24"/>
                <w:lang w:val="en-US" w:eastAsia="zh-CN"/>
              </w:rPr>
            </w:pPr>
            <w:r>
              <w:rPr>
                <w:rFonts w:ascii="Times New Roman" w:hAnsi="Times New Roman" w:eastAsia="宋体"/>
                <w:b w:val="0"/>
                <w:color w:val="000000"/>
                <w:sz w:val="24"/>
                <w:lang w:val="en-US" w:eastAsia="zh-CN"/>
              </w:rPr>
              <w:t>本报告用途</w:t>
            </w:r>
          </w:p>
        </w:tc>
      </w:tr>
      <w:tr w14:paraId="5CBA065F">
        <w:tblPrEx>
          <w:tblCellMar>
            <w:top w:w="28" w:type="dxa"/>
            <w:left w:w="28" w:type="dxa"/>
            <w:bottom w:w="28" w:type="dxa"/>
            <w:right w:w="28" w:type="dxa"/>
          </w:tblCellMar>
        </w:tblPrEx>
        <w:trPr>
          <w:trHeight w:val="742" w:hRule="atLeast"/>
        </w:trPr>
        <w:tc>
          <w:tcPr>
            <w:tcW w:w="1683" w:type="pct"/>
            <w:tcBorders>
              <w:top w:val="single" w:color="000000" w:sz="4" w:space="0"/>
              <w:left w:val="nil"/>
              <w:bottom w:val="nil"/>
              <w:right w:val="nil"/>
            </w:tcBorders>
            <w:shd w:val="clear" w:color="auto" w:fill="FFFFFF"/>
            <w:vAlign w:val="center"/>
          </w:tcPr>
          <w:p w14:paraId="4452C23F">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"https://pubmed.ncbi.nlm.nih.gov/27928513/"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Reizman 等，DOI 10.1039/C6RE00153J</w:t>
            </w:r>
            <w:r>
              <w:rPr>
                <w:rStyle w:val="16"/>
                <w:rFonts w:ascii="Times New Roman" w:hAnsi="Times New Roman" w:eastAsia="宋体"/>
                <w:b w:val="0"/>
                <w:color w:val="000000"/>
                <w:sz w:val="24"/>
              </w:rPr>
              <w:fldChar w:fldCharType="end"/>
            </w:r>
          </w:p>
        </w:tc>
        <w:tc>
          <w:tcPr>
            <w:tcW w:w="1920" w:type="pct"/>
            <w:tcBorders>
              <w:top w:val="single" w:color="000000" w:sz="4" w:space="0"/>
              <w:left w:val="nil"/>
              <w:bottom w:val="nil"/>
              <w:right w:val="nil"/>
            </w:tcBorders>
            <w:shd w:val="clear" w:color="auto" w:fill="FFFFFF"/>
            <w:vAlign w:val="center"/>
          </w:tcPr>
          <w:p w14:paraId="6BC53D53">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Suzuki 自动反馈优化原始论文</w:t>
            </w:r>
          </w:p>
        </w:tc>
        <w:tc>
          <w:tcPr>
            <w:tcW w:w="1395" w:type="pct"/>
            <w:tcBorders>
              <w:top w:val="single" w:color="000000" w:sz="4" w:space="0"/>
              <w:left w:val="nil"/>
              <w:bottom w:val="nil"/>
              <w:right w:val="nil"/>
            </w:tcBorders>
            <w:shd w:val="clear" w:color="auto" w:fill="FFFFFF"/>
            <w:vAlign w:val="center"/>
          </w:tcPr>
          <w:p w14:paraId="6EB45011">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反应与实验背景，不用于排名</w:t>
            </w:r>
          </w:p>
        </w:tc>
      </w:tr>
      <w:tr w14:paraId="3729DDFC">
        <w:tblPrEx>
          <w:tblCellMar>
            <w:top w:w="28" w:type="dxa"/>
            <w:left w:w="28" w:type="dxa"/>
            <w:bottom w:w="28" w:type="dxa"/>
            <w:right w:w="28" w:type="dxa"/>
          </w:tblCellMar>
        </w:tblPrEx>
        <w:trPr>
          <w:trHeight w:val="733" w:hRule="atLeast"/>
        </w:trPr>
        <w:tc>
          <w:tcPr>
            <w:tcW w:w="1683" w:type="pct"/>
            <w:tcBorders>
              <w:top w:val="nil"/>
              <w:left w:val="nil"/>
              <w:bottom w:val="nil"/>
              <w:right w:val="nil"/>
            </w:tcBorders>
            <w:shd w:val="clear" w:color="auto" w:fill="FFFFFF"/>
            <w:vAlign w:val="center"/>
          </w:tcPr>
          <w:p w14:paraId="392F6D4A">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"https://pubmed.ncbi.nlm.nih.gov/29449509/"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Ahneman 等，DOI 10.1126/science.aar5169</w:t>
            </w:r>
            <w:r>
              <w:rPr>
                <w:rStyle w:val="16"/>
                <w:rFonts w:ascii="Times New Roman" w:hAnsi="Times New Roman" w:eastAsia="宋体"/>
                <w:b w:val="0"/>
                <w:color w:val="000000"/>
                <w:sz w:val="24"/>
              </w:rPr>
              <w:fldChar w:fldCharType="end"/>
            </w:r>
          </w:p>
        </w:tc>
        <w:tc>
          <w:tcPr>
            <w:tcW w:w="1920" w:type="pct"/>
            <w:tcBorders>
              <w:top w:val="nil"/>
              <w:left w:val="nil"/>
              <w:bottom w:val="nil"/>
              <w:right w:val="nil"/>
            </w:tcBorders>
            <w:shd w:val="clear" w:color="auto" w:fill="FFFFFF"/>
            <w:vAlign w:val="center"/>
          </w:tcPr>
          <w:p w14:paraId="235A82BF">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Buchwald–Hartwig 高通量实验原始论文</w:t>
            </w:r>
          </w:p>
        </w:tc>
        <w:tc>
          <w:tcPr>
            <w:tcW w:w="1395" w:type="pct"/>
            <w:tcBorders>
              <w:top w:val="nil"/>
              <w:left w:val="nil"/>
              <w:bottom w:val="nil"/>
              <w:right w:val="nil"/>
            </w:tcBorders>
            <w:shd w:val="clear" w:color="auto" w:fill="FFFFFF"/>
            <w:vAlign w:val="center"/>
          </w:tcPr>
          <w:p w14:paraId="16EBB246">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反应与实验背景，不用于排名</w:t>
            </w:r>
          </w:p>
        </w:tc>
      </w:tr>
      <w:tr w14:paraId="4995F8D3">
        <w:tblPrEx>
          <w:tblCellMar>
            <w:top w:w="28" w:type="dxa"/>
            <w:left w:w="28" w:type="dxa"/>
            <w:bottom w:w="28" w:type="dxa"/>
            <w:right w:w="28" w:type="dxa"/>
          </w:tblCellMar>
        </w:tblPrEx>
        <w:trPr>
          <w:trHeight w:val="733" w:hRule="atLeast"/>
        </w:trPr>
        <w:tc>
          <w:tcPr>
            <w:tcW w:w="1683" w:type="pct"/>
            <w:tcBorders>
              <w:top w:val="nil"/>
              <w:left w:val="nil"/>
              <w:bottom w:val="nil"/>
              <w:right w:val="nil"/>
            </w:tcBorders>
            <w:shd w:val="clear" w:color="auto" w:fill="FFFFFF"/>
            <w:vAlign w:val="center"/>
          </w:tcPr>
          <w:p w14:paraId="2A0740BC">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"https://www.tcichemicals.com/OP/en/p/I0931"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TCI 6-iodoquinoline</w:t>
            </w:r>
            <w:r>
              <w:rPr>
                <w:rStyle w:val="16"/>
                <w:rFonts w:ascii="Times New Roman" w:hAnsi="Times New Roman" w:eastAsia="宋体"/>
                <w:b w:val="0"/>
                <w:color w:val="000000"/>
                <w:sz w:val="24"/>
              </w:rPr>
              <w:fldChar w:fldCharType="end"/>
            </w:r>
          </w:p>
        </w:tc>
        <w:tc>
          <w:tcPr>
            <w:tcW w:w="1920" w:type="pct"/>
            <w:tcBorders>
              <w:top w:val="nil"/>
              <w:left w:val="nil"/>
              <w:bottom w:val="nil"/>
              <w:right w:val="nil"/>
            </w:tcBorders>
            <w:shd w:val="clear" w:color="auto" w:fill="FFFFFF"/>
            <w:vAlign w:val="center"/>
          </w:tcPr>
          <w:p w14:paraId="757E72F7">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检索日的包装价格、页面库存与储存条件</w:t>
            </w:r>
          </w:p>
        </w:tc>
        <w:tc>
          <w:tcPr>
            <w:tcW w:w="1395" w:type="pct"/>
            <w:tcBorders>
              <w:top w:val="nil"/>
              <w:left w:val="nil"/>
              <w:bottom w:val="nil"/>
              <w:right w:val="nil"/>
            </w:tcBorders>
            <w:shd w:val="clear" w:color="auto" w:fill="FFFFFF"/>
            <w:vAlign w:val="center"/>
          </w:tcPr>
          <w:p w14:paraId="6154E00B">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Suzuki 采购证据</w:t>
            </w:r>
          </w:p>
        </w:tc>
      </w:tr>
      <w:tr w14:paraId="26536B6F">
        <w:tblPrEx>
          <w:tblCellMar>
            <w:top w:w="28" w:type="dxa"/>
            <w:left w:w="28" w:type="dxa"/>
            <w:bottom w:w="28" w:type="dxa"/>
            <w:right w:w="28" w:type="dxa"/>
          </w:tblCellMar>
        </w:tblPrEx>
        <w:trPr>
          <w:trHeight w:val="733" w:hRule="atLeast"/>
        </w:trPr>
        <w:tc>
          <w:tcPr>
            <w:tcW w:w="1683" w:type="pct"/>
            <w:tcBorders>
              <w:top w:val="nil"/>
              <w:left w:val="nil"/>
              <w:bottom w:val="nil"/>
              <w:right w:val="nil"/>
            </w:tcBorders>
            <w:shd w:val="clear" w:color="auto" w:fill="FFFFFF"/>
            <w:vAlign w:val="center"/>
          </w:tcPr>
          <w:p w14:paraId="2E763B43">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"https://www.vwr.com/us/en/product/43236631/5-methyl-1-oxan-2-yl-4-4455-tetramethyl-132-dioxaborolan-2-yl-1h-indazole-97"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VWR 复杂吲唑硼酸酯</w:t>
            </w:r>
            <w:r>
              <w:rPr>
                <w:rStyle w:val="16"/>
                <w:rFonts w:ascii="Times New Roman" w:hAnsi="Times New Roman" w:eastAsia="宋体"/>
                <w:b w:val="0"/>
                <w:color w:val="000000"/>
                <w:sz w:val="24"/>
              </w:rPr>
              <w:fldChar w:fldCharType="end"/>
            </w:r>
          </w:p>
        </w:tc>
        <w:tc>
          <w:tcPr>
            <w:tcW w:w="1920" w:type="pct"/>
            <w:tcBorders>
              <w:top w:val="nil"/>
              <w:left w:val="nil"/>
              <w:bottom w:val="nil"/>
              <w:right w:val="nil"/>
            </w:tcBorders>
            <w:shd w:val="clear" w:color="auto" w:fill="FFFFFF"/>
            <w:vAlign w:val="center"/>
          </w:tcPr>
          <w:p w14:paraId="679EC8E8">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包装价格、冷链和受限供货信息</w:t>
            </w:r>
          </w:p>
        </w:tc>
        <w:tc>
          <w:tcPr>
            <w:tcW w:w="1395" w:type="pct"/>
            <w:tcBorders>
              <w:top w:val="nil"/>
              <w:left w:val="nil"/>
              <w:bottom w:val="nil"/>
              <w:right w:val="nil"/>
            </w:tcBorders>
            <w:shd w:val="clear" w:color="auto" w:fill="FFFFFF"/>
            <w:vAlign w:val="center"/>
          </w:tcPr>
          <w:p w14:paraId="07AD6B62">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Suzuki 采购证据</w:t>
            </w:r>
          </w:p>
        </w:tc>
      </w:tr>
      <w:tr w14:paraId="71E4187B">
        <w:tblPrEx>
          <w:tblCellMar>
            <w:top w:w="28" w:type="dxa"/>
            <w:left w:w="28" w:type="dxa"/>
            <w:bottom w:w="28" w:type="dxa"/>
            <w:right w:w="28" w:type="dxa"/>
          </w:tblCellMar>
        </w:tblPrEx>
        <w:trPr>
          <w:trHeight w:val="733" w:hRule="atLeast"/>
        </w:trPr>
        <w:tc>
          <w:tcPr>
            <w:tcW w:w="1683" w:type="pct"/>
            <w:tcBorders>
              <w:top w:val="nil"/>
              <w:left w:val="nil"/>
              <w:bottom w:val="nil"/>
              <w:right w:val="nil"/>
            </w:tcBorders>
            <w:shd w:val="clear" w:color="auto" w:fill="FFFFFF"/>
            <w:vAlign w:val="center"/>
          </w:tcPr>
          <w:p w14:paraId="32A648F8">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"https://store.apolloscientific.co.uk/product/5-methyl-1-oxan-2-yl-1h-indazol-4-ylboronic-acid"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Apollo 复杂吲唑硼酸</w:t>
            </w:r>
            <w:r>
              <w:rPr>
                <w:rStyle w:val="16"/>
                <w:rFonts w:ascii="Times New Roman" w:hAnsi="Times New Roman" w:eastAsia="宋体"/>
                <w:b w:val="0"/>
                <w:color w:val="000000"/>
                <w:sz w:val="24"/>
              </w:rPr>
              <w:fldChar w:fldCharType="end"/>
            </w:r>
          </w:p>
        </w:tc>
        <w:tc>
          <w:tcPr>
            <w:tcW w:w="1920" w:type="pct"/>
            <w:tcBorders>
              <w:top w:val="nil"/>
              <w:left w:val="nil"/>
              <w:bottom w:val="nil"/>
              <w:right w:val="nil"/>
            </w:tcBorders>
            <w:shd w:val="clear" w:color="auto" w:fill="FFFFFF"/>
            <w:vAlign w:val="center"/>
          </w:tcPr>
          <w:p w14:paraId="4ADA10B2">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价格、2–3 周交期及区域库存</w:t>
            </w:r>
          </w:p>
        </w:tc>
        <w:tc>
          <w:tcPr>
            <w:tcW w:w="1395" w:type="pct"/>
            <w:tcBorders>
              <w:top w:val="nil"/>
              <w:left w:val="nil"/>
              <w:bottom w:val="nil"/>
              <w:right w:val="nil"/>
            </w:tcBorders>
            <w:shd w:val="clear" w:color="auto" w:fill="FFFFFF"/>
            <w:vAlign w:val="center"/>
          </w:tcPr>
          <w:p w14:paraId="1D8BB1AA">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Suzuki 排名 4 采购证据</w:t>
            </w:r>
          </w:p>
        </w:tc>
      </w:tr>
      <w:tr w14:paraId="776DCD32">
        <w:tblPrEx>
          <w:tblCellMar>
            <w:top w:w="28" w:type="dxa"/>
            <w:left w:w="28" w:type="dxa"/>
            <w:bottom w:w="28" w:type="dxa"/>
            <w:right w:w="28" w:type="dxa"/>
          </w:tblCellMar>
        </w:tblPrEx>
        <w:trPr>
          <w:trHeight w:val="733" w:hRule="atLeast"/>
        </w:trPr>
        <w:tc>
          <w:tcPr>
            <w:tcW w:w="1683" w:type="pct"/>
            <w:tcBorders>
              <w:top w:val="nil"/>
              <w:left w:val="nil"/>
              <w:bottom w:val="nil"/>
              <w:right w:val="nil"/>
            </w:tcBorders>
            <w:shd w:val="clear" w:color="auto" w:fill="FFFFFF"/>
            <w:vAlign w:val="center"/>
          </w:tcPr>
          <w:p w14:paraId="2437D035">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"https://www.sigmaaldrich.com/US/en/product/aldrich/400173"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LiOtBu 目录</w:t>
            </w:r>
            <w:r>
              <w:rPr>
                <w:rStyle w:val="16"/>
                <w:rFonts w:ascii="Times New Roman" w:hAnsi="Times New Roman" w:eastAsia="宋体"/>
                <w:b w:val="0"/>
                <w:color w:val="000000"/>
                <w:sz w:val="24"/>
              </w:rPr>
              <w:fldChar w:fldCharType="end"/>
            </w:r>
            <w:r>
              <w:rPr>
                <w:rFonts w:ascii="Times New Roman" w:hAnsi="Times New Roman" w:eastAsia="宋体"/>
                <w:b w:val="0"/>
                <w:color w:val="000000"/>
                <w:sz w:val="24"/>
              </w:rPr>
              <w:t xml:space="preserve"> / </w:t>
            </w: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"https://www.sigmaaldrich.com/sds/aldrich/400173"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SDS</w:t>
            </w:r>
            <w:r>
              <w:rPr>
                <w:rStyle w:val="16"/>
                <w:rFonts w:ascii="Times New Roman" w:hAnsi="Times New Roman" w:eastAsia="宋体"/>
                <w:b w:val="0"/>
                <w:color w:val="000000"/>
                <w:sz w:val="24"/>
              </w:rPr>
              <w:fldChar w:fldCharType="end"/>
            </w:r>
          </w:p>
        </w:tc>
        <w:tc>
          <w:tcPr>
            <w:tcW w:w="1920" w:type="pct"/>
            <w:tcBorders>
              <w:top w:val="nil"/>
              <w:left w:val="nil"/>
              <w:bottom w:val="nil"/>
              <w:right w:val="nil"/>
            </w:tcBorders>
            <w:shd w:val="clear" w:color="auto" w:fill="FFFFFF"/>
            <w:vAlign w:val="center"/>
          </w:tcPr>
          <w:p w14:paraId="0C173E4C">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价格、库存及 Self-heating Category 1</w:t>
            </w:r>
          </w:p>
        </w:tc>
        <w:tc>
          <w:tcPr>
            <w:tcW w:w="1395" w:type="pct"/>
            <w:tcBorders>
              <w:top w:val="nil"/>
              <w:left w:val="nil"/>
              <w:bottom w:val="nil"/>
              <w:right w:val="nil"/>
            </w:tcBorders>
            <w:shd w:val="clear" w:color="auto" w:fill="FFFFFF"/>
            <w:vAlign w:val="center"/>
          </w:tcPr>
          <w:p w14:paraId="55913F53">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Suzuki 安全门槛</w:t>
            </w:r>
          </w:p>
        </w:tc>
      </w:tr>
      <w:tr w14:paraId="15FA17FF">
        <w:tblPrEx>
          <w:tblCellMar>
            <w:top w:w="28" w:type="dxa"/>
            <w:left w:w="28" w:type="dxa"/>
            <w:bottom w:w="28" w:type="dxa"/>
            <w:right w:w="28" w:type="dxa"/>
          </w:tblCellMar>
        </w:tblPrEx>
        <w:trPr>
          <w:trHeight w:val="733" w:hRule="atLeast"/>
        </w:trPr>
        <w:tc>
          <w:tcPr>
            <w:tcW w:w="1683" w:type="pct"/>
            <w:tcBorders>
              <w:top w:val="nil"/>
              <w:left w:val="nil"/>
              <w:bottom w:val="nil"/>
              <w:right w:val="nil"/>
            </w:tcBorders>
            <w:shd w:val="clear" w:color="auto" w:fill="FFFFFF"/>
            <w:vAlign w:val="center"/>
          </w:tcPr>
          <w:p w14:paraId="27F04A6B">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"https://www.sigmaaldrich.com/US/en/sds/sigald/p5958"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KOH SDS</w:t>
            </w:r>
            <w:r>
              <w:rPr>
                <w:rStyle w:val="16"/>
                <w:rFonts w:ascii="Times New Roman" w:hAnsi="Times New Roman" w:eastAsia="宋体"/>
                <w:b w:val="0"/>
                <w:color w:val="000000"/>
                <w:sz w:val="24"/>
              </w:rPr>
              <w:fldChar w:fldCharType="end"/>
            </w:r>
          </w:p>
        </w:tc>
        <w:tc>
          <w:tcPr>
            <w:tcW w:w="1920" w:type="pct"/>
            <w:tcBorders>
              <w:top w:val="nil"/>
              <w:left w:val="nil"/>
              <w:bottom w:val="nil"/>
              <w:right w:val="nil"/>
            </w:tcBorders>
            <w:shd w:val="clear" w:color="auto" w:fill="FFFFFF"/>
            <w:vAlign w:val="center"/>
          </w:tcPr>
          <w:p w14:paraId="21B01C45">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腐蚀与急性毒性分类</w:t>
            </w:r>
          </w:p>
        </w:tc>
        <w:tc>
          <w:tcPr>
            <w:tcW w:w="1395" w:type="pct"/>
            <w:tcBorders>
              <w:top w:val="nil"/>
              <w:left w:val="nil"/>
              <w:bottom w:val="nil"/>
              <w:right w:val="nil"/>
            </w:tcBorders>
            <w:shd w:val="clear" w:color="auto" w:fill="FFFFFF"/>
            <w:vAlign w:val="center"/>
          </w:tcPr>
          <w:p w14:paraId="5DA3091D">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Suzuki 排名 3 初步危险性</w:t>
            </w:r>
          </w:p>
        </w:tc>
      </w:tr>
      <w:tr w14:paraId="7F30EF17">
        <w:tblPrEx>
          <w:tblCellMar>
            <w:top w:w="28" w:type="dxa"/>
            <w:left w:w="28" w:type="dxa"/>
            <w:bottom w:w="28" w:type="dxa"/>
            <w:right w:w="28" w:type="dxa"/>
          </w:tblCellMar>
        </w:tblPrEx>
        <w:trPr>
          <w:trHeight w:val="733" w:hRule="atLeast"/>
        </w:trPr>
        <w:tc>
          <w:tcPr>
            <w:tcW w:w="1683" w:type="pct"/>
            <w:tcBorders>
              <w:top w:val="nil"/>
              <w:left w:val="nil"/>
              <w:bottom w:val="nil"/>
              <w:right w:val="nil"/>
            </w:tcBorders>
            <w:shd w:val="clear" w:color="auto" w:fill="FFFFFF"/>
            <w:vAlign w:val="center"/>
          </w:tcPr>
          <w:p w14:paraId="4D2A755A">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"https://www.sigmaaldrich.com/US/en/sds/sigald/34851"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乙腈 SDS</w:t>
            </w:r>
            <w:r>
              <w:rPr>
                <w:rStyle w:val="16"/>
                <w:rFonts w:ascii="Times New Roman" w:hAnsi="Times New Roman" w:eastAsia="宋体"/>
                <w:b w:val="0"/>
                <w:color w:val="000000"/>
                <w:sz w:val="24"/>
              </w:rPr>
              <w:fldChar w:fldCharType="end"/>
            </w:r>
            <w:r>
              <w:rPr>
                <w:rFonts w:ascii="Times New Roman" w:hAnsi="Times New Roman" w:eastAsia="宋体"/>
                <w:b w:val="0"/>
                <w:color w:val="000000"/>
                <w:sz w:val="24"/>
              </w:rPr>
              <w:t xml:space="preserve"> / </w:t>
            </w: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"https://www.sigmaaldrich.com/US/en/sds/sial/471283"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三乙胺 SDS</w:t>
            </w:r>
            <w:r>
              <w:rPr>
                <w:rStyle w:val="16"/>
                <w:rFonts w:ascii="Times New Roman" w:hAnsi="Times New Roman" w:eastAsia="宋体"/>
                <w:b w:val="0"/>
                <w:color w:val="000000"/>
                <w:sz w:val="24"/>
              </w:rPr>
              <w:fldChar w:fldCharType="end"/>
            </w:r>
          </w:p>
        </w:tc>
        <w:tc>
          <w:tcPr>
            <w:tcW w:w="1920" w:type="pct"/>
            <w:tcBorders>
              <w:top w:val="nil"/>
              <w:left w:val="nil"/>
              <w:bottom w:val="nil"/>
              <w:right w:val="nil"/>
            </w:tcBorders>
            <w:shd w:val="clear" w:color="auto" w:fill="FFFFFF"/>
            <w:vAlign w:val="center"/>
          </w:tcPr>
          <w:p w14:paraId="35747B97">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易燃、急性毒性与腐蚀性分类</w:t>
            </w:r>
          </w:p>
        </w:tc>
        <w:tc>
          <w:tcPr>
            <w:tcW w:w="1395" w:type="pct"/>
            <w:tcBorders>
              <w:top w:val="nil"/>
              <w:left w:val="nil"/>
              <w:bottom w:val="nil"/>
              <w:right w:val="nil"/>
            </w:tcBorders>
            <w:shd w:val="clear" w:color="auto" w:fill="FFFFFF"/>
            <w:vAlign w:val="center"/>
          </w:tcPr>
          <w:p w14:paraId="02D8211D">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Suzuki 溶剂和碱风险</w:t>
            </w:r>
          </w:p>
        </w:tc>
      </w:tr>
      <w:tr w14:paraId="6618E812">
        <w:tblPrEx>
          <w:tblCellMar>
            <w:top w:w="28" w:type="dxa"/>
            <w:left w:w="28" w:type="dxa"/>
            <w:bottom w:w="28" w:type="dxa"/>
            <w:right w:w="28" w:type="dxa"/>
          </w:tblCellMar>
        </w:tblPrEx>
        <w:trPr>
          <w:trHeight w:val="733" w:hRule="atLeast"/>
        </w:trPr>
        <w:tc>
          <w:tcPr>
            <w:tcW w:w="1683" w:type="pct"/>
            <w:tcBorders>
              <w:top w:val="nil"/>
              <w:left w:val="nil"/>
              <w:bottom w:val="nil"/>
              <w:right w:val="nil"/>
            </w:tcBorders>
            <w:shd w:val="clear" w:color="auto" w:fill="FFFFFF"/>
            <w:vAlign w:val="center"/>
          </w:tcPr>
          <w:p w14:paraId="4E6CEAD9">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"https://www.sigmaaldrich.com/US/en/product/aldrich/901904"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tBuXPhos</w:t>
            </w:r>
            <w:r>
              <w:rPr>
                <w:rStyle w:val="16"/>
                <w:rFonts w:ascii="Times New Roman" w:hAnsi="Times New Roman" w:eastAsia="宋体"/>
                <w:b w:val="0"/>
                <w:color w:val="000000"/>
                <w:sz w:val="24"/>
              </w:rPr>
              <w:fldChar w:fldCharType="end"/>
            </w:r>
            <w:r>
              <w:rPr>
                <w:rFonts w:ascii="Times New Roman" w:hAnsi="Times New Roman" w:eastAsia="宋体"/>
                <w:b w:val="0"/>
                <w:color w:val="000000"/>
                <w:sz w:val="24"/>
              </w:rPr>
              <w:t xml:space="preserve"> / </w:t>
            </w: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"https://www.sigmaaldrich.com/US/en/product/aldrich/768154"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AdBrettPhos</w:t>
            </w:r>
            <w:r>
              <w:rPr>
                <w:rStyle w:val="16"/>
                <w:rFonts w:ascii="Times New Roman" w:hAnsi="Times New Roman" w:eastAsia="宋体"/>
                <w:b w:val="0"/>
                <w:color w:val="000000"/>
                <w:sz w:val="24"/>
              </w:rPr>
              <w:fldChar w:fldCharType="end"/>
            </w:r>
            <w:r>
              <w:rPr>
                <w:rFonts w:ascii="Times New Roman" w:hAnsi="Times New Roman" w:eastAsia="宋体"/>
                <w:b w:val="0"/>
                <w:color w:val="000000"/>
                <w:sz w:val="24"/>
              </w:rPr>
              <w:t xml:space="preserve"> / </w:t>
            </w: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"https://www.sigmaaldrich.com/US/en/product/aldrich/730998"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tBuBrettPhos</w:t>
            </w:r>
            <w:r>
              <w:rPr>
                <w:rStyle w:val="16"/>
                <w:rFonts w:ascii="Times New Roman" w:hAnsi="Times New Roman" w:eastAsia="宋体"/>
                <w:b w:val="0"/>
                <w:color w:val="000000"/>
                <w:sz w:val="24"/>
              </w:rPr>
              <w:fldChar w:fldCharType="end"/>
            </w:r>
          </w:p>
        </w:tc>
        <w:tc>
          <w:tcPr>
            <w:tcW w:w="1920" w:type="pct"/>
            <w:tcBorders>
              <w:top w:val="nil"/>
              <w:left w:val="nil"/>
              <w:bottom w:val="nil"/>
              <w:right w:val="nil"/>
            </w:tcBorders>
            <w:shd w:val="clear" w:color="auto" w:fill="FFFFFF"/>
            <w:vAlign w:val="center"/>
          </w:tcPr>
          <w:p w14:paraId="4B79FA88">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检索日的包装价格与页面库存</w:t>
            </w:r>
          </w:p>
        </w:tc>
        <w:tc>
          <w:tcPr>
            <w:tcW w:w="1395" w:type="pct"/>
            <w:tcBorders>
              <w:top w:val="nil"/>
              <w:left w:val="nil"/>
              <w:bottom w:val="nil"/>
              <w:right w:val="nil"/>
            </w:tcBorders>
            <w:shd w:val="clear" w:color="auto" w:fill="FFFFFF"/>
            <w:vAlign w:val="center"/>
          </w:tcPr>
          <w:p w14:paraId="187462DC">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Buchwald 配体采购比较</w:t>
            </w:r>
          </w:p>
        </w:tc>
      </w:tr>
      <w:tr w14:paraId="4F1E84F6">
        <w:tblPrEx>
          <w:tblCellMar>
            <w:top w:w="28" w:type="dxa"/>
            <w:left w:w="28" w:type="dxa"/>
            <w:bottom w:w="28" w:type="dxa"/>
            <w:right w:w="28" w:type="dxa"/>
          </w:tblCellMar>
        </w:tblPrEx>
        <w:trPr>
          <w:trHeight w:val="762" w:hRule="atLeast"/>
        </w:trPr>
        <w:tc>
          <w:tcPr>
            <w:tcW w:w="1683" w:type="pct"/>
            <w:tcBorders>
              <w:top w:val="nil"/>
              <w:left w:val="nil"/>
              <w:bottom w:val="single" w:color="000000" w:sz="12" w:space="0"/>
              <w:right w:val="nil"/>
            </w:tcBorders>
            <w:shd w:val="clear" w:color="auto" w:fill="FFFFFF"/>
            <w:vAlign w:val="center"/>
          </w:tcPr>
          <w:p w14:paraId="23CECFF5">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"https://www.tcichemicals.com/DE/en/p/M1443"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MTBD 目录</w:t>
            </w:r>
            <w:r>
              <w:rPr>
                <w:rStyle w:val="16"/>
                <w:rFonts w:ascii="Times New Roman" w:hAnsi="Times New Roman" w:eastAsia="宋体"/>
                <w:b w:val="0"/>
                <w:color w:val="000000"/>
                <w:sz w:val="24"/>
              </w:rPr>
              <w:fldChar w:fldCharType="end"/>
            </w:r>
            <w:r>
              <w:rPr>
                <w:rFonts w:ascii="Times New Roman" w:hAnsi="Times New Roman" w:eastAsia="宋体"/>
                <w:b w:val="0"/>
                <w:color w:val="000000"/>
                <w:sz w:val="24"/>
              </w:rPr>
              <w:t xml:space="preserve"> / </w:t>
            </w:r>
            <w:r>
              <w:rPr>
                <w:rFonts w:ascii="Times New Roman" w:hAnsi="Times New Roman" w:eastAsia="宋体"/>
                <w:b w:val="0"/>
                <w:color w:val="000000"/>
                <w:sz w:val="24"/>
              </w:rPr>
              <w:fldChar w:fldCharType="begin"/>
            </w:r>
            <w:r>
              <w:rPr>
                <w:rFonts w:ascii="Times New Roman" w:hAnsi="Times New Roman" w:eastAsia="宋体"/>
                <w:b w:val="0"/>
                <w:color w:val="000000"/>
                <w:sz w:val="24"/>
              </w:rPr>
              <w:instrText xml:space="preserve"> HYPERLINK "https://www.tcichemicals.com/BE/en/sds/M1443_EU_6N.pdf" \h </w:instrText>
            </w:r>
            <w:r>
              <w:rPr>
                <w:rFonts w:ascii="Times New Roman" w:hAnsi="Times New Roman" w:eastAsia="宋体"/>
                <w:b w:val="0"/>
                <w:color w:val="000000"/>
                <w:sz w:val="24"/>
              </w:rPr>
              <w:fldChar w:fldCharType="separate"/>
            </w:r>
            <w:r>
              <w:rPr>
                <w:rStyle w:val="16"/>
                <w:rFonts w:ascii="Times New Roman" w:hAnsi="Times New Roman" w:eastAsia="宋体"/>
                <w:b w:val="0"/>
                <w:color w:val="000000"/>
                <w:sz w:val="24"/>
              </w:rPr>
              <w:t>SDS</w:t>
            </w:r>
            <w:r>
              <w:rPr>
                <w:rStyle w:val="16"/>
                <w:rFonts w:ascii="Times New Roman" w:hAnsi="Times New Roman" w:eastAsia="宋体"/>
                <w:b w:val="0"/>
                <w:color w:val="000000"/>
                <w:sz w:val="24"/>
              </w:rPr>
              <w:fldChar w:fldCharType="end"/>
            </w:r>
          </w:p>
        </w:tc>
        <w:tc>
          <w:tcPr>
            <w:tcW w:w="1920" w:type="pct"/>
            <w:tcBorders>
              <w:top w:val="nil"/>
              <w:left w:val="nil"/>
              <w:bottom w:val="single" w:color="000000" w:sz="12" w:space="0"/>
              <w:right w:val="nil"/>
            </w:tcBorders>
            <w:shd w:val="clear" w:color="auto" w:fill="FFFFFF"/>
            <w:vAlign w:val="center"/>
          </w:tcPr>
          <w:p w14:paraId="2A46728F">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价格、库存、腐蚀性和运输分类</w:t>
            </w:r>
          </w:p>
        </w:tc>
        <w:tc>
          <w:tcPr>
            <w:tcW w:w="1395" w:type="pct"/>
            <w:tcBorders>
              <w:top w:val="nil"/>
              <w:left w:val="nil"/>
              <w:bottom w:val="single" w:color="000000" w:sz="12" w:space="0"/>
              <w:right w:val="nil"/>
            </w:tcBorders>
            <w:shd w:val="clear" w:color="auto" w:fill="FFFFFF"/>
            <w:vAlign w:val="center"/>
          </w:tcPr>
          <w:p w14:paraId="2B0171BE">
            <w:pPr>
              <w:pStyle w:val="23"/>
              <w:bidi w:val="0"/>
              <w:spacing w:before="0" w:after="283"/>
              <w:jc w:val="center"/>
              <w:rPr>
                <w:rFonts w:ascii="Times New Roman" w:hAnsi="Times New Roman" w:eastAsia="宋体"/>
                <w:b w:val="0"/>
                <w:color w:val="000000"/>
                <w:sz w:val="24"/>
              </w:rPr>
            </w:pPr>
            <w:r>
              <w:rPr>
                <w:rFonts w:ascii="Times New Roman" w:hAnsi="Times New Roman" w:eastAsia="宋体"/>
                <w:b w:val="0"/>
                <w:color w:val="000000"/>
                <w:sz w:val="24"/>
              </w:rPr>
              <w:t>Buchwald 采购与初步危险性</w:t>
            </w:r>
          </w:p>
        </w:tc>
      </w:tr>
    </w:tbl>
    <w:p w14:paraId="5072772B">
      <w:pPr>
        <w:pStyle w:val="4"/>
        <w:bidi w:val="0"/>
        <w:jc w:val="left"/>
        <w:rPr>
          <w:rFonts w:ascii="Times New Roman" w:hAnsi="Times New Roman" w:eastAsia="宋体"/>
          <w:sz w:val="24"/>
        </w:rPr>
      </w:pPr>
      <w:r>
        <w:rPr>
          <w:rFonts w:ascii="Times New Roman" w:hAnsi="Times New Roman" w:eastAsia="宋体"/>
          <w:sz w:val="24"/>
        </w:rPr>
        <w:t xml:space="preserve">共 20 条机器可读来源、检索日期、直接支持的主张和候选映射保存在 </w:t>
      </w:r>
      <w:r>
        <w:rPr>
          <w:rStyle w:val="19"/>
          <w:rFonts w:ascii="Times New Roman" w:hAnsi="Times New Roman" w:eastAsia="宋体"/>
          <w:sz w:val="24"/>
        </w:rPr>
        <w:t>results/top5_external_evidence.json</w:t>
      </w:r>
      <w:r>
        <w:rPr>
          <w:rFonts w:ascii="Times New Roman" w:hAnsi="Times New Roman" w:eastAsia="宋体"/>
          <w:sz w:val="24"/>
        </w:rPr>
        <w:t xml:space="preserve">。来源只支持相应产品、地区和检索日期；搜索命中 只有在读取记录并确认直接支持主张后才作为证据。预算和采购只接受供应商目录或项目 采购记录，初步危险性只接受 SDS/GHS；无合格来源时使用低置信度 </w:t>
      </w:r>
      <w:r>
        <w:rPr>
          <w:rStyle w:val="19"/>
          <w:rFonts w:ascii="Times New Roman" w:hAnsi="Times New Roman" w:eastAsia="宋体"/>
          <w:sz w:val="24"/>
        </w:rPr>
        <w:t>llm_inference</w:t>
      </w:r>
      <w:r>
        <w:rPr>
          <w:rFonts w:ascii="Times New Roman" w:hAnsi="Times New Roman" w:eastAsia="宋体"/>
          <w:sz w:val="24"/>
        </w:rPr>
        <w:t xml:space="preserve"> 或 </w:t>
      </w:r>
      <w:r>
        <w:rPr>
          <w:rStyle w:val="19"/>
          <w:rFonts w:ascii="Times New Roman" w:hAnsi="Times New Roman" w:eastAsia="宋体"/>
          <w:sz w:val="24"/>
        </w:rPr>
        <w:t>unknown</w:t>
      </w:r>
      <w:r>
        <w:rPr>
          <w:rFonts w:ascii="Times New Roman" w:hAnsi="Times New Roman" w:eastAsia="宋体"/>
          <w:sz w:val="24"/>
        </w:rPr>
        <w:t>。这些信息不替代中国地区正式报价、完整 SDS、SOP、量热、废物承包方确认 或 EHS 审批。</w:t>
      </w:r>
    </w:p>
    <w:p w14:paraId="63896489">
      <w:pPr>
        <w:pStyle w:val="4"/>
        <w:bidi w:val="0"/>
        <w:jc w:val="left"/>
        <w:rPr>
          <w:rFonts w:ascii="Times New Roman" w:hAnsi="Times New Roman" w:eastAsia="宋体"/>
          <w:sz w:val="24"/>
        </w:rPr>
      </w:pPr>
      <w:r>
        <w:rPr>
          <w:rFonts w:ascii="Times New Roman" w:hAnsi="Times New Roman" w:eastAsia="宋体"/>
          <w:sz w:val="24"/>
        </w:rPr>
        <w:t>本报告证明智能体能够在固定模型完成顺序优化后，审计完整轨迹、汇总已查询 Top-5、 关联 DFT 解释、执行六维现实可行性评估并给出最终推荐反应条件。公开数据结果不构成对其他反应类型的性能保证；新数据必须重新执行结果列泄漏、字段、单位、结构覆盖率和分布外检查，并在该任务自己的初始训练数据上重新训练和独立验证。</w:t>
      </w:r>
    </w:p>
    <w:p w14:paraId="36333E10">
      <w:pPr>
        <w:pStyle w:val="5"/>
        <w:rPr>
          <w:rFonts w:ascii="Times New Roman" w:hAnsi="Times New Roman" w:eastAsia="宋体"/>
          <w:sz w:val="24"/>
        </w:rPr>
      </w:pPr>
      <w:r>
        <w:rPr>
          <w:rFonts w:hint="eastAsia" w:ascii="Times New Roman" w:hAnsi="Times New Roman" w:eastAsia="宋体"/>
          <w:sz w:val="24"/>
          <w:lang w:val="en-US" w:eastAsia="zh-CN"/>
        </w:rPr>
        <w:t>11</w:t>
      </w:r>
      <w:r>
        <w:rPr>
          <w:rFonts w:ascii="Times New Roman" w:hAnsi="Times New Roman" w:eastAsia="宋体"/>
          <w:sz w:val="24"/>
        </w:rPr>
        <w:t>. 结论</w:t>
      </w:r>
    </w:p>
    <w:p w14:paraId="46C580E7">
      <w:pPr>
        <w:pStyle w:val="4"/>
        <w:numPr>
          <w:ilvl w:val="0"/>
          <w:numId w:val="2"/>
        </w:numPr>
        <w:spacing w:after="0"/>
        <w:contextualSpacing/>
        <w:rPr>
          <w:rFonts w:ascii="Times New Roman" w:hAnsi="Times New Roman" w:eastAsia="宋体"/>
          <w:sz w:val="24"/>
        </w:rPr>
      </w:pPr>
      <w:r>
        <w:rPr>
          <w:rFonts w:ascii="Times New Roman" w:hAnsi="Times New Roman" w:eastAsia="宋体"/>
          <w:sz w:val="24"/>
        </w:rPr>
        <w:t>Suzuki：随机森林承担主要预测权重，可交换分类协方差函数的张量积核高斯过程补充平滑预测和后验不确定性；候选主要按期望改进排序，并使用运行前冻结的递减探索概率。Suzuki 平均在第 4.4 轮达到全局最高值的 95%，40 轮最高值为 97.36%，全过程曲线面积为 95.88，说明其早期发现能力较强。</w:t>
      </w:r>
    </w:p>
    <w:p w14:paraId="70D0AAFB">
      <w:pPr>
        <w:pStyle w:val="4"/>
        <w:numPr>
          <w:ilvl w:val="0"/>
          <w:numId w:val="2"/>
        </w:numPr>
        <w:spacing w:after="0"/>
        <w:contextualSpacing/>
        <w:rPr>
          <w:rFonts w:ascii="Times New Roman" w:hAnsi="Times New Roman" w:eastAsia="宋体"/>
          <w:sz w:val="24"/>
        </w:rPr>
      </w:pPr>
      <w:r>
        <w:rPr>
          <w:rFonts w:ascii="Times New Roman" w:hAnsi="Times New Roman" w:eastAsia="宋体"/>
          <w:sz w:val="24"/>
        </w:rPr>
        <w:t>Buchwald：单个随机森林同时学习分类变量、与标签无关的化学知识、分子指纹和物化描述符；候选仅按期望改进排序，不叠加均匀随机探索。Buchwald 候选池的最高产率为 86.60%，最终模型平均发现 86.07%，即平均达到候选池最高产率的 99.38%；t95 为 12.5，全过程曲线面积为 82.54。对于仅有 35 条跨产物初始标签的任务，这一结果具有较好的稳定性。</w:t>
      </w:r>
    </w:p>
    <w:p w14:paraId="03F4F071">
      <w:pPr>
        <w:pStyle w:val="4"/>
        <w:spacing w:after="0" w:line="360" w:lineRule="auto"/>
        <w:ind w:firstLine="480" w:firstLineChars="200"/>
        <w:contextualSpacing/>
        <w:rPr>
          <w:rFonts w:ascii="Times New Roman" w:hAnsi="Times New Roman" w:eastAsia="宋体"/>
          <w:sz w:val="24"/>
        </w:rPr>
      </w:pPr>
      <w:r>
        <w:rPr>
          <w:rFonts w:ascii="Times New Roman" w:hAnsi="Times New Roman" w:eastAsia="宋体"/>
          <w:sz w:val="24"/>
        </w:rPr>
        <w:t>两条分支均在各自公开评测集上完成真实的 20×40 终局运行。XGBoost、传统梯度提升树、CatBoost、DFT 特征等等未晋升候选</w:t>
      </w:r>
      <w:r>
        <w:rPr>
          <w:rFonts w:hint="eastAsia" w:ascii="Times New Roman" w:hAnsi="Times New Roman" w:eastAsia="宋体"/>
          <w:sz w:val="24"/>
        </w:rPr>
        <w:t>模型</w:t>
      </w:r>
      <w:r>
        <w:rPr>
          <w:rFonts w:ascii="Times New Roman" w:hAnsi="Times New Roman" w:eastAsia="宋体"/>
          <w:sz w:val="24"/>
        </w:rPr>
        <w:t>不再依据公开终局成绩调参；完整 DFT 数据属于机理、审计和后续研究附件。</w:t>
      </w:r>
    </w:p>
    <w:p w14:paraId="3DECAA2B">
      <w:pPr>
        <w:pStyle w:val="4"/>
        <w:spacing w:after="0" w:line="360" w:lineRule="auto"/>
        <w:ind w:firstLine="480" w:firstLineChars="200"/>
        <w:contextualSpacing/>
        <w:rPr>
          <w:rFonts w:ascii="Times New Roman" w:hAnsi="Times New Roman" w:eastAsia="宋体"/>
          <w:sz w:val="24"/>
        </w:rPr>
      </w:pPr>
      <w:r>
        <w:rPr>
          <w:rFonts w:ascii="Times New Roman" w:hAnsi="Times New Roman" w:eastAsia="宋体"/>
          <w:sz w:val="24"/>
        </w:rPr>
        <w:t>提交包保留组织方发布的两套完整公开数据，并内置可直接解压、无需联网的 Linux x86_64 与 Windows x86_64 运行环境；同时提供 macOS 和 Linux ARM64 的一键环境创建与运行入口（首次创建需联网）。公开测试 Yield 文件仅作为离线预言器（OfflineOracle）在候选索引确定后返回观测值，模型在索引选择、特征构建、参数冻结和排序前均无法访问该值。</w:t>
      </w:r>
    </w:p>
    <w:p w14:paraId="1D4074A8">
      <w:pPr>
        <w:pStyle w:val="4"/>
        <w:spacing w:after="0" w:line="360" w:lineRule="auto"/>
        <w:contextualSpacing/>
        <w:rPr>
          <w:rFonts w:hint="eastAsia" w:ascii="Times New Roman" w:hAnsi="Times New Roman" w:eastAsia="宋体" w:cs="宋体"/>
          <w:b/>
          <w:bCs/>
          <w:color w:val="17598C"/>
          <w:sz w:val="24"/>
          <w:szCs w:val="32"/>
        </w:rPr>
      </w:pPr>
    </w:p>
    <w:p w14:paraId="39502228">
      <w:pPr>
        <w:pStyle w:val="4"/>
        <w:spacing w:after="0" w:line="360" w:lineRule="auto"/>
        <w:contextualSpacing/>
        <w:rPr>
          <w:rFonts w:ascii="Times New Roman" w:hAnsi="Times New Roman" w:eastAsia="宋体" w:cs="宋体"/>
          <w:b/>
          <w:bCs/>
          <w:color w:val="17598C"/>
          <w:sz w:val="24"/>
          <w:szCs w:val="32"/>
        </w:rPr>
      </w:pPr>
      <w:r>
        <w:rPr>
          <w:rFonts w:hint="eastAsia" w:ascii="Times New Roman" w:hAnsi="Times New Roman" w:eastAsia="宋体" w:cs="宋体"/>
          <w:b/>
          <w:bCs/>
          <w:color w:val="17598C"/>
          <w:sz w:val="24"/>
          <w:szCs w:val="32"/>
        </w:rPr>
        <w:t>参考文献</w:t>
      </w:r>
    </w:p>
    <w:p w14:paraId="5172B9D6">
      <w:pPr>
        <w:pStyle w:val="30"/>
        <w:numPr>
          <w:ilvl w:val="0"/>
          <w:numId w:val="7"/>
        </w:numPr>
        <w:rPr>
          <w:rFonts w:hint="eastAsia" w:ascii="Times New Roman" w:hAnsi="Times New Roman" w:eastAsia="宋体"/>
          <w:sz w:val="24"/>
        </w:rPr>
      </w:pPr>
      <w:r>
        <w:rPr>
          <w:rFonts w:ascii="Times New Roman" w:hAnsi="Times New Roman" w:eastAsia="宋体" w:cs="Noto Sans Devanagari"/>
          <w:b/>
          <w:bCs/>
          <w:color w:val="17598C"/>
          <w:sz w:val="24"/>
          <w:szCs w:val="32"/>
        </w:rPr>
        <w:fldChar w:fldCharType="begin"/>
      </w:r>
      <w:r>
        <w:rPr>
          <w:rFonts w:ascii="Times New Roman" w:hAnsi="Times New Roman" w:eastAsia="宋体" w:cs="Noto Sans Devanagari"/>
          <w:b/>
          <w:bCs/>
          <w:color w:val="17598C"/>
          <w:sz w:val="24"/>
          <w:szCs w:val="32"/>
        </w:rPr>
        <w:instrText xml:space="preserve"> ADDIN ZOTERO_BIBL {"uncited":[],"omitted":[],"custom":[]} CSL_BIBLIOGRAPHY </w:instrText>
      </w:r>
      <w:r>
        <w:rPr>
          <w:rFonts w:ascii="Times New Roman" w:hAnsi="Times New Roman" w:eastAsia="宋体" w:cs="Noto Sans Devanagari"/>
          <w:b/>
          <w:bCs/>
          <w:color w:val="17598C"/>
          <w:sz w:val="24"/>
          <w:szCs w:val="32"/>
        </w:rPr>
        <w:fldChar w:fldCharType="separate"/>
      </w:r>
      <w:r>
        <w:rPr>
          <w:rFonts w:ascii="Times New Roman" w:hAnsi="Times New Roman" w:eastAsia="宋体" w:cs="Noto Sans CJK SC;Microsoft YaHe"/>
          <w:sz w:val="24"/>
          <w:szCs w:val="21"/>
        </w:rPr>
        <w:t>Yuan, X.; Chen, Z.; Zhang, J. UNLEASHING LLMS IN BAYESIAN OPTIMIZATION: PREFERENCE</w:t>
      </w:r>
      <w:r>
        <w:rPr>
          <w:rFonts w:hint="eastAsia" w:ascii="Times New Roman" w:hAnsi="Times New Roman" w:eastAsia="宋体" w:cs="Noto Sans CJK SC;Microsoft YaHe"/>
          <w:sz w:val="24"/>
          <w:szCs w:val="21"/>
        </w:rPr>
        <w:t>-</w:t>
      </w:r>
      <w:r>
        <w:rPr>
          <w:rFonts w:ascii="Times New Roman" w:hAnsi="Times New Roman" w:eastAsia="宋体" w:cs="Noto Sans CJK SC;Microsoft YaHe"/>
          <w:sz w:val="24"/>
          <w:szCs w:val="21"/>
        </w:rPr>
        <w:t>GUIDED FRAMEWORK FOR SCIENTIFIC DISCOVERY. 2026.</w:t>
      </w:r>
      <w:r>
        <w:rPr>
          <w:rFonts w:ascii="Times New Roman" w:hAnsi="Times New Roman" w:eastAsia="宋体" w:cs="Noto Sans Devanagari"/>
          <w:b/>
          <w:bCs/>
          <w:color w:val="17598C"/>
          <w:sz w:val="24"/>
          <w:szCs w:val="32"/>
        </w:rPr>
        <w:fldChar w:fldCharType="end"/>
      </w:r>
    </w:p>
    <w:sectPr>
      <w:pgSz w:w="11906" w:h="16838"/>
      <w:pgMar w:top="1020" w:right="964" w:bottom="1020" w:left="964" w:header="0" w:footer="0" w:gutter="0"/>
      <w:cols w:space="720" w:num="1"/>
      <w:formProt w:val="0"/>
      <w:docGrid w:linePitch="600" w:charSpace="389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Microsoft YaHe">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Noto Sans">
    <w:altName w:val="Noto Sans SC"/>
    <w:panose1 w:val="00000000000000000000"/>
    <w:charset w:val="00"/>
    <w:family w:val="swiss"/>
    <w:pitch w:val="default"/>
    <w:sig w:usb0="00000000" w:usb1="00000000" w:usb2="00000021" w:usb3="00000000" w:csb0="0000019F" w:csb1="00000000"/>
  </w:font>
  <w:font w:name="Noto Sans SC">
    <w:panose1 w:val="020B0200000000000000"/>
    <w:charset w:val="86"/>
    <w:family w:val="auto"/>
    <w:pitch w:val="default"/>
    <w:sig w:usb0="20000083" w:usb1="2ADF3C10" w:usb2="00000016" w:usb3="00000000" w:csb0="60060107"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Cambria"/>
    <w:panose1 w:val="00000000000000000000"/>
    <w:charset w:val="00"/>
    <w:family w:val="roman"/>
    <w:pitch w:val="default"/>
    <w:sig w:usb0="00000000" w:usb1="00000000" w:usb2="00000000" w:usb3="00000000" w:csb0="00000000" w:csb1="00000000"/>
  </w:font>
  <w:font w:name="Noto Sans Devanagari">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Liberation Sans">
    <w:altName w:val="Arial"/>
    <w:panose1 w:val="00000000000000000000"/>
    <w:charset w:val="01"/>
    <w:family w:val="swiss"/>
    <w:pitch w:val="default"/>
    <w:sig w:usb0="00000000" w:usb1="00000000" w:usb2="00000000" w:usb3="00000000" w:csb0="00000000" w:csb1="00000000"/>
  </w:font>
  <w:font w:name="Noto Sans Mono CJK SC;Consolas;">
    <w:altName w:val="Cambria"/>
    <w:panose1 w:val="00000000000000000000"/>
    <w:charset w:val="00"/>
    <w:family w:val="roman"/>
    <w:pitch w:val="default"/>
    <w:sig w:usb0="00000000" w:usb1="00000000" w:usb2="00000000" w:usb3="00000000" w:csb0="00000000" w:csb1="00000000"/>
  </w:font>
  <w:font w:name="OpenSymbol">
    <w:altName w:val="Segoe UI Symbol"/>
    <w:panose1 w:val="00000000000000000000"/>
    <w:charset w:val="02"/>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Liberation Mono">
    <w:altName w:val="Courier New"/>
    <w:panose1 w:val="00000000000000000000"/>
    <w:charset w:val="01"/>
    <w:family w:val="modern"/>
    <w:pitch w:val="default"/>
    <w:sig w:usb0="00000000" w:usb1="00000000" w:usb2="00000000" w:usb3="00000000" w:csb0="00000000" w:csb1="00000000"/>
  </w:font>
  <w:font w:name="Noto Sans Mono CJK SC">
    <w:altName w:val="Consolas"/>
    <w:panose1 w:val="00000000000000000000"/>
    <w:charset w:val="01"/>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angal">
    <w:altName w:val="Segoe Print"/>
    <w:panose1 w:val="00000400000000000000"/>
    <w:charset w:val="00"/>
    <w:family w:val="roman"/>
    <w:pitch w:val="default"/>
    <w:sig w:usb0="00000000" w:usb1="00000000" w:usb2="00000000" w:usb3="00000000" w:csb0="00000001" w:csb1="00000000"/>
  </w:font>
  <w:font w:name="MS Gothic">
    <w:panose1 w:val="020B0609070205080204"/>
    <w:charset w:val="80"/>
    <w:family w:val="modern"/>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72" w:lineRule="auto"/>
      </w:pPr>
      <w:r>
        <w:separator/>
      </w:r>
    </w:p>
  </w:footnote>
  <w:footnote w:type="continuationSeparator" w:id="1">
    <w:p>
      <w:pPr>
        <w:spacing w:line="37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62ECE"/>
    <w:multiLevelType w:val="multilevel"/>
    <w:tmpl w:val="03D62EC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
    <w:nsid w:val="25B654F3"/>
    <w:multiLevelType w:val="multilevel"/>
    <w:tmpl w:val="25B654F3"/>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
    <w:nsid w:val="2FDC4975"/>
    <w:multiLevelType w:val="multilevel"/>
    <w:tmpl w:val="2FDC4975"/>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7EA7EE1"/>
    <w:multiLevelType w:val="multilevel"/>
    <w:tmpl w:val="57EA7EE1"/>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
    <w:nsid w:val="6095759B"/>
    <w:multiLevelType w:val="multilevel"/>
    <w:tmpl w:val="6095759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
    <w:nsid w:val="610A02D7"/>
    <w:multiLevelType w:val="multilevel"/>
    <w:tmpl w:val="610A02D7"/>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
    <w:nsid w:val="7BC8028E"/>
    <w:multiLevelType w:val="multilevel"/>
    <w:tmpl w:val="7BC8028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num w:numId="1">
    <w:abstractNumId w:val="3"/>
  </w:num>
  <w:num w:numId="2">
    <w:abstractNumId w:val="5"/>
  </w:num>
  <w:num w:numId="3">
    <w:abstractNumId w:val="4"/>
  </w:num>
  <w:num w:numId="4">
    <w:abstractNumId w:val="6"/>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1134"/>
  <w:autoHyphenation/>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9F2"/>
    <w:rsid w:val="000949F2"/>
    <w:rsid w:val="000C571B"/>
    <w:rsid w:val="00150000"/>
    <w:rsid w:val="001A6C5D"/>
    <w:rsid w:val="001C3529"/>
    <w:rsid w:val="001E3A35"/>
    <w:rsid w:val="001E6402"/>
    <w:rsid w:val="002639FC"/>
    <w:rsid w:val="003769DF"/>
    <w:rsid w:val="00380142"/>
    <w:rsid w:val="003A227F"/>
    <w:rsid w:val="004774D0"/>
    <w:rsid w:val="004C76AE"/>
    <w:rsid w:val="005A3596"/>
    <w:rsid w:val="005B226D"/>
    <w:rsid w:val="0061269F"/>
    <w:rsid w:val="0073337C"/>
    <w:rsid w:val="00780154"/>
    <w:rsid w:val="007C09F7"/>
    <w:rsid w:val="00863E9D"/>
    <w:rsid w:val="009909CD"/>
    <w:rsid w:val="00997A18"/>
    <w:rsid w:val="00A26E4E"/>
    <w:rsid w:val="00A419EE"/>
    <w:rsid w:val="00A66534"/>
    <w:rsid w:val="00AD2DAD"/>
    <w:rsid w:val="00B02AB3"/>
    <w:rsid w:val="00B70DB4"/>
    <w:rsid w:val="00BD715D"/>
    <w:rsid w:val="00BE2C2B"/>
    <w:rsid w:val="00CB4C9D"/>
    <w:rsid w:val="00CC3F57"/>
    <w:rsid w:val="00DB2565"/>
    <w:rsid w:val="00DE3E98"/>
    <w:rsid w:val="00E17A08"/>
    <w:rsid w:val="00E44187"/>
    <w:rsid w:val="00E530CA"/>
    <w:rsid w:val="00E76C6D"/>
    <w:rsid w:val="00F50B74"/>
    <w:rsid w:val="00FE0CEF"/>
    <w:rsid w:val="0A644325"/>
    <w:rsid w:val="0D033202"/>
    <w:rsid w:val="0E6D2F61"/>
    <w:rsid w:val="110957B1"/>
    <w:rsid w:val="2646187B"/>
    <w:rsid w:val="34104445"/>
    <w:rsid w:val="41804ACE"/>
    <w:rsid w:val="630225B7"/>
    <w:rsid w:val="6F590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line="372" w:lineRule="auto"/>
    </w:pPr>
    <w:rPr>
      <w:rFonts w:ascii="Noto Sans CJK SC;Microsoft YaHe" w:hAnsi="Noto Sans CJK SC;Microsoft YaHe" w:eastAsia="Noto Sans CJK SC;Microsoft YaHe" w:cs="Noto Sans CJK SC;Microsoft YaHe"/>
      <w:color w:val="172033"/>
      <w:sz w:val="21"/>
      <w:szCs w:val="21"/>
      <w:lang w:val="en-US" w:eastAsia="zh-CN" w:bidi="hi-IN"/>
    </w:rPr>
  </w:style>
  <w:style w:type="paragraph" w:styleId="2">
    <w:name w:val="heading 1"/>
    <w:basedOn w:val="3"/>
    <w:next w:val="4"/>
    <w:qFormat/>
    <w:uiPriority w:val="9"/>
    <w:pPr>
      <w:pBdr>
        <w:bottom w:val="single" w:color="2B78B8" w:sz="12" w:space="1"/>
      </w:pBdr>
      <w:outlineLvl w:val="0"/>
    </w:pPr>
    <w:rPr>
      <w:rFonts w:ascii="Noto Sans" w:hAnsi="Noto Sans"/>
      <w:b/>
      <w:bCs/>
      <w:color w:val="123D67"/>
      <w:sz w:val="44"/>
      <w:szCs w:val="44"/>
    </w:rPr>
  </w:style>
  <w:style w:type="paragraph" w:styleId="5">
    <w:name w:val="heading 2"/>
    <w:basedOn w:val="3"/>
    <w:next w:val="4"/>
    <w:unhideWhenUsed/>
    <w:qFormat/>
    <w:uiPriority w:val="9"/>
    <w:pPr>
      <w:spacing w:before="360" w:after="120"/>
      <w:outlineLvl w:val="1"/>
    </w:pPr>
    <w:rPr>
      <w:rFonts w:ascii="Liberation Serif" w:hAnsi="Liberation Serif" w:eastAsia="Noto Serif CJK SC" w:cs="Noto Sans Devanagari"/>
      <w:b/>
      <w:bCs/>
      <w:color w:val="17598C"/>
      <w:sz w:val="32"/>
      <w:szCs w:val="32"/>
    </w:rPr>
  </w:style>
  <w:style w:type="paragraph" w:styleId="6">
    <w:name w:val="heading 3"/>
    <w:basedOn w:val="3"/>
    <w:next w:val="4"/>
    <w:unhideWhenUsed/>
    <w:qFormat/>
    <w:uiPriority w:val="9"/>
    <w:pPr>
      <w:spacing w:before="260" w:after="120"/>
      <w:outlineLvl w:val="2"/>
    </w:pPr>
    <w:rPr>
      <w:rFonts w:ascii="Liberation Serif" w:hAnsi="Liberation Serif" w:eastAsia="Noto Serif CJK SC" w:cs="Noto Sans Devanagari"/>
      <w:b/>
      <w:bCs/>
      <w:color w:val="236D91"/>
      <w:sz w:val="26"/>
      <w:szCs w:val="26"/>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Liberation Sans" w:hAnsi="Liberation Sans"/>
      <w:sz w:val="28"/>
      <w:szCs w:val="28"/>
    </w:rPr>
  </w:style>
  <w:style w:type="paragraph" w:styleId="4">
    <w:name w:val="Body Text"/>
    <w:basedOn w:val="1"/>
    <w:link w:val="29"/>
    <w:qFormat/>
    <w:uiPriority w:val="0"/>
    <w:pPr>
      <w:widowControl/>
      <w:spacing w:after="283"/>
    </w:pPr>
  </w:style>
  <w:style w:type="paragraph" w:styleId="7">
    <w:name w:val="caption"/>
    <w:basedOn w:val="1"/>
    <w:qFormat/>
    <w:uiPriority w:val="0"/>
    <w:pPr>
      <w:suppressLineNumbers/>
      <w:spacing w:before="120" w:after="120"/>
    </w:pPr>
    <w:rPr>
      <w:rFonts w:cs="Noto Sans Devanagari"/>
      <w:i/>
      <w:iCs/>
      <w:sz w:val="24"/>
      <w:szCs w:val="24"/>
    </w:rPr>
  </w:style>
  <w:style w:type="paragraph" w:styleId="8">
    <w:name w:val="footer"/>
    <w:basedOn w:val="1"/>
    <w:qFormat/>
    <w:uiPriority w:val="0"/>
    <w:pPr>
      <w:suppressLineNumbers/>
      <w:tabs>
        <w:tab w:val="center" w:pos="4818"/>
        <w:tab w:val="right" w:pos="9637"/>
      </w:tabs>
    </w:pPr>
  </w:style>
  <w:style w:type="paragraph" w:styleId="9">
    <w:name w:val="envelope return"/>
    <w:basedOn w:val="1"/>
    <w:qFormat/>
    <w:uiPriority w:val="0"/>
    <w:rPr>
      <w:i/>
    </w:rPr>
  </w:style>
  <w:style w:type="paragraph" w:styleId="10">
    <w:name w:val="header"/>
    <w:basedOn w:val="1"/>
    <w:qFormat/>
    <w:uiPriority w:val="0"/>
    <w:pPr>
      <w:suppressLineNumbers/>
      <w:tabs>
        <w:tab w:val="center" w:pos="4818"/>
        <w:tab w:val="right" w:pos="9637"/>
      </w:tabs>
    </w:pPr>
  </w:style>
  <w:style w:type="paragraph" w:styleId="11">
    <w:name w:val="List"/>
    <w:basedOn w:val="4"/>
    <w:qFormat/>
    <w:uiPriority w:val="0"/>
    <w:rPr>
      <w:rFonts w:cs="Noto Sans Devanagari"/>
    </w:rPr>
  </w:style>
  <w:style w:type="table" w:styleId="13">
    <w:name w:val="Table Grid"/>
    <w:basedOn w:val="12"/>
    <w:qFormat/>
    <w:uiPriority w:val="59"/>
    <w:pPr>
      <w:suppressAutoHyphens w:val="0"/>
    </w:pPr>
    <w:rPr>
      <w:rFonts w:asciiTheme="minorHAnsi" w:hAnsiTheme="minorHAnsi" w:cstheme="minorBidi"/>
      <w:sz w:val="22"/>
      <w:szCs w:val="22"/>
      <w:lang w:eastAsia="en-US"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qFormat/>
    <w:uiPriority w:val="0"/>
    <w:rPr>
      <w:b/>
      <w:bCs/>
    </w:rPr>
  </w:style>
  <w:style w:type="character" w:styleId="16">
    <w:name w:val="Hyperlink"/>
    <w:qFormat/>
    <w:uiPriority w:val="0"/>
    <w:rPr>
      <w:color w:val="000080"/>
      <w:u w:val="single"/>
    </w:rPr>
  </w:style>
  <w:style w:type="character" w:customStyle="1" w:styleId="17">
    <w:name w:val="Endnote Characters"/>
    <w:qFormat/>
    <w:uiPriority w:val="0"/>
  </w:style>
  <w:style w:type="character" w:customStyle="1" w:styleId="18">
    <w:name w:val="Footnote Characters"/>
    <w:qFormat/>
    <w:uiPriority w:val="0"/>
  </w:style>
  <w:style w:type="character" w:customStyle="1" w:styleId="19">
    <w:name w:val="Source Text"/>
    <w:qFormat/>
    <w:uiPriority w:val="0"/>
    <w:rPr>
      <w:rFonts w:ascii="Noto Sans Mono CJK SC;Consolas;" w:hAnsi="Noto Sans Mono CJK SC;Consolas;" w:eastAsia="Noto Sans Mono CJK SC;Consolas;" w:cs="Noto Sans Mono CJK SC;Consolas;"/>
      <w:sz w:val="18"/>
      <w:szCs w:val="18"/>
    </w:rPr>
  </w:style>
  <w:style w:type="character" w:customStyle="1" w:styleId="20">
    <w:name w:val="Bullets"/>
    <w:qFormat/>
    <w:uiPriority w:val="0"/>
    <w:rPr>
      <w:rFonts w:ascii="OpenSymbol" w:hAnsi="OpenSymbol" w:eastAsia="OpenSymbol" w:cs="OpenSymbol"/>
    </w:rPr>
  </w:style>
  <w:style w:type="character" w:customStyle="1" w:styleId="21">
    <w:name w:val="Numbering Symbols"/>
    <w:qFormat/>
    <w:uiPriority w:val="0"/>
  </w:style>
  <w:style w:type="paragraph" w:customStyle="1" w:styleId="22">
    <w:name w:val="Horizontal Line"/>
    <w:basedOn w:val="1"/>
    <w:next w:val="4"/>
    <w:qFormat/>
    <w:uiPriority w:val="0"/>
    <w:pPr>
      <w:pBdr>
        <w:bottom w:val="double" w:color="808080" w:sz="2" w:space="0"/>
      </w:pBdr>
      <w:spacing w:after="283"/>
    </w:pPr>
    <w:rPr>
      <w:sz w:val="12"/>
    </w:rPr>
  </w:style>
  <w:style w:type="paragraph" w:customStyle="1" w:styleId="23">
    <w:name w:val="Table Contents"/>
    <w:basedOn w:val="4"/>
    <w:qFormat/>
    <w:uiPriority w:val="0"/>
  </w:style>
  <w:style w:type="paragraph" w:customStyle="1" w:styleId="24">
    <w:name w:val="Header and Footer"/>
    <w:basedOn w:val="1"/>
    <w:qFormat/>
    <w:uiPriority w:val="0"/>
    <w:pPr>
      <w:suppressLineNumbers/>
      <w:tabs>
        <w:tab w:val="center" w:pos="4819"/>
        <w:tab w:val="right" w:pos="9638"/>
      </w:tabs>
    </w:pPr>
  </w:style>
  <w:style w:type="paragraph" w:customStyle="1" w:styleId="25">
    <w:name w:val="Index"/>
    <w:basedOn w:val="1"/>
    <w:qFormat/>
    <w:uiPriority w:val="0"/>
    <w:pPr>
      <w:suppressLineNumbers/>
    </w:pPr>
    <w:rPr>
      <w:rFonts w:cs="Noto Sans Devanagari"/>
    </w:rPr>
  </w:style>
  <w:style w:type="paragraph" w:customStyle="1" w:styleId="26">
    <w:name w:val="Block Quotation"/>
    <w:basedOn w:val="1"/>
    <w:qFormat/>
    <w:uiPriority w:val="0"/>
    <w:pPr>
      <w:pBdr>
        <w:left w:val="single" w:color="2B78B8" w:sz="24" w:space="10"/>
      </w:pBdr>
      <w:shd w:val="clear" w:color="auto" w:fill="EEF6FB"/>
      <w:spacing w:before="160" w:after="160"/>
      <w:ind w:left="160" w:right="160"/>
    </w:pPr>
  </w:style>
  <w:style w:type="paragraph" w:customStyle="1" w:styleId="27">
    <w:name w:val="Preformatted Text"/>
    <w:basedOn w:val="1"/>
    <w:qFormat/>
    <w:uiPriority w:val="0"/>
    <w:pPr>
      <w:pBdr>
        <w:top w:val="single" w:color="C8D2DA" w:sz="4" w:space="8"/>
        <w:left w:val="single" w:color="C8D2DA" w:sz="4" w:space="8"/>
        <w:bottom w:val="single" w:color="C8D2DA" w:sz="4" w:space="8"/>
        <w:right w:val="single" w:color="C8D2DA" w:sz="4" w:space="8"/>
      </w:pBdr>
      <w:shd w:val="clear" w:color="auto" w:fill="F3F6F8"/>
    </w:pPr>
    <w:rPr>
      <w:rFonts w:ascii="Liberation Mono" w:hAnsi="Liberation Mono" w:eastAsia="Noto Sans Mono CJK SC" w:cs="Liberation Mono"/>
      <w:sz w:val="20"/>
      <w:szCs w:val="20"/>
    </w:rPr>
  </w:style>
  <w:style w:type="paragraph" w:customStyle="1" w:styleId="28">
    <w:name w:val="Table Heading"/>
    <w:basedOn w:val="23"/>
    <w:qFormat/>
    <w:uiPriority w:val="0"/>
    <w:pPr>
      <w:suppressLineNumbers/>
      <w:shd w:val="clear" w:color="auto" w:fill="DCEAF5"/>
      <w:jc w:val="center"/>
    </w:pPr>
    <w:rPr>
      <w:b/>
      <w:bCs/>
      <w:color w:val="123D67"/>
    </w:rPr>
  </w:style>
  <w:style w:type="character" w:customStyle="1" w:styleId="29">
    <w:name w:val="正文文本 字符"/>
    <w:basedOn w:val="14"/>
    <w:link w:val="4"/>
    <w:qFormat/>
    <w:uiPriority w:val="0"/>
    <w:rPr>
      <w:rFonts w:ascii="Noto Sans CJK SC;Microsoft YaHe" w:hAnsi="Noto Sans CJK SC;Microsoft YaHe" w:eastAsia="Noto Sans CJK SC;Microsoft YaHe" w:cs="Noto Sans CJK SC;Microsoft YaHe"/>
      <w:color w:val="172033"/>
      <w:sz w:val="21"/>
      <w:szCs w:val="21"/>
    </w:rPr>
  </w:style>
  <w:style w:type="paragraph" w:customStyle="1" w:styleId="30">
    <w:name w:val="Bibliography"/>
    <w:basedOn w:val="1"/>
    <w:next w:val="1"/>
    <w:unhideWhenUsed/>
    <w:qFormat/>
    <w:uiPriority w:val="37"/>
    <w:rPr>
      <w:rFonts w:cs="Mangal"/>
      <w:szCs w:val="19"/>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7881</Words>
  <Characters>12514</Characters>
  <Lines>237</Lines>
  <Paragraphs>185</Paragraphs>
  <TotalTime>0</TotalTime>
  <ScaleCrop>false</ScaleCrop>
  <LinksUpToDate>false</LinksUpToDate>
  <CharactersWithSpaces>13316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2026-07-31T02:51:00Z</dcterms:created>
  <dc:creator>shuhua</dc:creator>
  <cp:lastModifiedBy>向静</cp:lastModifiedBy>
  <dcterms:modified xsi:type="dcterms:W3CDTF">2026-08-15T05:05:11Z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eyJoZGlkIjoiNmRlZmE0MGY1YThjZDgzMmM0N2EyYzYyMGMxNGZiZmQiLCJ1c2VySWQiOiIxNzI1Nzg0NTkwIn0=</vt:lpwstr>
  </property>
  <property fmtid="{D5CDD505-2E9C-101B-9397-08002B2CF9AE}" pid="3" name="KSOProductBuildVer">
    <vt:lpwstr>2052-12.1.0.28043</vt:lpwstr>
  </property>
  <property fmtid="{D5CDD505-2E9C-101B-9397-08002B2CF9AE}" pid="4" name="ICV">
    <vt:lpwstr>C77EF92E0A214BE48F78A2063703E880_12</vt:lpwstr>
  </property>
</Properties>
</file>