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 运行与答辩指南</w:t>
      </w:r>
    </w:p>
    <w:p>
      <w:pPr>
        <w:pStyle w:val="Heading2"/>
      </w:pPr>
      <w:r>
        <w:t>运行前准备</w:t>
      </w:r>
    </w:p>
    <w:p>
      <w:r>
        <w:t>1. 安装 JDK 21、Node 22.12+ / 24、MySQL 8 和 IDEA，确保 java -version、node -v 正常。</w:t>
      </w:r>
    </w:p>
    <w:p>
      <w:r>
        <w:t>2. 执行 scripts/create-database.sql 建空库，IDEA 打开 backend/pom.xml。</w:t>
      </w:r>
    </w:p>
    <w:p>
      <w:r>
        <w:t>3. IDEA Project SDK 与 Maven Runner JRE 都选择 JDK 21。设置 DB_PORT=3306、DB_USER 和自己的 DB_PASSWORD；工作目录 backend。</w:t>
      </w:r>
    </w:p>
    <w:p>
      <w:r>
        <w:t>4. 运行 CampusApplication；终端 frontend 内 npm ci、npm run dev。</w:t>
      </w:r>
    </w:p>
    <w:p>
      <w:r>
        <w:t>5. 用三个浏览器环境（例如 Chrome、Edge、Chrome 无痕）分别登录 seller、buyer、admin。密码均为 Campus123!。</w:t>
      </w:r>
    </w:p>
    <w:p>
      <w:r>
        <w:t>系统默认不校验真实学校身份，所以展示为“校园同学”仅表示课程学生账号，不能宣称经过学籍认证。</w:t>
      </w:r>
    </w:p>
    <w:p>
      <w:pPr>
        <w:pStyle w:val="Heading2"/>
      </w:pPr>
      <w:r>
        <w:t>环境变量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名称</w:t>
            </w:r>
          </w:p>
        </w:tc>
        <w:tc>
          <w:tcPr>
            <w:tcW w:type="dxa" w:w="3264"/>
          </w:tcPr>
          <w:p>
            <w:r>
              <w:t>本地默认</w:t>
            </w:r>
          </w:p>
        </w:tc>
        <w:tc>
          <w:tcPr>
            <w:tcW w:type="dxa" w:w="3264"/>
          </w:tcPr>
          <w:p>
            <w:r>
              <w:t>用途</w:t>
            </w:r>
          </w:p>
        </w:tc>
      </w:tr>
      <w:tr>
        <w:tc>
          <w:tcPr>
            <w:tcW w:type="dxa" w:w="3264"/>
          </w:tcPr>
          <w:p>
            <w:r>
              <w:t>DB_HOST</w:t>
            </w:r>
          </w:p>
        </w:tc>
        <w:tc>
          <w:tcPr>
            <w:tcW w:type="dxa" w:w="3264"/>
          </w:tcPr>
          <w:p>
            <w:r>
              <w:t>127.0.0.1</w:t>
            </w:r>
          </w:p>
        </w:tc>
        <w:tc>
          <w:tcPr>
            <w:tcW w:type="dxa" w:w="3264"/>
          </w:tcPr>
          <w:p>
            <w:r>
              <w:t>数据库主机</w:t>
            </w:r>
          </w:p>
        </w:tc>
      </w:tr>
      <w:tr>
        <w:tc>
          <w:tcPr>
            <w:tcW w:type="dxa" w:w="3264"/>
          </w:tcPr>
          <w:p>
            <w:r>
              <w:t>DB_PORT</w:t>
            </w:r>
          </w:p>
        </w:tc>
        <w:tc>
          <w:tcPr>
            <w:tcW w:type="dxa" w:w="3264"/>
          </w:tcPr>
          <w:p>
            <w:r>
              <w:t>3307</w:t>
            </w:r>
          </w:p>
        </w:tc>
        <w:tc>
          <w:tcPr>
            <w:tcW w:type="dxa" w:w="3264"/>
          </w:tcPr>
          <w:p>
            <w:r>
              <w:t>Compose 映射端口，本机安装通常 3306</w:t>
            </w:r>
          </w:p>
        </w:tc>
      </w:tr>
      <w:tr>
        <w:tc>
          <w:tcPr>
            <w:tcW w:type="dxa" w:w="3264"/>
          </w:tcPr>
          <w:p>
            <w:r>
              <w:t>DB_NAME</w:t>
            </w:r>
          </w:p>
        </w:tc>
        <w:tc>
          <w:tcPr>
            <w:tcW w:type="dxa" w:w="3264"/>
          </w:tcPr>
          <w:p>
            <w:r>
              <w:t>campus_exchange</w:t>
            </w:r>
          </w:p>
        </w:tc>
        <w:tc>
          <w:tcPr>
            <w:tcW w:type="dxa" w:w="3264"/>
          </w:tcPr>
          <w:p>
            <w:r>
              <w:t>库名</w:t>
            </w:r>
          </w:p>
        </w:tc>
      </w:tr>
      <w:tr>
        <w:tc>
          <w:tcPr>
            <w:tcW w:type="dxa" w:w="3264"/>
          </w:tcPr>
          <w:p>
            <w:r>
              <w:t>DB_USER</w:t>
            </w:r>
          </w:p>
        </w:tc>
        <w:tc>
          <w:tcPr>
            <w:tcW w:type="dxa" w:w="3264"/>
          </w:tcPr>
          <w:p>
            <w:r>
              <w:t>campus</w:t>
            </w:r>
          </w:p>
        </w:tc>
        <w:tc>
          <w:tcPr>
            <w:tcW w:type="dxa" w:w="3264"/>
          </w:tcPr>
          <w:p>
            <w:r>
              <w:t>MySQL 应用用户名</w:t>
            </w:r>
          </w:p>
        </w:tc>
      </w:tr>
      <w:tr>
        <w:tc>
          <w:tcPr>
            <w:tcW w:type="dxa" w:w="3264"/>
          </w:tcPr>
          <w:p>
            <w:r>
              <w:t>DB_PASSWORD</w:t>
            </w:r>
          </w:p>
        </w:tc>
        <w:tc>
          <w:tcPr>
            <w:tcW w:type="dxa" w:w="3264"/>
          </w:tcPr>
          <w:p>
            <w:r>
              <w:t>campus-local</w:t>
            </w:r>
          </w:p>
        </w:tc>
        <w:tc>
          <w:tcPr>
            <w:tcW w:type="dxa" w:w="3264"/>
          </w:tcPr>
          <w:p>
            <w:r>
              <w:t>仅 Compose 本地演示默认；自行安装须覆盖</w:t>
            </w:r>
          </w:p>
        </w:tc>
      </w:tr>
      <w:tr>
        <w:tc>
          <w:tcPr>
            <w:tcW w:type="dxa" w:w="3264"/>
          </w:tcPr>
          <w:p>
            <w:r>
              <w:t>PORT</w:t>
            </w:r>
          </w:p>
        </w:tc>
        <w:tc>
          <w:tcPr>
            <w:tcW w:type="dxa" w:w="3264"/>
          </w:tcPr>
          <w:p>
            <w:r>
              <w:t>8080</w:t>
            </w:r>
          </w:p>
        </w:tc>
        <w:tc>
          <w:tcPr>
            <w:tcW w:type="dxa" w:w="3264"/>
          </w:tcPr>
          <w:p>
            <w:r>
              <w:t>后端端口；改变后同步修改 Vite 代理</w:t>
            </w:r>
          </w:p>
        </w:tc>
      </w:tr>
      <w:tr>
        <w:tc>
          <w:tcPr>
            <w:tcW w:type="dxa" w:w="3264"/>
          </w:tcPr>
          <w:p>
            <w:r>
              <w:t>UPLOAD_DIR</w:t>
            </w:r>
          </w:p>
        </w:tc>
        <w:tc>
          <w:tcPr>
            <w:tcW w:type="dxa" w:w="3264"/>
          </w:tcPr>
          <w:p>
            <w:r>
              <w:t>./uploads</w:t>
            </w:r>
          </w:p>
        </w:tc>
        <w:tc>
          <w:tcPr>
            <w:tcW w:type="dxa" w:w="3264"/>
          </w:tcPr>
          <w:p>
            <w:r>
              <w:t>可写图片目录，工作目录 backend</w:t>
            </w:r>
          </w:p>
        </w:tc>
      </w:tr>
      <w:tr>
        <w:tc>
          <w:tcPr>
            <w:tcW w:type="dxa" w:w="3264"/>
          </w:tcPr>
          <w:p>
            <w:r>
              <w:t>DEMO_DATA</w:t>
            </w:r>
          </w:p>
        </w:tc>
        <w:tc>
          <w:tcPr>
            <w:tcW w:type="dxa" w:w="3264"/>
          </w:tcPr>
          <w:p>
            <w:r>
              <w:t>true</w:t>
            </w:r>
          </w:p>
        </w:tc>
        <w:tc>
          <w:tcPr>
            <w:tcW w:type="dxa" w:w="3264"/>
          </w:tcPr>
          <w:p>
            <w:r>
              <w:t>空库创建演示数据；共享部署关闭</w:t>
            </w:r>
          </w:p>
        </w:tc>
      </w:tr>
    </w:tbl>
    <w:p>
      <w:r>
        <w:t>敏感配置只在本机环境变量或忽略的 .env 中管理，不提交真实密码。前端开发地址和代理位于 vite.config.js。</w:t>
      </w:r>
    </w:p>
    <w:p>
      <w:pPr>
        <w:pStyle w:val="Heading2"/>
      </w:pPr>
      <w:r>
        <w:t>5–8 分钟演示顺序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时间</w:t>
            </w:r>
          </w:p>
        </w:tc>
        <w:tc>
          <w:tcPr>
            <w:tcW w:type="dxa" w:w="2448"/>
          </w:tcPr>
          <w:p>
            <w:r>
              <w:t>账号/界面</w:t>
            </w:r>
          </w:p>
        </w:tc>
        <w:tc>
          <w:tcPr>
            <w:tcW w:type="dxa" w:w="2448"/>
          </w:tcPr>
          <w:p>
            <w:r>
              <w:t>演示操作</w:t>
            </w:r>
          </w:p>
        </w:tc>
        <w:tc>
          <w:tcPr>
            <w:tcW w:type="dxa" w:w="2448"/>
          </w:tcPr>
          <w:p>
            <w:r>
              <w:t>说明重点</w:t>
            </w:r>
          </w:p>
        </w:tc>
      </w:tr>
      <w:tr>
        <w:tc>
          <w:tcPr>
            <w:tcW w:type="dxa" w:w="2448"/>
          </w:tcPr>
          <w:p>
            <w:r>
              <w:t>0:00–0:45</w:t>
            </w:r>
          </w:p>
        </w:tc>
        <w:tc>
          <w:tcPr>
            <w:tcW w:type="dxa" w:w="2448"/>
          </w:tcPr>
          <w:p>
            <w:r>
              <w:t>访客</w:t>
            </w:r>
          </w:p>
        </w:tc>
        <w:tc>
          <w:tcPr>
            <w:tcW w:type="dxa" w:w="2448"/>
          </w:tcPr>
          <w:p>
            <w:r>
              <w:t>首页、分类、搜索“数据结构”、价格筛选</w:t>
            </w:r>
          </w:p>
        </w:tc>
        <w:tc>
          <w:tcPr>
            <w:tcW w:type="dxa" w:w="2448"/>
          </w:tcPr>
          <w:p>
            <w:r>
              <w:t>数据来自真实接口与 MySQL，不是静态数组</w:t>
            </w:r>
          </w:p>
        </w:tc>
      </w:tr>
      <w:tr>
        <w:tc>
          <w:tcPr>
            <w:tcW w:type="dxa" w:w="2448"/>
          </w:tcPr>
          <w:p>
            <w:r>
              <w:t>0:45–1:45</w:t>
            </w:r>
          </w:p>
        </w:tc>
        <w:tc>
          <w:tcPr>
            <w:tcW w:type="dxa" w:w="2448"/>
          </w:tcPr>
          <w:p>
            <w:r>
              <w:t>seller</w:t>
            </w:r>
          </w:p>
        </w:tc>
        <w:tc>
          <w:tcPr>
            <w:tcW w:type="dxa" w:w="2448"/>
          </w:tcPr>
          <w:p>
            <w:r>
              <w:t>发布一件教材，上传 fixtures/book.png，价格 25</w:t>
            </w:r>
          </w:p>
        </w:tc>
        <w:tc>
          <w:tcPr>
            <w:tcW w:type="dxa" w:w="2448"/>
          </w:tcPr>
          <w:p>
            <w:r>
              <w:t>提交后 PENDING，公开搜索不可见</w:t>
            </w:r>
          </w:p>
        </w:tc>
      </w:tr>
      <w:tr>
        <w:tc>
          <w:tcPr>
            <w:tcW w:type="dxa" w:w="2448"/>
          </w:tcPr>
          <w:p>
            <w:r>
              <w:t>1:45–2:30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商品审核查看详情，通过该教材</w:t>
            </w:r>
          </w:p>
        </w:tc>
        <w:tc>
          <w:tcPr>
            <w:tcW w:type="dxa" w:w="2448"/>
          </w:tcPr>
          <w:p>
            <w:r>
              <w:t>审核后上架，记录管理员操作</w:t>
            </w:r>
          </w:p>
        </w:tc>
      </w:tr>
      <w:tr>
        <w:tc>
          <w:tcPr>
            <w:tcW w:type="dxa" w:w="2448"/>
          </w:tcPr>
          <w:p>
            <w:r>
              <w:t>2:30–3:30</w:t>
            </w:r>
          </w:p>
        </w:tc>
        <w:tc>
          <w:tcPr>
            <w:tcW w:type="dxa" w:w="2448"/>
          </w:tcPr>
          <w:p>
            <w:r>
              <w:t>buyer</w:t>
            </w:r>
          </w:p>
        </w:tc>
        <w:tc>
          <w:tcPr>
            <w:tcW w:type="dxa" w:w="2448"/>
          </w:tcPr>
          <w:p>
            <w:r>
              <w:t>搜索、收藏/取消、留言，刷新后查看</w:t>
            </w:r>
          </w:p>
        </w:tc>
        <w:tc>
          <w:tcPr>
            <w:tcW w:type="dxa" w:w="2448"/>
          </w:tcPr>
          <w:p>
            <w:r>
              <w:t>收藏唯一约束，留言持久化</w:t>
            </w:r>
          </w:p>
        </w:tc>
      </w:tr>
      <w:tr>
        <w:tc>
          <w:tcPr>
            <w:tcW w:type="dxa" w:w="2448"/>
          </w:tcPr>
          <w:p>
            <w:r>
              <w:t>3:30–4:15</w:t>
            </w:r>
          </w:p>
        </w:tc>
        <w:tc>
          <w:tcPr>
            <w:tcW w:type="dxa" w:w="2448"/>
          </w:tcPr>
          <w:p>
            <w:r>
              <w:t>seller</w:t>
            </w:r>
          </w:p>
        </w:tc>
        <w:tc>
          <w:tcPr>
            <w:tcW w:type="dxa" w:w="2448"/>
          </w:tcPr>
          <w:p>
            <w:r>
              <w:t>商品详情回复买家</w:t>
            </w:r>
          </w:p>
        </w:tc>
        <w:tc>
          <w:tcPr>
            <w:tcW w:type="dxa" w:w="2448"/>
          </w:tcPr>
          <w:p>
            <w:r>
              <w:t>留言模式，不是实时聊天</w:t>
            </w:r>
          </w:p>
        </w:tc>
      </w:tr>
      <w:tr>
        <w:tc>
          <w:tcPr>
            <w:tcW w:type="dxa" w:w="2448"/>
          </w:tcPr>
          <w:p>
            <w:r>
              <w:t>4:15–5:15</w:t>
            </w:r>
          </w:p>
        </w:tc>
        <w:tc>
          <w:tcPr>
            <w:tcW w:type="dxa" w:w="2448"/>
          </w:tcPr>
          <w:p>
            <w:r>
              <w:t>buyer/seller</w:t>
            </w:r>
          </w:p>
        </w:tc>
        <w:tc>
          <w:tcPr>
            <w:tcW w:type="dxa" w:w="2448"/>
          </w:tcPr>
          <w:p>
            <w:r>
              <w:t>买家发起订单，卖家接受</w:t>
            </w:r>
          </w:p>
        </w:tc>
        <w:tc>
          <w:tcPr>
            <w:tcW w:type="dxa" w:w="2448"/>
          </w:tcPr>
          <w:p>
            <w:r>
              <w:t>商品预订；事务和唯一索引防重复占用</w:t>
            </w:r>
          </w:p>
        </w:tc>
      </w:tr>
      <w:tr>
        <w:tc>
          <w:tcPr>
            <w:tcW w:type="dxa" w:w="2448"/>
          </w:tcPr>
          <w:p>
            <w:r>
              <w:t>5:15–5:45</w:t>
            </w:r>
          </w:p>
        </w:tc>
        <w:tc>
          <w:tcPr>
            <w:tcW w:type="dxa" w:w="2448"/>
          </w:tcPr>
          <w:p>
            <w:r>
              <w:t>buyer</w:t>
            </w:r>
          </w:p>
        </w:tc>
        <w:tc>
          <w:tcPr>
            <w:tcW w:type="dxa" w:w="2448"/>
          </w:tcPr>
          <w:p>
            <w:r>
              <w:t>“已完成线下交付”后确认完成</w:t>
            </w:r>
          </w:p>
        </w:tc>
        <w:tc>
          <w:tcPr>
            <w:tcW w:type="dxa" w:w="2448"/>
          </w:tcPr>
          <w:p>
            <w:r>
              <w:t>商品 SOLD，订单 COMPLETED，不发生在线付款</w:t>
            </w:r>
          </w:p>
        </w:tc>
      </w:tr>
      <w:tr>
        <w:tc>
          <w:tcPr>
            <w:tcW w:type="dxa" w:w="2448"/>
          </w:tcPr>
          <w:p>
            <w:r>
              <w:t>5:45–6:45</w:t>
            </w:r>
          </w:p>
        </w:tc>
        <w:tc>
          <w:tcPr>
            <w:tcW w:type="dxa" w:w="2448"/>
          </w:tcPr>
          <w:p>
            <w:r>
              <w:t>admin</w:t>
            </w:r>
          </w:p>
        </w:tc>
        <w:tc>
          <w:tcPr>
            <w:tcW w:type="dxa" w:w="2448"/>
          </w:tcPr>
          <w:p>
            <w:r>
              <w:t>订单查询、看板、分类图、7 日趋势</w:t>
            </w:r>
          </w:p>
        </w:tc>
        <w:tc>
          <w:tcPr>
            <w:tcW w:type="dxa" w:w="2448"/>
          </w:tcPr>
          <w:p>
            <w:r>
              <w:t>只统计已完成订单，金额为下单快照</w:t>
            </w:r>
          </w:p>
        </w:tc>
      </w:tr>
      <w:tr>
        <w:tc>
          <w:tcPr>
            <w:tcW w:type="dxa" w:w="2448"/>
          </w:tcPr>
          <w:p>
            <w:r>
              <w:t>6:45–7:30</w:t>
            </w:r>
          </w:p>
        </w:tc>
        <w:tc>
          <w:tcPr>
            <w:tcW w:type="dxa" w:w="2448"/>
          </w:tcPr>
          <w:p>
            <w:r>
              <w:t>buyer/admin</w:t>
            </w:r>
          </w:p>
        </w:tc>
        <w:tc>
          <w:tcPr>
            <w:tcW w:type="dxa" w:w="2448"/>
          </w:tcPr>
          <w:p>
            <w:r>
              <w:t>举报并处理，查看审计日志</w:t>
            </w:r>
          </w:p>
        </w:tc>
        <w:tc>
          <w:tcPr>
            <w:tcW w:type="dxa" w:w="2448"/>
          </w:tcPr>
          <w:p>
            <w:r>
              <w:t>原因、结果、操作者、时间均可追溯</w:t>
            </w:r>
          </w:p>
        </w:tc>
      </w:tr>
      <w:tr>
        <w:tc>
          <w:tcPr>
            <w:tcW w:type="dxa" w:w="2448"/>
          </w:tcPr>
          <w:p>
            <w:r>
              <w:t>7:30–8:00</w:t>
            </w:r>
          </w:p>
        </w:tc>
        <w:tc>
          <w:tcPr>
            <w:tcW w:type="dxa" w:w="2448"/>
          </w:tcPr>
          <w:p>
            <w:r>
              <w:t>代码/报告</w:t>
            </w:r>
          </w:p>
        </w:tc>
        <w:tc>
          <w:tcPr>
            <w:tcW w:type="dxa" w:w="2448"/>
          </w:tcPr>
          <w:p>
            <w:r>
              <w:t>OrderService 和数据库索引</w:t>
            </w:r>
          </w:p>
        </w:tc>
        <w:tc>
          <w:tcPr>
            <w:tcW w:type="dxa" w:w="2448"/>
          </w:tcPr>
          <w:p>
            <w:r>
              <w:t>说明并发规则与项目分层</w:t>
            </w:r>
          </w:p>
        </w:tc>
      </w:tr>
    </w:tbl>
    <w:p>
      <w:r>
        <w:t>演示前准备一张真实物品照片更直观。项目 fixtures 图片是自动验收素材，本地 SVG 商品插画也是演示样例，不应声称为实物摄影。</w:t>
      </w:r>
    </w:p>
    <w:p>
      <w:pPr>
        <w:pStyle w:val="Heading2"/>
      </w:pPr>
      <w:r>
        <w:t>常见问题</w:t>
      </w:r>
    </w:p>
    <w:p>
      <w:pPr>
        <w:pStyle w:val="ListBullet"/>
      </w:pPr>
      <w:r>
        <w:t>Access denied：核对 IDEA 的 DB_USER、DB_PASSWORD 与 MySQL 账号授权；.env 不会自动注入 IDEA。</w:t>
      </w:r>
    </w:p>
    <w:p>
      <w:pPr>
        <w:pStyle w:val="ListBullet"/>
      </w:pPr>
      <w:r>
        <w:t>连接失败 / Communications link failure：MySQL 是否运行，端口是 3306 还是 3307，库名是否创建。</w:t>
      </w:r>
    </w:p>
    <w:p>
      <w:pPr>
        <w:pStyle w:val="ListBullet"/>
      </w:pPr>
      <w:r>
        <w:t>Unsupported class version / release 21 not supported：项目和 Maven 编译器均使用 JDK 21，不能只安装 Java 运行时。</w:t>
      </w:r>
    </w:p>
    <w:p>
      <w:pPr>
        <w:pStyle w:val="ListBullet"/>
      </w:pPr>
      <w:r>
        <w:t>Unknown database：先运行 create-database.sql。Flyway 建表但不负责创建数据库。</w:t>
      </w:r>
    </w:p>
    <w:p>
      <w:pPr>
        <w:pStyle w:val="ListBullet"/>
      </w:pPr>
      <w:r>
        <w:t>Flyway checksum mismatch：已运行的 V1 不要改动；新增 V2 迁移。课程空库要重建时先自行备份，勿在真实数据上直接清库。</w:t>
      </w:r>
    </w:p>
    <w:p>
      <w:pPr>
        <w:pStyle w:val="ListBullet"/>
      </w:pPr>
      <w:r>
        <w:t>已有表但缺 Flyway 历史：推荐使用新的空库启动，避免手动导入与自动迁移混用。</w:t>
      </w:r>
    </w:p>
    <w:p>
      <w:pPr>
        <w:pStyle w:val="ListBullet"/>
      </w:pPr>
      <w:r>
        <w:t>前端没有商品：看后端健康接口与浏览器 Network，确认 Vite 的代理端口对应后端。</w:t>
      </w:r>
    </w:p>
    <w:p>
      <w:pPr>
        <w:pStyle w:val="ListBullet"/>
      </w:pPr>
      <w:r>
        <w:t>图片不显示：上传目录是否保留，工作目录是否固定，路径是否以 /uploads 或 /samples 开头并经代理。</w:t>
      </w:r>
    </w:p>
    <w:p>
      <w:pPr>
        <w:pStyle w:val="ListBullet"/>
      </w:pPr>
      <w:r>
        <w:t>登录角色混乱：令牌在 sessionStorage；用不同浏览器或无痕窗口分开角色，同一标签页退出后再登录。</w:t>
      </w:r>
    </w:p>
    <w:p>
      <w:pPr>
        <w:pStyle w:val="ListBullet"/>
      </w:pPr>
      <w:r>
        <w:t>商品一直待审核：使用 admin 在商品审核通过；编辑后必须重新审核。</w:t>
      </w:r>
    </w:p>
    <w:p>
      <w:pPr>
        <w:pStyle w:val="ListBullet"/>
      </w:pPr>
      <w:r>
        <w:t>订单不能直接完成：先由卖家接受订单，再由买家确认；管理员不能代确认。</w:t>
      </w:r>
    </w:p>
    <w:p>
      <w:pPr>
        <w:pStyle w:val="ListBullet"/>
      </w:pPr>
      <w:r>
        <w:t>npm 提示 EBADENGINE：使用 Node 22.12+ 或 24，不使用 Node 16/18。</w:t>
      </w:r>
    </w:p>
    <w:p>
      <w:pPr>
        <w:pStyle w:val="Heading2"/>
      </w:pPr>
      <w:r>
        <w:t>答辩可能提问</w:t>
      </w:r>
    </w:p>
    <w:p>
      <w:r>
        <w:t>1. 为什么不用真实支付？ 课程 V1.0 聚焦信息与履约闭环，订单记录的是线下交易，降低对接与资金处理成本。</w:t>
      </w:r>
    </w:p>
    <w:p>
      <w:r>
        <w:t>2. 两个买家同时下单怎么办？ 待确认订单可以多条，卖家确认在事务中锁商品与订单，只允许一条确认；同时取消其他待确认订单，数据库唯一生成列进一步约束。</w:t>
      </w:r>
    </w:p>
    <w:p>
      <w:r>
        <w:t>3. 前端隐藏按钮够安全吗？ 不够。Spring Security 控制登录/角色，Service 校验商品、买家和卖家归属，非法请求返回 403。</w:t>
      </w:r>
    </w:p>
    <w:p>
      <w:r>
        <w:t>4. 为什么价格要快照？ 商品信息未来可能变化，订单应保留交易创建时的价格、名称和图片，统计基于订单金额。</w:t>
      </w:r>
    </w:p>
    <w:p>
      <w:r>
        <w:t>5. 密码怎么保存？ BCrypt 单向哈希，不存明文；令牌只存 SHA-256 摘要，退出与封禁会撤销。</w:t>
      </w:r>
    </w:p>
    <w:p>
      <w:r>
        <w:t>6. 怎么防恶意上传？ 限制大小、像素、文件数、扩展名、MIME、实际解码格式，重新编码、UUID 命名与上传归属校验。</w:t>
      </w:r>
    </w:p>
    <w:p>
      <w:r>
        <w:t>7. 图表是否是假数据？ 由 SQL 对订单和商品聚合，历史演示订单是真实库表记录，接口验收把统计总量和订单明细交叉对照。</w:t>
      </w:r>
    </w:p>
    <w:p>
      <w:r>
        <w:t>8. 如果后续改需求？ 前端页面组件、接口、业务 Service、数据库迁移分开；新字段用新迁移，已有测试回归检查交易规则。</w:t>
      </w:r>
    </w:p>
    <w:p>
      <w:pPr>
        <w:pStyle w:val="Heading2"/>
      </w:pPr>
      <w:r>
        <w:t>提交前清单</w:t>
      </w:r>
    </w:p>
    <w:p>
      <w:r>
        <w:t>补充个人信息、按老师模板排版；在自己的电脑从空库启动；更换一个自定义账号走完整流程；检查源码压缩包没有真实密码；熟悉 OrderService、Requests 和 V1 SQL；用自述录音录制最终讲解。项目附带的自动录屏可作为功能运行证据，不包含个人解说。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Campus Exchange · 校园二手交易平台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76B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76B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