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【</w:t>
      </w:r>
      <w:r>
        <w:rPr>
          <w:rFonts w:hint="eastAsia" w:ascii="微软雅黑" w:hAnsi="微软雅黑" w:eastAsia="微软雅黑" w:cs="微软雅黑"/>
          <w:i w:val="false"/>
          <w:strike w:val="false"/>
          <w:spacing w:val="0"/>
          <w:u w:val="none"/>
        </w:rPr>
        <w:t>省心</w:t>
      </w:r>
      <w:r>
        <w:rPr>
          <w:rFonts w:hint="eastAsia" w:ascii="微软雅黑" w:hAnsi="微软雅黑" w:eastAsia="微软雅黑" w:cs="微软雅黑"/>
          <w:i w:val="false"/>
          <w:strike w:val="false"/>
          <w:spacing w:val="0"/>
          <w:u w:val="none"/>
        </w:rPr>
        <w:t>住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】</w:t>
      </w:r>
      <w:r>
        <w:rPr>
          <w:rFonts w:hint="eastAsia" w:ascii="微软雅黑" w:hAnsi="微软雅黑" w:eastAsia="微软雅黑" w:cs="微软雅黑"/>
        </w:rPr>
        <w:t>定制</w:t>
      </w:r>
      <w:r>
        <w:rPr>
          <w:rFonts w:hint="eastAsia" w:ascii="微软雅黑" w:hAnsi="微软雅黑" w:eastAsia="微软雅黑" w:cs="微软雅黑"/>
        </w:rPr>
        <w:t>开发</w:t>
      </w:r>
      <w:r>
        <w:rPr>
          <w:rFonts w:hint="eastAsia" w:ascii="微软雅黑" w:hAnsi="微软雅黑" w:eastAsia="微软雅黑" w:cs="微软雅黑"/>
        </w:rPr>
        <w:t>服务</w:t>
      </w:r>
      <w:r>
        <w:rPr>
          <w:rFonts w:hint="eastAsia" w:ascii="微软雅黑" w:hAnsi="微软雅黑" w:eastAsia="微软雅黑" w:cs="微软雅黑"/>
        </w:rPr>
        <w:t>《方案报价》</w:t>
      </w:r>
    </w:p>
    <w:p>
      <w:pPr>
        <w:numPr>
          <w:ilvl w:val="0"/>
          <w:numId w:val="1"/>
        </w:numPr>
        <w:pBdr>
          <w:bottom/>
        </w:pBdr>
        <w:spacing w:line="312"/>
        <w:ind/>
        <w:rPr>
          <w:rFonts w:hint="eastAsia" w:ascii="微软雅黑" w:hAnsi="微软雅黑" w:eastAsia="微软雅黑" w:cs="微软雅黑"/>
          <w:b/>
          <w:color w:val="000000"/>
          <w:sz w:val="26"/>
        </w:rPr>
      </w:pPr>
      <w:r>
        <w:rPr>
          <w:rFonts w:hint="eastAsia" w:ascii="微软雅黑" w:hAnsi="微软雅黑" w:eastAsia="微软雅黑" w:cs="微软雅黑"/>
          <w:b/>
          <w:color w:val="000000"/>
          <w:sz w:val="26"/>
        </w:rPr>
        <w:t>需求理解</w:t>
      </w:r>
      <w:r>
        <w:rPr>
          <w:rFonts w:hint="eastAsia" w:ascii="微软雅黑" w:hAnsi="微软雅黑" w:eastAsia="微软雅黑" w:cs="微软雅黑"/>
          <w:b/>
          <w:color w:val="000000"/>
          <w:sz w:val="26"/>
        </w:rPr>
        <w:t>（</w:t>
      </w:r>
      <w:r>
        <w:rPr>
          <w:rFonts w:hint="eastAsia" w:ascii="微软雅黑" w:hAnsi="微软雅黑" w:eastAsia="微软雅黑" w:cs="微软雅黑"/>
          <w:b/>
          <w:color w:val="000000"/>
          <w:sz w:val="26"/>
        </w:rPr>
        <w:t>必填</w:t>
      </w:r>
      <w:r>
        <w:rPr>
          <w:rFonts w:hint="eastAsia" w:ascii="微软雅黑" w:hAnsi="微软雅黑" w:eastAsia="微软雅黑" w:cs="微软雅黑"/>
          <w:b/>
          <w:color w:val="000000"/>
          <w:sz w:val="26"/>
        </w:rPr>
        <w:t>）</w:t>
      </w:r>
    </w:p>
    <w:tbl>
      <w:tblPr>
        <w:tblStyle w:val="yv3bi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Look w:firstRow="true" w:lastRow="false" w:firstColumn="true" w:lastColumn="false" w:noHBand="false" w:noVBand="true"/>
      </w:tblPr>
      <w:tblGrid>
        <w:gridCol w:w="4340"/>
        <w:gridCol w:w="3320"/>
      </w:tblGrid>
      <w:tr>
        <w:trPr>
          <w:trHeight w:val="472" w:hRule="atLeast"/>
        </w:trPr>
        <w:tc>
          <w:tcPr>
            <w:tcW w:w="4340" w:type="dxa"/>
          </w:tcPr>
          <w:p>
            <w:pPr>
              <w:spacing w:line="312"/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需求</w:t>
            </w:r>
          </w:p>
        </w:tc>
        <w:tc>
          <w:tcPr>
            <w:tcW w:w="3320" w:type="dxa"/>
          </w:tcPr>
          <w:p>
            <w:pPr>
              <w:spacing w:line="312"/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需求优先级</w:t>
            </w:r>
          </w:p>
        </w:tc>
      </w:tr>
      <w:tr>
        <w:trPr>
          <w:trHeight w:val="472" w:hRule="atLeast"/>
        </w:trPr>
        <w:tc>
          <w:tcPr>
            <w:tcW w:w="4340" w:type="dxa"/>
          </w:tcPr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客户登记与管理（合同资料等直接上传备份）</w:t>
            </w:r>
          </w:p>
        </w:tc>
        <w:tc>
          <w:tcPr>
            <w:tcW w:w="3320" w:type="dxa"/>
          </w:tcPr>
          <w:p>
            <w:pPr>
              <w:spacing w:line="312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P0</w:t>
            </w:r>
          </w:p>
        </w:tc>
      </w:tr>
      <w:tr>
        <w:trPr>
          <w:wBefore/>
          <w:trHeight w:val="522" w:hRule="atLeast"/>
        </w:trPr>
        <w:tc>
          <w:tcPr>
            <w:tcW w:w="4340" w:type="dxa"/>
          </w:tcPr>
          <w:p>
            <w:pPr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 xml:space="preserve">运营-客服-线索登记-分配-邀约-谈单 </w:t>
            </w:r>
          </w:p>
        </w:tc>
        <w:tc>
          <w:tcPr>
            <w:tcW w:w="3320" w:type="dxa"/>
          </w:tcPr>
          <w:p>
            <w:pPr>
              <w:spacing w:line="312"/>
              <w:ind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暂不需要</w:t>
            </w:r>
          </w:p>
        </w:tc>
      </w:tr>
      <w:tr>
        <w:trPr>
          <w:trHeight w:val="522" w:hRule="atLeast"/>
        </w:trPr>
        <w:tc>
          <w:tcPr>
            <w:tcW w:w="4340" w:type="dxa"/>
          </w:tcPr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订单全流程登记（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运营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%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→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交意向金-交定金-签合同-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量房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-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方案确认-下单-拆单-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采购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-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生产-送货-安装-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监理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-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售后-完结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）</w:t>
            </w:r>
          </w:p>
        </w:tc>
        <w:tc>
          <w:tcPr>
            <w:tcW w:w="3320" w:type="dxa"/>
          </w:tcPr>
          <w:p>
            <w:pPr>
              <w:spacing w:line="312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0</w:t>
            </w:r>
          </w:p>
        </w:tc>
      </w:tr>
      <w:tr>
        <w:trPr>
          <w:trHeight w:val="472" w:hRule="atLeast"/>
        </w:trPr>
        <w:tc>
          <w:tcPr>
            <w:tcW w:w="4340" w:type="dxa"/>
          </w:tcPr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订单节点提醒和流转</w:t>
            </w:r>
          </w:p>
        </w:tc>
        <w:tc>
          <w:tcPr>
            <w:tcW w:w="3320" w:type="dxa"/>
          </w:tcPr>
          <w:p>
            <w:pPr>
              <w:spacing w:line="312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0</w:t>
            </w:r>
          </w:p>
        </w:tc>
      </w:tr>
      <w:tr>
        <w:trPr>
          <w:wBefore/>
          <w:trHeight w:val="472" w:hRule="atLeast"/>
        </w:trPr>
        <w:tc>
          <w:tcPr>
            <w:tcW w:w="4340" w:type="dxa"/>
          </w:tcPr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个人、公司业绩汇总及排行</w:t>
            </w:r>
          </w:p>
        </w:tc>
        <w:tc>
          <w:tcPr>
            <w:tcW w:w="3320" w:type="dxa"/>
          </w:tcPr>
          <w:p>
            <w:pPr>
              <w:spacing w:line="312"/>
              <w:ind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0</w:t>
            </w:r>
          </w:p>
        </w:tc>
      </w:tr>
      <w:tr>
        <w:trPr>
          <w:wBefore/>
          <w:trHeight w:val="472" w:hRule="atLeast"/>
        </w:trPr>
        <w:tc>
          <w:tcPr>
            <w:tcW w:w="4340" w:type="dxa"/>
          </w:tcPr>
          <w:p>
            <w:pPr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成本统计和毛利自动计算</w:t>
            </w:r>
          </w:p>
        </w:tc>
        <w:tc>
          <w:tcPr>
            <w:tcW w:w="3320" w:type="dxa"/>
          </w:tcPr>
          <w:p>
            <w:pPr>
              <w:numPr/>
              <w:pBdr>
                <w:bottom/>
              </w:pBdr>
              <w:spacing w:line="312"/>
              <w:ind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P0</w:t>
            </w:r>
          </w:p>
        </w:tc>
      </w:tr>
      <w:tr>
        <w:trPr>
          <w:wBefore/>
          <w:trHeight w:val="472" w:hRule="atLeast"/>
        </w:trPr>
        <w:tc>
          <w:tcPr>
            <w:tcW w:w="4340" w:type="dxa"/>
          </w:tcPr>
          <w:p>
            <w:pPr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以上数据和功能集成一体化</w:t>
            </w:r>
          </w:p>
        </w:tc>
        <w:tc>
          <w:tcPr>
            <w:tcW w:w="3320" w:type="dxa"/>
          </w:tcPr>
          <w:p>
            <w:pPr>
              <w:spacing w:line="312"/>
              <w:ind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0</w:t>
            </w:r>
          </w:p>
        </w:tc>
      </w:tr>
      <w:tr>
        <w:trPr>
          <w:wBefore/>
          <w:trHeight w:val="472" w:hRule="atLeast"/>
        </w:trPr>
        <w:tc>
          <w:tcPr>
            <w:tcW w:w="4340" w:type="dxa"/>
          </w:tcPr>
          <w:p>
            <w:pPr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数据分析看板，仪表盘功能</w:t>
            </w:r>
          </w:p>
        </w:tc>
        <w:tc>
          <w:tcPr>
            <w:tcW w:w="3320" w:type="dxa"/>
          </w:tcPr>
          <w:p>
            <w:pPr>
              <w:spacing w:line="312"/>
              <w:ind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</w:t>
            </w:r>
          </w:p>
        </w:tc>
      </w:tr>
    </w:tbl>
    <w:p>
      <w:pPr>
        <w:numPr>
          <w:ilvl w:val="0"/>
          <w:numId w:val="1"/>
        </w:numPr>
        <w:pBdr>
          <w:bottom/>
        </w:pBdr>
        <w:spacing w:line="312"/>
        <w:ind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b/>
          <w:color w:val="000000"/>
          <w:sz w:val="26"/>
        </w:rPr>
        <w:t>业务流程图</w:t>
      </w:r>
    </w:p>
    <w:p>
      <w:pPr>
        <w:pBdr/>
        <w:spacing w:line="312"/>
        <w:ind w:left="0"/>
        <w:rPr>
          <w:rFonts w:hint="eastAsia" w:ascii="微软雅黑" w:hAnsi="微软雅黑" w:eastAsia="微软雅黑" w:cs="微软雅黑"/>
          <w:color w:val="000000"/>
        </w:rPr>
      </w:pPr>
      <w:r>
        <w:rPr/>
        <w:drawing>
          <wp:inline distT="0" distB="0" distL="0" distR="0">
            <wp:extent cx="7560432" cy="3780216"/>
            <wp:effectExtent l="12700" t="12700" r="12700" b="12700"/>
            <wp:docPr id="2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 descr="图标  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432" cy="3780216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Bdr/>
        <w:spacing w:line="312"/>
        <w:ind w:left="0"/>
        <w:rPr>
          <w:rFonts w:hint="eastAsia" w:ascii="微软雅黑" w:hAnsi="微软雅黑" w:eastAsia="微软雅黑" w:cs="微软雅黑"/>
          <w:color w:val="000000"/>
        </w:rPr>
      </w:pPr>
    </w:p>
    <w:p>
      <w:pPr>
        <w:pBdr/>
        <w:spacing w:line="312"/>
        <w:ind w:left="0"/>
        <w:rPr>
          <w:rFonts w:hint="eastAsia" w:ascii="微软雅黑" w:hAnsi="微软雅黑" w:eastAsia="微软雅黑" w:cs="微软雅黑"/>
          <w:color w:val="000000"/>
        </w:rPr>
      </w:pPr>
    </w:p>
    <w:p>
      <w:pPr>
        <w:numPr>
          <w:ilvl w:val="0"/>
          <w:numId w:val="1"/>
        </w:numPr>
        <w:pBdr>
          <w:bottom/>
        </w:pBdr>
        <w:spacing w:line="312"/>
        <w:ind/>
        <w:rPr>
          <w:rFonts w:hint="eastAsia" w:ascii="微软雅黑" w:hAnsi="微软雅黑" w:eastAsia="微软雅黑" w:cs="微软雅黑"/>
          <w:b/>
          <w:color w:val="000000"/>
          <w:sz w:val="26"/>
        </w:rPr>
      </w:pPr>
      <w:r>
        <w:rPr>
          <w:rFonts w:hint="eastAsia" w:ascii="微软雅黑" w:hAnsi="微软雅黑" w:eastAsia="微软雅黑" w:cs="微软雅黑"/>
          <w:b/>
          <w:color w:val="000000"/>
          <w:sz w:val="26"/>
        </w:rPr>
        <w:t>设计系统</w:t>
      </w:r>
    </w:p>
    <w:p>
      <w:pPr>
        <w:pBdr/>
        <w:spacing w:line="312"/>
        <w:ind w:left="0"/>
        <w:rPr>
          <w:rFonts w:hint="eastAsia" w:ascii="微软雅黑" w:hAnsi="微软雅黑" w:eastAsia="微软雅黑" w:cs="微软雅黑"/>
          <w:color w:val="000000"/>
        </w:rPr>
      </w:pPr>
      <w:r>
        <w:rPr/>
        <w:drawing>
          <wp:inline distT="0" distB="0" distL="0" distR="0">
            <wp:extent cx="7560432" cy="3780216"/>
            <wp:effectExtent l="12700" t="12700" r="12700" b="12700"/>
            <wp:docPr id="5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1" descr="图标  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432" cy="3780216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>
          <w:bottom/>
        </w:pBdr>
        <w:spacing w:line="312"/>
        <w:ind/>
        <w:rPr>
          <w:rFonts w:hint="eastAsia" w:ascii="微软雅黑" w:hAnsi="微软雅黑" w:eastAsia="微软雅黑" w:cs="微软雅黑"/>
          <w:b/>
          <w:color w:val="000000"/>
          <w:sz w:val="26"/>
        </w:rPr>
      </w:pPr>
      <w:r>
        <w:rPr>
          <w:rFonts w:hint="eastAsia" w:ascii="微软雅黑" w:hAnsi="微软雅黑" w:eastAsia="微软雅黑" w:cs="微软雅黑"/>
          <w:b/>
          <w:color w:val="000000"/>
          <w:sz w:val="26"/>
        </w:rPr>
        <w:t>全流程服务内容</w:t>
      </w:r>
    </w:p>
    <w:p>
      <w:pPr>
        <w:pBdr/>
        <w:spacing w:line="312"/>
        <w:ind w:left="0"/>
        <w:rPr>
          <w:rFonts w:hint="eastAsia" w:ascii="微软雅黑" w:hAnsi="微软雅黑" w:eastAsia="微软雅黑" w:cs="微软雅黑"/>
          <w:color w:val="000000"/>
        </w:rPr>
      </w:pPr>
      <w:r>
        <w:rPr/>
        <w:drawing>
          <wp:inline distT="0" distB="0" distL="0" distR="0">
            <wp:extent cx="7560432" cy="3780216"/>
            <wp:effectExtent l="12700" t="12700" r="12700" b="12700"/>
            <wp:docPr id="8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图片 1" descr="图标  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432" cy="3780216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Bdr/>
        <w:spacing w:line="312"/>
        <w:ind w:left="0"/>
        <w:rPr>
          <w:rFonts w:hint="eastAsia" w:ascii="微软雅黑" w:hAnsi="微软雅黑" w:eastAsia="微软雅黑" w:cs="微软雅黑"/>
          <w:color w:val="000000"/>
        </w:rPr>
      </w:pPr>
    </w:p>
    <w:p>
      <w:pPr>
        <w:numPr>
          <w:ilvl w:val="0"/>
          <w:numId w:val="1"/>
        </w:numPr>
        <w:pBdr>
          <w:bottom/>
        </w:pBdr>
        <w:spacing w:line="312"/>
        <w:ind/>
        <w:rPr>
          <w:rFonts w:hint="eastAsia" w:ascii="微软雅黑" w:hAnsi="微软雅黑" w:eastAsia="微软雅黑" w:cs="微软雅黑"/>
          <w:b/>
          <w:color w:val="000000"/>
          <w:sz w:val="26"/>
        </w:rPr>
      </w:pPr>
      <w:r>
        <w:rPr>
          <w:rFonts w:hint="eastAsia" w:ascii="微软雅黑" w:hAnsi="微软雅黑" w:eastAsia="微软雅黑" w:cs="微软雅黑"/>
          <w:b/>
          <w:color w:val="000000"/>
          <w:sz w:val="26"/>
        </w:rPr>
        <w:t>报价清单</w:t>
      </w:r>
    </w:p>
    <w:tbl>
      <w:tblPr>
        <w:tblStyle w:val="yv3bi7"/>
        <w:tblLayout w:type="fixed"/>
      </w:tblPr>
      <w:tblGrid>
        <w:gridCol w:w="1278"/>
        <w:gridCol w:w="1428"/>
        <w:gridCol w:w="736"/>
        <w:gridCol w:w="832"/>
        <w:gridCol w:w="470"/>
        <w:gridCol w:w="464"/>
        <w:gridCol w:w="931"/>
        <w:gridCol w:w="220"/>
        <w:gridCol w:w="969"/>
        <w:gridCol w:w="1754"/>
        <w:gridCol w:w="2821"/>
      </w:tblGrid>
      <w:tr>
        <w:trPr>
          <w:trHeight w:val="388" w:hRule="atLeast"/>
        </w:trPr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费用类型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子项目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单价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数量</w:t>
            </w:r>
          </w:p>
        </w:tc>
        <w:tc>
          <w:tcPr>
            <w:tcW w:w="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工期</w:t>
            </w:r>
          </w:p>
        </w:tc>
        <w:tc>
          <w:tcPr>
            <w:tcW w:w="11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原价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折扣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合计（元）</w:t>
            </w:r>
          </w:p>
        </w:tc>
        <w:tc>
          <w:tcPr>
            <w:tcW w:w="2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备注</w:t>
            </w:r>
          </w:p>
        </w:tc>
      </w:tr>
      <w:tr>
        <w:trPr>
          <w:wBefore/>
          <w:trHeight w:val="388" w:hRule="atLeast"/>
        </w:trPr>
        <w:tc>
          <w:tcPr>
            <w:tcW w:w="12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智能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表格</w:t>
            </w:r>
          </w:p>
          <w:p>
            <w:pPr>
              <w:numPr/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定制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开发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定制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搭建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</w:t>
            </w:r>
          </w:p>
        </w:tc>
        <w:tc>
          <w:tcPr>
            <w:tcW w:w="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11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7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b/>
                <w:color w:val="FF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false"/>
                <w:strike w:val="false"/>
                <w:color w:val="FF0000"/>
                <w:spacing w:val="0"/>
                <w:sz w:val="20"/>
                <w:u w:val="none"/>
                <w:vertAlign w:val="baseline"/>
              </w:rPr>
              <w:t>1980</w:t>
            </w:r>
          </w:p>
        </w:tc>
        <w:tc>
          <w:tcPr>
            <w:tcW w:w="28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原价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4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4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元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套餐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9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8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元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价格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按照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套餐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价格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交付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按照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功能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清单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明细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做好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后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永久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使用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售后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答疑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一个月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。</w:t>
            </w:r>
          </w:p>
          <w:p>
            <w:pPr>
              <w:numPr/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</w:tr>
      <w:tr>
        <w:trPr>
          <w:wBefore/>
          <w:trHeight w:val="388" w:hRule="atLeast"/>
        </w:trPr>
        <w:tc>
          <w:tcPr>
            <w:tcW w:w="12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自动化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8</w:t>
            </w:r>
          </w:p>
        </w:tc>
        <w:tc>
          <w:tcPr>
            <w:tcW w:w="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8</w:t>
            </w:r>
          </w:p>
        </w:tc>
        <w:tc>
          <w:tcPr>
            <w:tcW w:w="11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8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7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b/>
                <w:color w:val="FF0000"/>
                <w:sz w:val="20"/>
              </w:rPr>
            </w:pPr>
          </w:p>
        </w:tc>
        <w:tc>
          <w:tcPr>
            <w:tcW w:w="28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</w:tr>
      <w:tr>
        <w:trPr>
          <w:wBefore/>
          <w:trHeight w:val="388" w:hRule="atLeast"/>
        </w:trPr>
        <w:tc>
          <w:tcPr>
            <w:tcW w:w="12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仪表盘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</w:p>
        </w:tc>
        <w:tc>
          <w:tcPr>
            <w:tcW w:w="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4</w:t>
            </w:r>
          </w:p>
        </w:tc>
        <w:tc>
          <w:tcPr>
            <w:tcW w:w="11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4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7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b/>
                <w:color w:val="FF0000"/>
                <w:sz w:val="20"/>
              </w:rPr>
            </w:pPr>
          </w:p>
        </w:tc>
        <w:tc>
          <w:tcPr>
            <w:tcW w:w="28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</w:tr>
      <w:tr>
        <w:trPr>
          <w:wBefore/>
          <w:trHeight w:val="388" w:hRule="atLeast"/>
        </w:trPr>
        <w:tc>
          <w:tcPr>
            <w:tcW w:w="12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精细化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权限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4</w:t>
            </w:r>
          </w:p>
        </w:tc>
        <w:tc>
          <w:tcPr>
            <w:tcW w:w="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4</w:t>
            </w:r>
          </w:p>
        </w:tc>
        <w:tc>
          <w:tcPr>
            <w:tcW w:w="11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4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7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b/>
                <w:color w:val="FF0000"/>
                <w:sz w:val="20"/>
              </w:rPr>
            </w:pPr>
          </w:p>
        </w:tc>
        <w:tc>
          <w:tcPr>
            <w:tcW w:w="28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</w:tr>
      <w:tr>
        <w:trPr>
          <w:trHeight w:val="388" w:hRule="atLeast"/>
        </w:trPr>
        <w:tc>
          <w:tcPr>
            <w:tcW w:w="12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数据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协同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4</w:t>
            </w:r>
          </w:p>
        </w:tc>
        <w:tc>
          <w:tcPr>
            <w:tcW w:w="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8</w:t>
            </w:r>
          </w:p>
        </w:tc>
        <w:tc>
          <w:tcPr>
            <w:tcW w:w="11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8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7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b/>
                <w:color w:val="FF0000"/>
                <w:sz w:val="20"/>
              </w:rPr>
            </w:pPr>
          </w:p>
        </w:tc>
        <w:tc>
          <w:tcPr>
            <w:tcW w:w="28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</w:tr>
      <w:tr>
        <w:trPr>
          <w:wBefore/>
          <w:trHeight w:val="388" w:hRule="atLeast"/>
        </w:trPr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文档</w:t>
            </w:r>
          </w:p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高级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会员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建议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开通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5</w:t>
            </w:r>
          </w:p>
        </w:tc>
        <w:tc>
          <w:tcPr>
            <w:tcW w:w="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w="11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9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%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b/>
                <w:color w:val="FF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0"/>
              </w:rPr>
              <w:t>900</w:t>
            </w:r>
          </w:p>
        </w:tc>
        <w:tc>
          <w:tcPr>
            <w:tcW w:w="2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服务商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申请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9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折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开通</w:t>
            </w:r>
          </w:p>
        </w:tc>
      </w:tr>
      <w:tr>
        <w:trPr>
          <w:trHeight w:val="388" w:hRule="atLeast"/>
        </w:trPr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合计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20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3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29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b/>
                <w:color w:val="FF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0"/>
              </w:rPr>
              <w:t>2880元</w:t>
            </w:r>
          </w:p>
        </w:tc>
        <w:tc>
          <w:tcPr>
            <w:tcW w:w="2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Bdr/>
        <w:spacing w:line="312"/>
        <w:ind w:left="0"/>
        <w:rPr>
          <w:sz w:val="2"/>
        </w:rPr>
      </w:pPr>
    </w:p>
    <w:tbl>
      <w:tblPr>
        <w:tblStyle w:val="yv3bi7"/>
        <w:tblLayout w:type="fixed"/>
      </w:tblPr>
      <w:tblGrid>
        <w:gridCol w:w="1483"/>
        <w:gridCol w:w="1958"/>
        <w:gridCol w:w="3385"/>
        <w:gridCol w:w="1627"/>
        <w:gridCol w:w="1273"/>
        <w:gridCol w:w="1663"/>
      </w:tblGrid>
      <w:tr>
        <w:trPr>
          <w:wBefore/>
          <w:trHeight w:val="1075" w:hRule="atLeast"/>
        </w:trPr>
        <w:tc>
          <w:tcPr>
            <w:tcW w:w="1138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方案功能清单</w:t>
            </w:r>
          </w:p>
        </w:tc>
      </w:tr>
      <w:tr>
        <w:trPr>
          <w:trHeight w:val="1075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模块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功能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功能明细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备注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false"/>
                <w:strike w:val="false"/>
                <w:color w:val="333333"/>
                <w:spacing w:val="0"/>
                <w:sz w:val="20"/>
                <w:u w:val="none"/>
                <w:vertAlign w:val="baseline"/>
              </w:rPr>
              <w:t>数量</w:t>
            </w:r>
            <w:r>
              <w:rPr>
                <w:rFonts w:hint="eastAsia" w:ascii="微软雅黑" w:hAnsi="微软雅黑" w:eastAsia="微软雅黑" w:cs="微软雅黑"/>
                <w:b/>
                <w:i w:val="false"/>
                <w:strike w:val="false"/>
                <w:color w:val="333333"/>
                <w:spacing w:val="0"/>
                <w:sz w:val="20"/>
                <w:u w:val="none"/>
                <w:vertAlign w:val="baseline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i w:val="false"/>
                <w:strike w:val="false"/>
                <w:color w:val="333333"/>
                <w:spacing w:val="0"/>
                <w:sz w:val="20"/>
                <w:u w:val="none"/>
                <w:vertAlign w:val="baseline"/>
              </w:rPr>
              <w:t>工期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333333"/>
                <w:spacing w:val="0"/>
                <w:sz w:val="20"/>
                <w:u w:val="none"/>
                <w:vertAlign w:val="baseline"/>
              </w:rPr>
              <w:t>价格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智能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表格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定制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搭建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登记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与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管理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包括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名称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微信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添加人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销售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人员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跟进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总结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状态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跟进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备注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添加时间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来源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手机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主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体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来源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下单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区别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分类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合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作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业务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编辑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分类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服务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对象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兴趣爱好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类型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身份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业主ID、姓名、身份证号、电话、小区单元房号、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房屋性质、居住状态、建档日期、档案存放位置、备注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等</w:t>
            </w:r>
          </w:p>
          <w:p>
            <w:pPr>
              <w:numPr/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自由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增删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视图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包括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不同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业务员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的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视图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视图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自由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增删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在业主信息栏中直接上传业主个人资料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合同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设计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图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等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订单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全流程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登记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字段包括：成员、交易状态、客户、金额、交易时间、转账时间、成员所在部门、收款方式、收款账户、收款说明、客户备注、商品信息、联系人姓名、手机号、联系地址、退款备注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等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以下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环节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中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可能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涉及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的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字段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自由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增删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5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环节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包括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运营→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交意向金-交定金-签合同-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量房-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方案确认-下单-拆单-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采购-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生产-送货-安装-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监理-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售后-完结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环节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调整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视图包括：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每个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环节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的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视图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视图可自由增删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业绩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汇总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与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排行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字段包括：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个人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公司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日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月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季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年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金额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等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也包括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毛利润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率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的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汇总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统计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。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字段可增加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成本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统计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与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毛利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计算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包括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采购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人员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物品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单价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数量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金额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付款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方式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付款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时间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收款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人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等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字段可自由增删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视图包括：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成本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看板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毛利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看板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视图可自由增删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智能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表格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自动化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收款自动通知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对外收款时，自动通知到指定员工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需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开通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对外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收款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微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原生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功能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免费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开通</w:t>
            </w:r>
          </w:p>
        </w:tc>
        <w:tc>
          <w:tcPr>
            <w:tcW w:w="127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</w:t>
            </w:r>
          </w:p>
        </w:tc>
        <w:tc>
          <w:tcPr>
            <w:tcW w:w="1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业绩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等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数据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自动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汇总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极大地提高工作效率，让工作人员从繁琐的人工汇总工作中解脱出来，将更多的精力投入到更有价值的业务分析和客户服务中去。也能为企业提供更加准确、及时的财务数据，促进业务的健康发展。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</w:p>
        </w:tc>
        <w:tc>
          <w:tcPr>
            <w:tcW w:w="1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新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订单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自动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提醒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通过新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订单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自动提醒系统，能够显著提高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订单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处理的响应速度和效率，减少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订单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积压，提升客户服务质量，为企业的业务发展提供有力支持。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</w:t>
            </w:r>
          </w:p>
        </w:tc>
        <w:tc>
          <w:tcPr>
            <w:tcW w:w="1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订单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分配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提醒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确保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订单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能够快速、准确地分配到合适的人员手中，并及时提醒处理人员，从而提升企业的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订单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处理效率和服务质量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</w:p>
        </w:tc>
        <w:tc>
          <w:tcPr>
            <w:tcW w:w="1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订单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超期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提醒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通过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自动化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提醒，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在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即将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超期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的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时候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有效督促订单处理人员按时完成任务，提高订单处理效率，同时也为企业的管理决策提供有力支持，从而提升整体的业务运营水平和客户满意度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</w:p>
        </w:tc>
        <w:tc>
          <w:tcPr>
            <w:tcW w:w="1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订单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逾期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提醒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已经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超期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的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情况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升级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多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渠道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提醒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高频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提醒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重点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关注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逾期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订单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</w:p>
        </w:tc>
        <w:tc>
          <w:tcPr>
            <w:tcW w:w="1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环节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流转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提醒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通过精准提醒等功能，为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订单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的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环节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流转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提供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强有力的支持，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环节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自动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流转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，保障企业的生产经营活动安全、稳定地进行。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</w:p>
        </w:tc>
        <w:tc>
          <w:tcPr>
            <w:tcW w:w="1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</w:p>
        </w:tc>
      </w:tr>
      <w:tr>
        <w:trPr>
          <w:trHeight w:val="1075" w:hRule="atLeast"/>
        </w:trPr>
        <w:tc>
          <w:tcPr>
            <w:tcW w:w="14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智能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表格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-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仪表盘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业绩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看板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展现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业绩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排行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情况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月度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季度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年度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业绩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等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可选择定制，合理人工成本报价，右侧价格供参考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订单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仪表盘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展现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不同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业务员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/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设计师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接单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个数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已完结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待处理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等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情况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可选择定制，合理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人工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成本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报价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右侧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价格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供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参考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</w:tr>
      <w:tr>
        <w:trPr>
          <w:trHeight w:val="1075" w:hRule="atLeast"/>
        </w:trPr>
        <w:tc>
          <w:tcPr>
            <w:tcW w:w="14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Bdr/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精细化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权限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职级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权限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Bdr/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总经理</w:t>
            </w:r>
          </w:p>
          <w:p>
            <w:pPr>
              <w:pBdr/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主管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员工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等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不同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职级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设置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不同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的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权限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权限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设置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可定制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部门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权限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运营部</w:t>
            </w:r>
          </w:p>
          <w:p>
            <w:pPr>
              <w:numPr/>
              <w:pBdr/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设计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部</w:t>
            </w:r>
          </w:p>
          <w:p>
            <w:pPr>
              <w:numPr/>
              <w:pBdr/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业务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部</w:t>
            </w:r>
          </w:p>
          <w:p>
            <w:pPr>
              <w:numPr/>
              <w:pBdr/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生产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部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财务部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等不同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部门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设置不同的权限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权限设置可定制</w:t>
            </w:r>
          </w:p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行列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权限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每一行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每一列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的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数据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按需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设置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权限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是否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删除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可编辑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可查看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可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首次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提交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。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权限设置可定制</w:t>
            </w:r>
          </w:p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视图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权限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所有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视图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权限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单个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视图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权限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权限设置可定制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  <w:tr>
        <w:trPr>
          <w:trHeight w:val="1085" w:hRule="atLeast"/>
        </w:trPr>
        <w:tc>
          <w:tcPr>
            <w:tcW w:w="14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Bdr/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智能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表格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-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数据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协同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订单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状态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同步</w:t>
            </w:r>
          </w:p>
        </w:tc>
        <w:tc>
          <w:tcPr>
            <w:tcW w:w="33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在最终交付阶段，这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几</w:t>
            </w:r>
            <w:r>
              <w:rPr>
                <w:rFonts w:ascii="微软雅黑" w:hAnsi="微软雅黑" w:eastAsia="微软雅黑" w:cs="微软雅黑"/>
                <w:sz w:val="20"/>
              </w:rPr>
              <w:t>大板块将实现深度融合与高效协作。它们能够进行实时同步，确保各板块的数据和信息始终保持一致且最新。同时，各板块之间相互关联，形成一个有机的整体，任何一个板块的变动都能迅速反映到其他相关板块中。此外，用户可以对这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几</w:t>
            </w:r>
            <w:r>
              <w:rPr>
                <w:rFonts w:ascii="微软雅黑" w:hAnsi="微软雅黑" w:eastAsia="微软雅黑" w:cs="微软雅黑"/>
                <w:sz w:val="20"/>
              </w:rPr>
              <w:t>大板块进行统一的编辑、查看和管理操作，极大地提升工作效率和管理便捷性，为业务的顺利开展提供有力支持。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200</w:t>
            </w:r>
          </w:p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财务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数据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同步</w:t>
            </w:r>
          </w:p>
        </w:tc>
        <w:tc>
          <w:tcPr>
            <w:tcW w:w="33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200</w:t>
            </w:r>
          </w:p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</w:p>
        </w:tc>
      </w:tr>
      <w:tr>
        <w:trPr>
          <w:wBefore/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客户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管理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同步</w:t>
            </w:r>
          </w:p>
        </w:tc>
        <w:tc>
          <w:tcPr>
            <w:tcW w:w="33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200</w:t>
            </w:r>
          </w:p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</w:p>
        </w:tc>
      </w:tr>
      <w:tr>
        <w:trPr>
          <w:trHeight w:val="1075" w:hRule="atLeast"/>
        </w:trPr>
        <w:tc>
          <w:tcPr>
            <w:tcW w:w="1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line="240"/>
              <w:ind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一套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表格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处理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以上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所有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需求</w:t>
            </w:r>
          </w:p>
        </w:tc>
        <w:tc>
          <w:tcPr>
            <w:tcW w:w="33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</w:tr>
      <w:tr>
        <w:trPr>
          <w:wBefore/>
          <w:trHeight w:val="1075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文档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高级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功能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会员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开通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按需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购买</w:t>
            </w:r>
          </w:p>
        </w:tc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统一管理企业所有员工的文档，无限容量，10000次自动化提醒，版本回退等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最低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购买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人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个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</w:tr>
    </w:tbl>
    <w:p>
      <w:pPr>
        <w:numPr>
          <w:ilvl w:val="0"/>
          <w:numId w:val="1"/>
        </w:numPr>
        <w:pBdr>
          <w:bottom/>
        </w:pBdr>
        <w:spacing w:line="312"/>
        <w:ind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b/>
          <w:color w:val="000000"/>
          <w:sz w:val="26"/>
        </w:rPr>
        <w:t>验收</w:t>
      </w:r>
      <w:r>
        <w:rPr>
          <w:rFonts w:hint="eastAsia" w:ascii="微软雅黑" w:hAnsi="微软雅黑" w:eastAsia="微软雅黑" w:cs="微软雅黑"/>
          <w:b/>
          <w:color w:val="000000"/>
          <w:sz w:val="26"/>
        </w:rPr>
        <w:t>标准</w:t>
      </w:r>
    </w:p>
    <w:tbl>
      <w:tblPr>
        <w:tblStyle w:val="yv3bi7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firstRow="true" w:lastRow="false" w:firstColumn="true" w:lastColumn="false" w:noHBand="false" w:noVBand="true"/>
      </w:tblPr>
      <w:tblGrid>
        <w:gridCol w:w="2460"/>
        <w:gridCol w:w="8940"/>
      </w:tblGrid>
      <w:tr>
        <w:trPr/>
        <w:tc>
          <w:tcPr>
            <w:tcW w:w="2460" w:type="dxa"/>
          </w:tcPr>
          <w:p>
            <w:pPr>
              <w:spacing w:line="312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功能性验收</w:t>
            </w:r>
          </w:p>
        </w:tc>
        <w:tc>
          <w:tcPr>
            <w:tcW w:w="8940" w:type="dxa"/>
          </w:tcPr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 xml:space="preserve">✅ 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套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智能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表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格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结</w:t>
            </w:r>
            <w:r>
              <w:rPr>
                <w:rFonts w:hint="eastAsia" w:ascii="微软雅黑" w:hAnsi="微软雅黑" w:eastAsia="微软雅黑" w:cs="微软雅黑"/>
                <w:b w:val="false"/>
                <w:color w:val="000000"/>
              </w:rPr>
              <w:t>构完整，含4个小表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字段配置正确</w:t>
            </w:r>
          </w:p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✅ 跨表关联功能正常，数据联动实时生效</w:t>
            </w:r>
          </w:p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✅ 自动化流程（预警通知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自动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提醒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）触发准确，执行无误</w:t>
            </w:r>
          </w:p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✅ 权限体系生效，数据隔离符合要求</w:t>
            </w:r>
          </w:p>
        </w:tc>
      </w:tr>
      <w:tr>
        <w:trPr/>
        <w:tc>
          <w:tcPr>
            <w:tcW w:w="2460" w:type="dxa"/>
          </w:tcPr>
          <w:p>
            <w:pPr>
              <w:spacing w:line="312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非功能性验收</w:t>
            </w:r>
          </w:p>
        </w:tc>
        <w:tc>
          <w:tcPr>
            <w:tcW w:w="8940" w:type="dxa"/>
          </w:tcPr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✅ 并发用户支持10人以上同时操作</w:t>
            </w:r>
          </w:p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✅ 数据备份机制正常运行</w:t>
            </w:r>
          </w:p>
          <w:p>
            <w:pPr>
              <w:numPr/>
              <w:pBdr>
                <w:bottom/>
              </w:pBdr>
              <w:spacing w:line="312"/>
              <w:ind w:left="0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✅ 操作文档完整，用户可自助解决80%常见问题</w:t>
            </w:r>
          </w:p>
        </w:tc>
      </w:tr>
    </w:tbl>
    <w:p>
      <w:pPr>
        <w:pBdr>
          <w:bottom/>
        </w:pBdr>
        <w:spacing w:line="312"/>
        <w:ind w:left="336"/>
        <w:rPr>
          <w:rFonts w:hint="eastAsia" w:ascii="微软雅黑" w:hAnsi="微软雅黑" w:eastAsia="微软雅黑" w:cs="微软雅黑"/>
          <w:color w:val="000000"/>
        </w:rPr>
      </w:pPr>
    </w:p>
    <w:sectPr>
      <w:pgSz w:w="14740" w:h="20863" w:orient="portrait"/>
      <w:pgMar w:top="1361" w:right="1417" w:bottom="1361" w:left="1417" w:header="720" w:footer="72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chineseCountingThousand"/>
      <w:lvlText w:val="%4、"/>
      <w:lvlJc w:val="left"/>
      <w:pPr>
        <w:ind w:left="2118" w:hanging="462"/>
      </w:pPr>
    </w:lvl>
    <w:lvl w:ilvl="5">
      <w:start w:val="1"/>
      <w:numFmt w:val="lowerLetter"/>
      <w:lvlText w:val="%6)"/>
      <w:lvlJc w:val="left"/>
      <w:pPr>
        <w:ind w:left="2872" w:hanging="336"/>
      </w:pPr>
    </w:lvl>
    <w:lvl w:ilvl="0">
      <w:start w:val="1"/>
      <w:numFmt w:val="chineseCountingThousand"/>
      <w:lvlText w:val="%1、"/>
      <w:lvlJc w:val="left"/>
      <w:pPr>
        <w:ind w:left="798" w:hanging="462"/>
      </w:pPr>
      <w:rPr>
        <w:rFonts w:hint="default" w:ascii="" w:hAnsi="" w:cs=""/>
      </w:rPr>
    </w:lvl>
    <w:lvl w:ilvl="2">
      <w:start w:val="1"/>
      <w:numFmt w:val="lowerLetter"/>
      <w:lvlText w:val="%3)"/>
      <w:lvlJc w:val="left"/>
      <w:pPr>
        <w:ind w:left="1552" w:hanging="336"/>
      </w:pPr>
    </w:lvl>
    <w:lvl w:ilvl="6">
      <w:start w:val="1"/>
      <w:numFmt w:val="chineseCountingThousand"/>
      <w:lvlText w:val="%7、"/>
      <w:lvlJc w:val="left"/>
      <w:pPr>
        <w:ind w:left="3438" w:hanging="462"/>
      </w:pPr>
    </w:lvl>
    <w:lvl w:ilvl="1">
      <w:start w:val="1"/>
      <w:numFmt w:val="decimal"/>
      <w:lvlText w:val="%2、"/>
      <w:lvlJc w:val="left"/>
      <w:pPr>
        <w:ind w:left="1112" w:hanging="336"/>
      </w:pPr>
    </w:lvl>
    <w:lvl w:ilvl="8">
      <w:start w:val="1"/>
      <w:numFmt w:val="lowerLetter"/>
      <w:lvlText w:val="%9)"/>
      <w:lvlJc w:val="left"/>
      <w:pPr>
        <w:ind w:left="4192" w:hanging="336"/>
      </w:pPr>
    </w:lvl>
    <w:lvl w:ilvl="7">
      <w:start w:val="1"/>
      <w:numFmt w:val="decimal"/>
      <w:lvlText w:val="%8、"/>
      <w:lvlJc w:val="left"/>
      <w:pPr>
        <w:ind w:left="3752" w:hanging="336"/>
      </w:pPr>
    </w:lvl>
    <w:lvl w:ilvl="4">
      <w:start w:val="1"/>
      <w:numFmt w:val="decimal"/>
      <w:lvlText w:val="%5、"/>
      <w:lvlJc w:val="left"/>
      <w:pPr>
        <w:ind w:left="2432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ryew72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m8j9v8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table" w:styleId="yv3bi7">
    <w:name w:val="Table Grid"/>
    <w:basedOn w:val="m8j9v8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4q3o55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2026-05-13T14:31:40Z</dcterms:created>
  <dcterms:modified xsi:type="dcterms:W3CDTF">2026-05-13T14:31:40Z</dcterms:modified>
</cp:coreProperties>
</file>