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696A3">
      <w:pPr>
        <w:pStyle w:val="2"/>
        <w:bidi w:val="0"/>
        <w:rPr>
          <w:rFonts w:hint="eastAsia"/>
        </w:rPr>
      </w:pPr>
      <w:r>
        <w:rPr>
          <w:rFonts w:hint="eastAsia"/>
        </w:rPr>
        <w:t>贵州亿选装饰-家装行业-前端数据分析-杭州装企云网络科技有限公司方案1</w:t>
      </w:r>
    </w:p>
    <w:p w14:paraId="0F937DA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上门客户统计 按照渠道/人员 分布统计 月度</w:t>
      </w:r>
    </w:p>
    <w:p w14:paraId="5281E52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上门客户统计 按照渠道/人员 分布统计 年度</w:t>
      </w:r>
    </w:p>
    <w:p w14:paraId="4C9A643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月度签约客户排行，产值类型/人员分布</w:t>
      </w:r>
    </w:p>
    <w:p w14:paraId="1921B5F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年度签约，产值总计，合同产值类型区分数量</w:t>
      </w:r>
    </w:p>
    <w:p w14:paraId="3571B09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年度渠道分布及排行榜</w:t>
      </w:r>
    </w:p>
    <w:p w14:paraId="1FC96EF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围绕设计师+渠道概览明细</w:t>
      </w:r>
    </w:p>
    <w:p w14:paraId="1869815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数据同步云管家，点开能定位具体客户信息及部门</w:t>
      </w:r>
    </w:p>
    <w:p w14:paraId="62F2726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主要接通数据 客户+合同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27819C"/>
    <w:multiLevelType w:val="singleLevel"/>
    <w:tmpl w:val="9A2781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C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2026-05-12T11:54:30Z</dcterms:created>
  <dc:creator>wzysa</dc:creator>
  <cp:lastModifiedBy>吴sir</cp:lastModifiedBy>
  <dcterms:modified xsi:type="dcterms:W3CDTF">2026-05-12T11:57:47Z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eyJoZGlkIjoiMDljYzUzMWQ4OWI0YzBkYjYzMDRhZTY5ZjZkYmFmYTgiLCJ1c2VySWQiOiIyOTcxMDYwMjcifQ==</vt:lpwstr>
  </property>
  <property fmtid="{D5CDD505-2E9C-101B-9397-08002B2CF9AE}" pid="4" name="ICV">
    <vt:lpwstr>9064260D27ED43C3987ABA1DAEB6D57D_12</vt:lpwstr>
  </property>
</Properties>
</file>