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C2A0" w14:textId="45DD7A80" w:rsidR="00B53DDC" w:rsidRDefault="00295852">
      <w:r>
        <w:rPr>
          <w:rFonts w:hint="eastAsia"/>
        </w:rPr>
        <w:t>服务商对客户需求总结</w:t>
      </w:r>
    </w:p>
    <w:p w14:paraId="1BAFA419" w14:textId="10D0B8CA" w:rsidR="00295852" w:rsidRDefault="00295852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解决固定资产的管理问题，实现资产折旧</w:t>
      </w: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管理</w:t>
      </w:r>
    </w:p>
    <w:p w14:paraId="0ED25AC5" w14:textId="77777777" w:rsidR="00295852" w:rsidRDefault="00295852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54E8A5FC" w14:textId="75A99675" w:rsidR="00295852" w:rsidRDefault="00295852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服务商对客户智能表格交付物的描述</w:t>
      </w:r>
    </w:p>
    <w:p w14:paraId="7DE3D908" w14:textId="55974312" w:rsidR="00295852" w:rsidRDefault="00295852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固定资产库：用于登记固定资产信息，显示资产情况。使用人员全员。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领用管理：用于资产的领用，使用人员全员。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资产折旧库：用于资产的折旧管理，使用人员财务。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部门库：用于显示使用人员所在部门，使用人员财务行政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数据看板：用于统计查看相关数据，使用人员财务行政</w:t>
      </w:r>
    </w:p>
    <w:p w14:paraId="4FB7DC51" w14:textId="77777777" w:rsidR="00295852" w:rsidRDefault="00295852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2391A696" w14:textId="00CFEAF8" w:rsidR="00295852" w:rsidRDefault="00295852">
      <w:pPr>
        <w:rPr>
          <w:rFonts w:hint="eastAsia"/>
        </w:rPr>
      </w:pPr>
    </w:p>
    <w:sectPr w:rsidR="002958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52"/>
    <w:rsid w:val="00295852"/>
    <w:rsid w:val="0097560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5A6B6"/>
  <w15:chartTrackingRefBased/>
  <w15:docId w15:val="{35841EE2-69B9-2E4A-9DF2-6AA793B0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8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8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8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8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8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852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29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2026-05-13T12:21:00Z</dcterms:created>
  <dcterms:modified xsi:type="dcterms:W3CDTF">2026-05-13T12:25:00Z</dcterms:modified>
</cp:coreProperties>
</file>