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64BA" w:rsidRDefault="003264BA">
      <w:pPr>
        <w:pStyle w:val="a"/>
        <w:spacing w:before="312" w:after="156"/>
      </w:pPr>
      <w:r>
        <w:t>模型相关参数定义</w:t>
      </w:r>
    </w:p>
    <w:p w:rsidR="003264BA" w:rsidRDefault="003264BA">
      <w:pPr>
        <w:pStyle w:val="a0"/>
      </w:pPr>
      <w:bookmarkStart w:id="0" w:name="_Toc22253"/>
      <w:r>
        <w:t>Benchmark表达方式</w:t>
      </w:r>
      <w:bookmarkEnd w:id="0"/>
    </w:p>
    <w:p w:rsidR="003264BA" w:rsidRDefault="003264BA">
      <w:r>
        <w:t>在部署方案优化问题中，benchmark的评估需要明确以下参数：</w:t>
      </w:r>
      <w:r>
        <w:br/>
      </w:r>
      <w:r>
        <w:rPr>
          <w:b/>
        </w:rPr>
        <w:t>模型（Model）</w:t>
      </w:r>
      <w:r>
        <w:t>：由产品方确定，包括模型架构和参数量（Size）</w:t>
      </w:r>
      <w:r>
        <w:br/>
      </w:r>
      <w:r>
        <w:rPr>
          <w:b/>
        </w:rPr>
        <w:t>输入输出长度（SeqLen）</w:t>
      </w:r>
      <w:r>
        <w:t>：通常由产品方确定，包括输入序列长度（Input SeqLen）和输出序列长度（Output SeqLen）</w:t>
      </w:r>
      <w:r>
        <w:br/>
      </w:r>
      <w:r>
        <w:rPr>
          <w:b/>
        </w:rPr>
        <w:t>量化方式（Dtype）</w:t>
      </w:r>
      <w:r>
        <w:t>：通常由产品方确定，但可以协助确定最优量化方案，用W[x]A[y]表示（例如W4A16表示weight为4bit，activation为16bit）</w:t>
      </w:r>
      <w:r>
        <w:br/>
      </w:r>
      <w:r>
        <w:rPr>
          <w:b/>
        </w:rPr>
        <w:t>Batch Size（BS）</w:t>
      </w:r>
      <w:r>
        <w:t>：</w:t>
      </w:r>
      <w:r>
        <w:rPr>
          <w:b/>
        </w:rPr>
        <w:t>主要评估变量</w:t>
      </w:r>
      <w:r>
        <w:t>，根据前面确定的模型、参数量、输入输出长度、量化方式等参数，通过数学建模分析确定最优的Batch Size</w:t>
      </w:r>
    </w:p>
    <w:p w:rsidR="003264BA" w:rsidRDefault="003264BA">
      <w:r>
        <w:rPr>
          <w:b/>
        </w:rPr>
        <w:t>Benchmark命名规则：</w:t>
      </w:r>
      <w:r>
        <w:br/>
        <w:t>参考LLM和CV模型的性能指标表达方式，benchmark命名遵循以下规则：</w:t>
      </w:r>
    </w:p>
    <w:p w:rsidR="003264BA" w:rsidRDefault="003264BA">
      <w:pPr>
        <w:pStyle w:val="1"/>
      </w:pPr>
      <w:r>
        <w:rPr>
          <w:b/>
        </w:rPr>
        <w:t>LLM模型TPS</w:t>
      </w:r>
      <w:r>
        <w:t>：`TPS[xxx]-[Model]-[Size]-S[SeqLen]-O[SeqLen]-W[x]A[y]-B[BS]`</w:t>
      </w:r>
    </w:p>
    <w:p w:rsidR="003264BA" w:rsidRDefault="003264BA">
      <w:pPr>
        <w:pStyle w:val="a1"/>
      </w:pPr>
      <w:r>
        <w:t>示例：`TPS001-Llama2-70B-S4K-O1-W4A16-B16`</w:t>
      </w:r>
    </w:p>
    <w:p w:rsidR="003264BA" w:rsidRDefault="003264BA">
      <w:pPr>
        <w:pStyle w:val="a1"/>
      </w:pPr>
      <w:r>
        <w:t>说明：Llama2-70B模型使用W4A16精度，在BS为16，输入SeqLen为4K，输出SeqLen为1时的TPS</w:t>
      </w:r>
    </w:p>
    <w:p w:rsidR="003264BA" w:rsidRDefault="003264BA">
      <w:pPr>
        <w:pStyle w:val="1"/>
      </w:pPr>
      <w:r>
        <w:rPr>
          <w:b/>
        </w:rPr>
        <w:t>LLM模型FTL</w:t>
      </w:r>
      <w:r>
        <w:t>：`FTL[xxx]-[Model]-[Size]-S[SeqLen]-W[x]A[y]-B[BS]`</w:t>
      </w:r>
    </w:p>
    <w:p w:rsidR="003264BA" w:rsidRDefault="003264BA">
      <w:pPr>
        <w:pStyle w:val="a1"/>
      </w:pPr>
      <w:r>
        <w:t>示例：`FTL001-Llama2-70B-S4K-W4A16-B1`</w:t>
      </w:r>
    </w:p>
    <w:p w:rsidR="003264BA" w:rsidRDefault="003264BA">
      <w:pPr>
        <w:pStyle w:val="a1"/>
      </w:pPr>
      <w:r>
        <w:t>说明：Llama2-70B模型使用W4A16精度，在BS为1，输入SeqLen为4K时的FTL</w:t>
      </w:r>
    </w:p>
    <w:p w:rsidR="003264BA" w:rsidRDefault="003264BA">
      <w:pPr>
        <w:pStyle w:val="1"/>
      </w:pPr>
      <w:r>
        <w:rPr>
          <w:b/>
        </w:rPr>
        <w:t>CV模型FPS</w:t>
      </w:r>
      <w:r>
        <w:t>：`FPS[xxx]-[Model]-[Version]-R[Resolution]-W[x]A[y]-B[BS]`</w:t>
      </w:r>
    </w:p>
    <w:p w:rsidR="003264BA" w:rsidRDefault="003264BA">
      <w:pPr>
        <w:pStyle w:val="a1"/>
      </w:pPr>
      <w:r>
        <w:t>示例：`FPS001-Resnet50-V2-R224x224-W8A8-B4`</w:t>
      </w:r>
    </w:p>
    <w:p w:rsidR="003264BA" w:rsidRDefault="003264BA">
      <w:pPr>
        <w:pStyle w:val="a1"/>
      </w:pPr>
      <w:r>
        <w:t>说明：Resnet50-V2模型权重和激活都使用8bit精度，在BS为4，分辨率是224x224时的FPS</w:t>
      </w:r>
    </w:p>
    <w:p w:rsidR="003264BA" w:rsidRDefault="003264BA">
      <w:r>
        <w:rPr>
          <w:b/>
        </w:rPr>
        <w:t>评估重点：</w:t>
      </w:r>
    </w:p>
    <w:p w:rsidR="003264BA" w:rsidRDefault="003264BA">
      <w:r>
        <w:t>在部署方案优化中，我们主要根据产品方确定的模型、参数量、输入输出长度、量化方式等固定参数，通过数学建模分析来评估和优化</w:t>
      </w:r>
      <w:r>
        <w:rPr>
          <w:b/>
        </w:rPr>
        <w:t>Batch Size</w:t>
      </w:r>
      <w:r>
        <w:t>，以在满足SLO约束的前提下实现TPS per Chip的最大化。</w:t>
      </w:r>
    </w:p>
    <w:p w:rsidR="003264BA" w:rsidRDefault="003264BA">
      <w:pPr>
        <w:pStyle w:val="a0"/>
      </w:pPr>
      <w:bookmarkStart w:id="1" w:name="_Toc1334"/>
      <w:r>
        <w:t>DeepSeek-V3 配置解析</w:t>
      </w:r>
      <w:bookmarkEnd w:id="1"/>
    </w:p>
    <w:p w:rsidR="003264BA" w:rsidRDefault="003264BA">
      <w:r>
        <w:t>下面按功能块解释 DeepseekV3 配置，重点放在与 MoE（混合专家）路由与负载相关的参数，同时也覆盖与注意力、尺寸、量化等有关的关键项。以下参数均来自</w:t>
      </w:r>
      <w:hyperlink r:id="rId5">
        <w:r>
          <w:rPr>
            <w:color w:val="0000FF"/>
          </w:rPr>
          <w:t>HuggingFace DeepSeek-V3 模型卡</w:t>
        </w:r>
      </w:hyperlink>
      <w:r>
        <w:t>中的`config.json`文件。可以按相同方法从其他模型的HuggingFace页面（如 Llama、Qwen等）获取对应的`config.json`，为其他大语言模型制定部署方案提供参数。</w:t>
      </w:r>
    </w:p>
    <w:p w:rsidR="003264BA" w:rsidRDefault="003264BA">
      <w:pPr>
        <w:pStyle w:val="1"/>
      </w:pPr>
      <w:r>
        <w:t>模型结构与尺寸</w:t>
      </w:r>
    </w:p>
    <w:p w:rsidR="003264BA" w:rsidRDefault="003264BA">
      <w:pPr>
        <w:pStyle w:val="a1"/>
      </w:pPr>
      <w:r>
        <w:t>hidden_size: 7168</w:t>
      </w:r>
      <w:r>
        <w:br/>
        <w:t>模型的主隐层维度（Transformer层的特征维度）。</w:t>
      </w:r>
    </w:p>
    <w:p w:rsidR="003264BA" w:rsidRDefault="003264BA">
      <w:pPr>
        <w:pStyle w:val="a1"/>
      </w:pPr>
      <w:r>
        <w:t>intermediate_size: 18432</w:t>
      </w:r>
      <w:r>
        <w:br/>
        <w:t>非 MoE 的标准前馈（FFN）层的中间维度（通常对应第一个线性层的扩展维度）。</w:t>
      </w:r>
    </w:p>
    <w:p w:rsidR="003264BA" w:rsidRDefault="003264BA">
      <w:pPr>
        <w:pStyle w:val="a1"/>
      </w:pPr>
      <w:r>
        <w:t>moe_intermediate_size: 2048</w:t>
      </w:r>
      <w:r>
        <w:br/>
        <w:t>MoE专家的FFN中间维度。说明专家的每个 FFN 比主干 FFN 要小很多，靠稀疏并行堆叠来提升总容量。</w:t>
      </w:r>
    </w:p>
    <w:p w:rsidR="003264BA" w:rsidRDefault="003264BA">
      <w:pPr>
        <w:pStyle w:val="a1"/>
      </w:pPr>
      <w:r>
        <w:t>num_hidden_layers: 61</w:t>
      </w:r>
      <w:r>
        <w:br/>
        <w:t>Transformer层数。</w:t>
      </w:r>
    </w:p>
    <w:p w:rsidR="003264BA" w:rsidRDefault="003264BA">
      <w:pPr>
        <w:pStyle w:val="a1"/>
      </w:pPr>
      <w:r>
        <w:t>num_attention_heads: 128，num_key_value_heads: 128</w:t>
      </w:r>
      <w:r>
        <w:br/>
        <w:t>注意力的总头数以及KV头数。KV与Q一致（无GQA缩减）。</w:t>
      </w:r>
    </w:p>
    <w:p w:rsidR="003264BA" w:rsidRDefault="003264BA">
      <w:pPr>
        <w:pStyle w:val="a1"/>
      </w:pPr>
      <w:r>
        <w:t>qk_nope_head_dim: 128，qk_rope_head_dim: 64，v_head_dim: 128</w:t>
      </w:r>
      <w:r>
        <w:br/>
        <w:t>注意力中各分量的头维度：Q/K的非ROPE部分维度、ROPE部分维度，以及V的头维度。QK被拆分为 NOPE 与 ROPE 两段。</w:t>
      </w:r>
    </w:p>
    <w:p w:rsidR="003264BA" w:rsidRDefault="003264BA">
      <w:pPr>
        <w:pStyle w:val="a1"/>
      </w:pPr>
      <w:r>
        <w:t>initializer_range: 0.02</w:t>
      </w:r>
      <w:r>
        <w:br/>
        <w:t>参数初始化范围（通常是正态/均匀的尺度）。</w:t>
      </w:r>
    </w:p>
    <w:p w:rsidR="003264BA" w:rsidRDefault="003264BA">
      <w:pPr>
        <w:pStyle w:val="a1"/>
      </w:pPr>
      <w:r>
        <w:t>rms_norm_eps: 1e-06</w:t>
      </w:r>
      <w:r>
        <w:br/>
        <w:t>RMSNorm 的数值稳定性参数。</w:t>
      </w:r>
    </w:p>
    <w:p w:rsidR="003264BA" w:rsidRDefault="003264BA">
      <w:pPr>
        <w:pStyle w:val="a1"/>
      </w:pPr>
      <w:r>
        <w:t>vocab_size: 129280，tie_word_embeddings: false</w:t>
      </w:r>
      <w:r>
        <w:br/>
        <w:t>词表大小；不共享输入/输出嵌入权重。</w:t>
      </w:r>
    </w:p>
    <w:p w:rsidR="003264BA" w:rsidRDefault="003264BA">
      <w:pPr>
        <w:pStyle w:val="1"/>
      </w:pPr>
      <w:r>
        <w:t>注意力与位置编码</w:t>
      </w:r>
    </w:p>
    <w:p w:rsidR="003264BA" w:rsidRDefault="003264BA">
      <w:pPr>
        <w:pStyle w:val="a1"/>
      </w:pPr>
      <w:r>
        <w:t>attention_bias: false</w:t>
      </w:r>
      <w:r>
        <w:br/>
        <w:t>注意力线性层是否使用bias。</w:t>
      </w:r>
    </w:p>
    <w:p w:rsidR="003264BA" w:rsidRDefault="003264BA">
      <w:pPr>
        <w:pStyle w:val="a1"/>
      </w:pPr>
      <w:r>
        <w:t>attention_dropout: 0.0</w:t>
      </w:r>
      <w:r>
        <w:br/>
        <w:t>注意力dropout，设为0以提高吞吐（推理或大模型常见）。</w:t>
      </w:r>
    </w:p>
    <w:p w:rsidR="003264BA" w:rsidRDefault="003264BA">
      <w:pPr>
        <w:pStyle w:val="a1"/>
      </w:pPr>
      <w:r>
        <w:t>rope_theta: 10000</w:t>
      </w:r>
      <w:r>
        <w:br/>
        <w:t>ROPE的基础角频参数。</w:t>
      </w:r>
    </w:p>
    <w:p w:rsidR="003264BA" w:rsidRDefault="003264BA">
      <w:pPr>
        <w:pStyle w:val="a1"/>
      </w:pPr>
      <w:r>
        <w:t>rope_scaling: { type: "yarn", factor: 40, beta_fast: 32, beta_slow: 1, mscale: 1.0, ... }</w:t>
      </w:r>
      <w:r>
        <w:br/>
        <w:t>使用 YaRN 风格的 ROPE扩展与缩放，以支持超长上下文。factor=40 表示对原始最大长度的扩展；beta_fast/beta_slow 是 YaRN 的双速缩放参数；original_max_position_embeddings: 4096 指原始设计长度；max_position_embeddings: 163840 为最终支持长度（4096×40 ≈ 163,840）。</w:t>
      </w:r>
    </w:p>
    <w:p w:rsidR="003264BA" w:rsidRDefault="003264BA">
      <w:pPr>
        <w:pStyle w:val="a1"/>
      </w:pPr>
      <w:r>
        <w:t>max_position_embeddings: 163840</w:t>
      </w:r>
      <w:r>
        <w:br/>
        <w:t>最大位置长度，与上面一致，支持极长上下文。</w:t>
      </w:r>
    </w:p>
    <w:p w:rsidR="003264BA" w:rsidRDefault="003264BA">
      <w:pPr>
        <w:pStyle w:val="1"/>
      </w:pPr>
      <w:r>
        <w:t>MoE总体结构</w:t>
      </w:r>
    </w:p>
    <w:p w:rsidR="003264BA" w:rsidRDefault="003264BA">
      <w:pPr>
        <w:pStyle w:val="a1"/>
      </w:pPr>
      <w:r>
        <w:t>n_routed_experts: 256</w:t>
      </w:r>
      <w:r>
        <w:br/>
        <w:t>可被路由的稀疏专家数量（不含共享专家）。</w:t>
      </w:r>
    </w:p>
    <w:p w:rsidR="003264BA" w:rsidRDefault="003264BA">
      <w:pPr>
        <w:pStyle w:val="a1"/>
      </w:pPr>
      <w:r>
        <w:t>n_shared_experts: 1</w:t>
      </w:r>
      <w:r>
        <w:br/>
        <w:t>共享专家（dense expert），所有token都可以走它，相当于“保底”路径，常用于稳定训练和提升鲁棒性。</w:t>
      </w:r>
    </w:p>
    <w:p w:rsidR="003264BA" w:rsidRDefault="003264BA">
      <w:pPr>
        <w:pStyle w:val="a1"/>
      </w:pPr>
      <w:r>
        <w:t>moe_layer_freq: 1</w:t>
      </w:r>
      <w:r>
        <w:br/>
        <w:t>MoE层出现的频率。为1通常意味着每一层都是MoE（或每层的FFN部分是MoE版本），而不是每隔N层一个MoE。</w:t>
      </w:r>
    </w:p>
    <w:p w:rsidR="003264BA" w:rsidRDefault="003264BA">
      <w:pPr>
        <w:pStyle w:val="a1"/>
      </w:pPr>
      <w:r>
        <w:t>routed_scaling_factor: 2.5</w:t>
      </w:r>
      <w:r>
        <w:br/>
        <w:t>对经由专家路径的输出进行缩放的因子。一般用于匹配稀疏路由带来的统计幅度变化，防止MoE输出的方差与dense路径不一致。</w:t>
      </w:r>
    </w:p>
    <w:p w:rsidR="003264BA" w:rsidRDefault="003264BA">
      <w:pPr>
        <w:pStyle w:val="1"/>
      </w:pPr>
      <w:r>
        <w:t>MoE路由与选择策略（关键）</w:t>
      </w:r>
    </w:p>
    <w:p w:rsidR="003264BA" w:rsidRDefault="003264BA">
      <w:pPr>
        <w:pStyle w:val="a1"/>
      </w:pPr>
      <w:r>
        <w:t>num_experts_per_tok: 8</w:t>
      </w:r>
      <w:r>
        <w:br/>
        <w:t>每个token选择的专家数（Top-k）。这里是Top-8，相比常见Top-1/Top-2更大，能显著平滑负载，但计算与通信成本更高。</w:t>
      </w:r>
    </w:p>
    <w:p w:rsidR="003264BA" w:rsidRDefault="003264BA">
      <w:pPr>
        <w:pStyle w:val="a1"/>
      </w:pPr>
      <w:r>
        <w:t>topk_group: 4</w:t>
      </w:r>
      <w:r>
        <w:br/>
        <w:t>将专家分为若干组（group），先在组内或跨组做Top-k的策略。topk_group=4 表示把256专家分成4个组（每组64），路由可能先选组再选组内专家，用于降低搜索成本和改善并行通信模式。</w:t>
      </w:r>
    </w:p>
    <w:p w:rsidR="003264BA" w:rsidRDefault="003264BA">
      <w:pPr>
        <w:pStyle w:val="a1"/>
      </w:pPr>
      <w:r>
        <w:t>scoring_func: "sigmoid"</w:t>
      </w:r>
      <w:r>
        <w:br/>
        <w:t>路由打分函数。用sigmoid将路由logits压到(0,1)，与softmax不同，它不强制归一到总和为1的概率分布，常配合“norm_topk_prob”做归一化。</w:t>
      </w:r>
    </w:p>
    <w:p w:rsidR="003264BA" w:rsidRDefault="003264BA">
      <w:pPr>
        <w:pStyle w:val="a1"/>
      </w:pPr>
      <w:r>
        <w:t>norm_topk_prob: true</w:t>
      </w:r>
      <w:r>
        <w:br/>
        <w:t>对Top-k选择后的权重进行归一化（例如把选中专家的权重归一为和为1），保证融合时数值稳定。</w:t>
      </w:r>
    </w:p>
    <w:p w:rsidR="003264BA" w:rsidRDefault="003264BA">
      <w:pPr>
        <w:pStyle w:val="a1"/>
      </w:pPr>
      <w:r>
        <w:t>topk_method: "noaux_tc"</w:t>
      </w:r>
      <w:r>
        <w:br/>
        <w:t>路由方法标识：</w:t>
      </w:r>
    </w:p>
    <w:p w:rsidR="003264BA" w:rsidRDefault="003264BA">
      <w:pPr>
        <w:pStyle w:val="a1"/>
      </w:pPr>
      <w:r>
        <w:t>"noaux" 通常表示不使用传统的负载均衡辅助损失（auxiliary load-balancing loss）。</w:t>
      </w:r>
    </w:p>
    <w:p w:rsidR="003264BA" w:rsidRDefault="003264BA">
      <w:pPr>
        <w:pStyle w:val="a1"/>
      </w:pPr>
      <w:r>
        <w:t>"tc" 很可能指 token capacity / topk capacity 的实现路径（具体到DeepSeek V3的源码：通常代表基于容量/阈值的截断或按token计的capacity管理策略）。整体含义是使用一种不依赖aux loss，而是依靠容量和分组/排序的路由策略来实现负载控制。</w:t>
      </w:r>
    </w:p>
    <w:p w:rsidR="003264BA" w:rsidRDefault="003264BA">
      <w:pPr>
        <w:pStyle w:val="a1"/>
      </w:pPr>
      <w:r>
        <w:t>n_group: 8</w:t>
      </w:r>
      <w:r>
        <w:br/>
        <w:t>与 topk_group 不同的分组粒度参数。DeepSeek V3中通常有两个分组相关参数：一个用于通信/并行（n_group=8，把专家或路由分在8个通信分区以优化带宽与布局），另一个用于挑选（topk_group=4）。二者共同决定路由的分区与选择路径。</w:t>
      </w:r>
    </w:p>
    <w:p w:rsidR="003264BA" w:rsidRDefault="003264BA">
      <w:pPr>
        <w:pStyle w:val="a1"/>
      </w:pPr>
      <w:r>
        <w:t>ep_size: 1</w:t>
      </w:r>
      <w:r>
        <w:br/>
        <w:t>expert parallel size。每设备上的专家并行数或专家分片数的配置。ep_size=1 表示没有跨设备的专家并行（所有专家可能在同一设备视图或采用其它并行），在实际分布式运行中这个参数通常与训练框架（如Megatron/DeepSpeed）结合使用。</w:t>
      </w:r>
    </w:p>
    <w:p w:rsidR="003264BA" w:rsidRDefault="003264BA">
      <w:pPr>
        <w:pStyle w:val="1"/>
      </w:pPr>
      <w:r>
        <w:t>MoE行为的其他辅助项</w:t>
      </w:r>
    </w:p>
    <w:p w:rsidR="003264BA" w:rsidRDefault="003264BA">
      <w:pPr>
        <w:pStyle w:val="a1"/>
      </w:pPr>
      <w:r>
        <w:t>first_k_dense_replace: 3</w:t>
      </w:r>
      <w:r>
        <w:br/>
        <w:t>训练或推理早期/前几层使用dense FFN替代MoE（或强制走共享专家），以稳定路由与梯度。这有助于避免训练初期的“热门专家”极化问题。值为3表示前3层用dense。</w:t>
      </w:r>
    </w:p>
    <w:p w:rsidR="003264BA" w:rsidRDefault="003264BA">
      <w:pPr>
        <w:pStyle w:val="a1"/>
      </w:pPr>
      <w:r>
        <w:t>topk_method 与 capacity 的关系</w:t>
      </w:r>
      <w:r>
        <w:br/>
        <w:t>虽未直接给出 capacity_factor，但“noaux_tc”暗示采用基于容量的截断/重排策略，常见做法是每个专家有每步的token容量上限，超出则丢弃或转移到共享专家。这能在没有aux loss的情况下维持负载可控。</w:t>
      </w:r>
    </w:p>
    <w:p w:rsidR="003264BA" w:rsidRDefault="003264BA">
      <w:pPr>
        <w:pStyle w:val="1"/>
      </w:pPr>
      <w:r>
        <w:t>并行与缓存</w:t>
      </w:r>
    </w:p>
    <w:p w:rsidR="003264BA" w:rsidRDefault="003264BA">
      <w:pPr>
        <w:pStyle w:val="a1"/>
      </w:pPr>
      <w:r>
        <w:t>use_cache: true</w:t>
      </w:r>
      <w:r>
        <w:br/>
        <w:t>推理时缓存KV以加速自回归生成。</w:t>
      </w:r>
    </w:p>
    <w:p w:rsidR="003264BA" w:rsidRDefault="003264BA">
      <w:pPr>
        <w:pStyle w:val="a1"/>
      </w:pPr>
      <w:r>
        <w:t>attention_bias: false, attention_dropout: 0.0</w:t>
      </w:r>
      <w:r>
        <w:br/>
        <w:t>这两项在推理友好配置中常见，减少额外开销。</w:t>
      </w:r>
    </w:p>
    <w:p w:rsidR="003264BA" w:rsidRDefault="003264BA">
      <w:pPr>
        <w:pStyle w:val="1"/>
      </w:pPr>
      <w:r>
        <w:t>LoRA相关（注意力权重低秩分解，特定于DeepSeek V3）</w:t>
      </w:r>
    </w:p>
    <w:p w:rsidR="003264BA" w:rsidRDefault="003264BA">
      <w:pPr>
        <w:pStyle w:val="a1"/>
      </w:pPr>
      <w:r>
        <w:t>q_lora_rank: 1536</w:t>
      </w:r>
      <w:r>
        <w:br/>
        <w:t>对Q投影采用LoRA的秩。</w:t>
      </w:r>
    </w:p>
    <w:p w:rsidR="003264BA" w:rsidRDefault="003264BA">
      <w:pPr>
        <w:pStyle w:val="a1"/>
      </w:pPr>
      <w:r>
        <w:t>kv_lora_rank: 512</w:t>
      </w:r>
      <w:r>
        <w:br/>
        <w:t>对K/V投影采用LoRA的秩。</w:t>
      </w:r>
      <w:r>
        <w:br/>
        <w:t>这些用于降低参数/计算或更易微调，同时保留较强表达能力。DeepSeek V3中Q/K/V有分头维度与ROPE/NOPE拆分，配合LoRA可以更灵活。</w:t>
      </w:r>
    </w:p>
    <w:p w:rsidR="003264BA" w:rsidRDefault="003264BA">
      <w:pPr>
        <w:pStyle w:val="1"/>
      </w:pPr>
      <w:r>
        <w:t>量化与数值精度</w:t>
      </w:r>
    </w:p>
    <w:p w:rsidR="003264BA" w:rsidRDefault="003264BA">
      <w:pPr>
        <w:pStyle w:val="a1"/>
      </w:pPr>
      <w:r>
        <w:t>torch_dtype: "bfloat16"</w:t>
      </w:r>
      <w:r>
        <w:br/>
        <w:t>主计算精度为BF16。</w:t>
      </w:r>
    </w:p>
    <w:p w:rsidR="003264BA" w:rsidRDefault="003264BA">
      <w:pPr>
        <w:pStyle w:val="a1"/>
      </w:pPr>
      <w:r>
        <w:t>quant_method: "fp8"，fmt: "e4m3"</w:t>
      </w:r>
      <w:r>
        <w:br/>
        <w:t>使用FP8（E4M3格式）进行权重或激活的量化以提升吞吐与减小显存。</w:t>
      </w:r>
    </w:p>
    <w:p w:rsidR="003264BA" w:rsidRDefault="003264BA">
      <w:pPr>
        <w:pStyle w:val="a1"/>
      </w:pPr>
      <w:r>
        <w:t>activation_scheme: "dynamic"</w:t>
      </w:r>
      <w:r>
        <w:br/>
        <w:t>动态激活量化策略（按批或按层动态调整尺度）。</w:t>
      </w:r>
    </w:p>
    <w:p w:rsidR="003264BA" w:rsidRDefault="003264BA">
      <w:pPr>
        <w:pStyle w:val="a1"/>
      </w:pPr>
      <w:r>
        <w:t>weight_block_size: [128, 128]</w:t>
      </w:r>
      <w:r>
        <w:br/>
        <w:t>权重量化的块大小（影响scale的粒度与吞吐）。</w:t>
      </w:r>
    </w:p>
    <w:p w:rsidR="003264BA" w:rsidRDefault="003264BA">
      <w:pPr>
        <w:pStyle w:val="a1"/>
      </w:pPr>
      <w:r>
        <w:t>scale_fmt: "ue8m0"</w:t>
      </w:r>
      <w:r>
        <w:br/>
        <w:t>量化scale的数据格式。</w:t>
      </w:r>
      <w:r>
        <w:br/>
        <w:t>这套配置表明模型走混合精度：主算BF16，但某些权重/激活用FP8量化以进一步优化性能。</w:t>
      </w:r>
    </w:p>
    <w:p w:rsidR="003264BA" w:rsidRDefault="003264BA" w:rsidP="001A0C91">
      <w:pPr>
        <w:sectPr w:rsidR="003264BA" w:rsidSect="003264BA">
          <w:type w:val="continuous"/>
          <w:pgSz w:w="11906" w:h="16838"/>
          <w:pgMar w:top="1440" w:right="1800" w:bottom="1440" w:left="1800" w:header="851" w:footer="850" w:gutter="0"/>
          <w:pgNumType w:start="0"/>
          <w:cols w:space="425"/>
          <w:titlePg/>
          <w:docGrid w:type="lines" w:linePitch="312"/>
        </w:sectPr>
      </w:pPr>
    </w:p>
    <w:p w:rsidR="00B71682" w:rsidRDefault="00B71682"/>
    <w:sectPr w:rsidR="00B716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57712"/>
    <w:multiLevelType w:val="multilevel"/>
    <w:tmpl w:val="57157712"/>
    <w:lvl w:ilvl="0">
      <w:start w:val="1"/>
      <w:numFmt w:val="chineseCountingThousand"/>
      <w:pStyle w:val="a"/>
      <w:lvlText w:val="第%1章"/>
      <w:lvlJc w:val="center"/>
      <w:pPr>
        <w:tabs>
          <w:tab w:val="left" w:pos="1242"/>
        </w:tabs>
        <w:ind w:left="1240" w:hanging="420"/>
      </w:pPr>
      <w:rPr>
        <w:rFonts w:ascii="宋体" w:eastAsia="宋体" w:hAnsi="宋体" w:hint="eastAsia"/>
        <w:b/>
        <w:bCs/>
        <w:i w:val="0"/>
        <w:strike w:val="0"/>
        <w:dstrike w:val="0"/>
        <w:sz w:val="30"/>
        <w:vertAlign w:val="baseline"/>
      </w:rPr>
    </w:lvl>
    <w:lvl w:ilvl="1">
      <w:start w:val="1"/>
      <w:numFmt w:val="decimal"/>
      <w:lvlRestart w:val="0"/>
      <w:pStyle w:val="a0"/>
      <w:lvlText w:val="第%2条"/>
      <w:lvlJc w:val="left"/>
      <w:pPr>
        <w:ind w:left="420" w:hanging="420"/>
      </w:pPr>
      <w:rPr>
        <w:rFonts w:hint="eastAsia"/>
      </w:rPr>
    </w:lvl>
    <w:lvl w:ilvl="2">
      <w:start w:val="1"/>
      <w:numFmt w:val="decimal"/>
      <w:pStyle w:val="1"/>
      <w:lvlText w:val="%3)"/>
      <w:lvlJc w:val="left"/>
      <w:pPr>
        <w:ind w:left="868" w:hanging="443"/>
      </w:pPr>
      <w:rPr>
        <w:rFonts w:hint="eastAsia"/>
      </w:rPr>
    </w:lvl>
    <w:lvl w:ilvl="3">
      <w:start w:val="1"/>
      <w:numFmt w:val="lowerLetter"/>
      <w:pStyle w:val="a1"/>
      <w:lvlText w:val="%4)"/>
      <w:lvlJc w:val="left"/>
      <w:pPr>
        <w:ind w:left="1259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num w:numId="1" w16cid:durableId="797263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4BA"/>
    <w:rsid w:val="00054433"/>
    <w:rsid w:val="003264BA"/>
    <w:rsid w:val="00B7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8D6DCE1-6538-4D75-A36F-AD15BAA17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pPr>
      <w:widowControl w:val="0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">
    <w:name w:val="级别章"/>
    <w:basedOn w:val="a2"/>
    <w:qFormat/>
    <w:rsid w:val="003264BA"/>
    <w:pPr>
      <w:numPr>
        <w:numId w:val="1"/>
      </w:numPr>
      <w:tabs>
        <w:tab w:val="clear" w:pos="1242"/>
      </w:tabs>
      <w:autoSpaceDE w:val="0"/>
      <w:autoSpaceDN w:val="0"/>
      <w:spacing w:beforeLines="100" w:before="100" w:afterLines="50" w:after="50" w:line="312" w:lineRule="auto"/>
      <w:ind w:left="0" w:firstLine="0"/>
      <w:jc w:val="center"/>
      <w:outlineLvl w:val="0"/>
    </w:pPr>
    <w:rPr>
      <w:rFonts w:ascii="宋体" w:eastAsia="宋体" w:hAnsi="宋体" w:cs="Arial"/>
      <w:b/>
      <w:bCs/>
      <w:sz w:val="30"/>
      <w14:ligatures w14:val="none"/>
    </w:rPr>
  </w:style>
  <w:style w:type="paragraph" w:customStyle="1" w:styleId="a0">
    <w:name w:val="级别条"/>
    <w:basedOn w:val="a2"/>
    <w:qFormat/>
    <w:rsid w:val="003264BA"/>
    <w:pPr>
      <w:numPr>
        <w:ilvl w:val="1"/>
        <w:numId w:val="1"/>
      </w:numPr>
      <w:autoSpaceDE w:val="0"/>
      <w:autoSpaceDN w:val="0"/>
      <w:spacing w:after="0" w:line="312" w:lineRule="auto"/>
      <w:jc w:val="both"/>
      <w:outlineLvl w:val="1"/>
    </w:pPr>
    <w:rPr>
      <w:rFonts w:ascii="宋体" w:eastAsia="宋体" w:hAnsi="宋体" w:cs="Arial"/>
      <w:b/>
      <w:bCs/>
      <w:sz w:val="24"/>
      <w14:ligatures w14:val="none"/>
    </w:rPr>
  </w:style>
  <w:style w:type="paragraph" w:customStyle="1" w:styleId="1">
    <w:name w:val="级别1"/>
    <w:basedOn w:val="a2"/>
    <w:link w:val="10"/>
    <w:qFormat/>
    <w:rsid w:val="003264BA"/>
    <w:pPr>
      <w:numPr>
        <w:ilvl w:val="2"/>
        <w:numId w:val="1"/>
      </w:numPr>
      <w:autoSpaceDE w:val="0"/>
      <w:autoSpaceDN w:val="0"/>
      <w:spacing w:after="0" w:line="312" w:lineRule="auto"/>
      <w:ind w:left="867" w:hanging="442"/>
      <w:jc w:val="both"/>
    </w:pPr>
    <w:rPr>
      <w:rFonts w:ascii="宋体" w:eastAsia="宋体" w:hAnsi="宋体" w:cs="Arial"/>
      <w:bCs/>
      <w:sz w:val="24"/>
      <w14:ligatures w14:val="none"/>
    </w:rPr>
  </w:style>
  <w:style w:type="paragraph" w:customStyle="1" w:styleId="a1">
    <w:name w:val="级别a"/>
    <w:basedOn w:val="a2"/>
    <w:qFormat/>
    <w:rsid w:val="003264BA"/>
    <w:pPr>
      <w:numPr>
        <w:ilvl w:val="3"/>
        <w:numId w:val="1"/>
      </w:numPr>
      <w:autoSpaceDE w:val="0"/>
      <w:autoSpaceDN w:val="0"/>
      <w:spacing w:after="0" w:line="312" w:lineRule="auto"/>
      <w:jc w:val="both"/>
    </w:pPr>
    <w:rPr>
      <w:rFonts w:ascii="宋体" w:eastAsia="宋体" w:hAnsi="宋体" w:cs="Arial"/>
      <w:bCs/>
      <w:sz w:val="24"/>
      <w14:ligatures w14:val="none"/>
    </w:rPr>
  </w:style>
  <w:style w:type="character" w:customStyle="1" w:styleId="10">
    <w:name w:val="级别1 字符"/>
    <w:basedOn w:val="a3"/>
    <w:link w:val="1"/>
    <w:qFormat/>
    <w:rsid w:val="003264BA"/>
    <w:rPr>
      <w:rFonts w:ascii="宋体" w:eastAsia="宋体" w:hAnsi="宋体" w:cs="Arial"/>
      <w:bCs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uggingface.co/deepseek-ai/DeepSeek-V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651</Words>
  <Characters>3716</Characters>
  <Application>Microsoft Office Word</Application>
  <DocSecurity>0</DocSecurity>
  <Lines>30</Lines>
  <Paragraphs>8</Paragraphs>
  <ScaleCrop>false</ScaleCrop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想 李</dc:creator>
  <cp:keywords/>
  <dc:description/>
  <cp:lastModifiedBy/>
  <cp:revision>1</cp:revision>
  <dcterms:created xsi:type="dcterms:W3CDTF">2025-12-31T03:16:00Z</dcterms:created>
</cp:coreProperties>
</file>