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F5C" w:rsidRDefault="00DB4F5C">
      <w:pPr>
        <w:pStyle w:val="a"/>
        <w:spacing w:before="312" w:after="156"/>
      </w:pPr>
      <w:r>
        <w:t>快速参考</w:t>
      </w:r>
    </w:p>
    <w:p w:rsidR="00DB4F5C" w:rsidRDefault="00DB4F5C">
      <w:pPr>
        <w:pStyle w:val="a0"/>
      </w:pPr>
      <w:bookmarkStart w:id="0" w:name="_Toc6280"/>
      <w:r>
        <w:t>关键配置速查表</w:t>
      </w:r>
      <w:bookmarkEnd w:id="0"/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788"/>
        <w:gridCol w:w="2324"/>
        <w:gridCol w:w="2018"/>
        <w:gridCol w:w="1701"/>
      </w:tblGrid>
      <w:tr w:rsidR="00DB4F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DB4F5C" w:rsidRDefault="00DB4F5C">
            <w:r>
              <w:t>场景</w:t>
            </w:r>
          </w:p>
        </w:tc>
        <w:tc>
          <w:tcPr>
            <w:tcW w:w="788" w:type="dxa"/>
          </w:tcPr>
          <w:p w:rsidR="00DB4F5C" w:rsidRDefault="00DB4F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芯片数</w:t>
            </w:r>
          </w:p>
        </w:tc>
        <w:tc>
          <w:tcPr>
            <w:tcW w:w="2324" w:type="dxa"/>
          </w:tcPr>
          <w:p w:rsidR="00DB4F5C" w:rsidRDefault="00DB4F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推荐配置</w:t>
            </w:r>
          </w:p>
        </w:tc>
        <w:tc>
          <w:tcPr>
            <w:tcW w:w="2018" w:type="dxa"/>
          </w:tcPr>
          <w:p w:rsidR="00DB4F5C" w:rsidRDefault="00DB4F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性能预期</w:t>
            </w:r>
          </w:p>
        </w:tc>
        <w:tc>
          <w:tcPr>
            <w:tcW w:w="1701" w:type="dxa"/>
          </w:tcPr>
          <w:p w:rsidR="00DB4F5C" w:rsidRDefault="00DB4F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注意事项</w:t>
            </w:r>
          </w:p>
        </w:tc>
      </w:tr>
      <w:tr w:rsidR="00DB4F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DB4F5C" w:rsidRDefault="00DB4F5C">
            <w:r>
              <w:rPr>
                <w:b/>
              </w:rPr>
              <w:t>Decode标准部署</w:t>
            </w:r>
          </w:p>
        </w:tc>
        <w:tc>
          <w:tcPr>
            <w:tcW w:w="78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2324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TP4+DP32+EP128, B10</w:t>
            </w:r>
          </w:p>
        </w:tc>
        <w:tc>
          <w:tcPr>
            <w:tcW w:w="201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TPS/Chip=108</w:t>
            </w:r>
          </w:p>
        </w:tc>
        <w:tc>
          <w:tcPr>
            <w:tcW w:w="1701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性价比最佳⭐</w:t>
            </w:r>
          </w:p>
        </w:tc>
      </w:tr>
      <w:tr w:rsidR="00DB4F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DB4F5C" w:rsidRDefault="00DB4F5C">
            <w:r>
              <w:rPr>
                <w:b/>
              </w:rPr>
              <w:t>Decode高吞吐</w:t>
            </w:r>
          </w:p>
        </w:tc>
        <w:tc>
          <w:tcPr>
            <w:tcW w:w="78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256</w:t>
            </w:r>
          </w:p>
        </w:tc>
        <w:tc>
          <w:tcPr>
            <w:tcW w:w="2324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TP4+DP64+EP256, B12</w:t>
            </w:r>
          </w:p>
        </w:tc>
        <w:tc>
          <w:tcPr>
            <w:tcW w:w="201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TPS/Chip=138 (+28%)</w:t>
            </w:r>
          </w:p>
        </w:tc>
        <w:tc>
          <w:tcPr>
            <w:tcW w:w="1701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总吞吐翻倍</w:t>
            </w:r>
          </w:p>
        </w:tc>
      </w:tr>
      <w:tr w:rsidR="00DB4F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DB4F5C" w:rsidRDefault="00DB4F5C">
            <w:r>
              <w:rPr>
                <w:b/>
              </w:rPr>
              <w:t>Prefill</w:t>
            </w:r>
          </w:p>
        </w:tc>
        <w:tc>
          <w:tcPr>
            <w:tcW w:w="78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16-32</w:t>
            </w:r>
          </w:p>
        </w:tc>
        <w:tc>
          <w:tcPr>
            <w:tcW w:w="2324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TP4+SP4+EP16/32, B4-8</w:t>
            </w:r>
          </w:p>
        </w:tc>
        <w:tc>
          <w:tcPr>
            <w:tcW w:w="201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FTL=2.2-2.5s</w:t>
            </w:r>
          </w:p>
        </w:tc>
        <w:tc>
          <w:tcPr>
            <w:tcW w:w="1701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单芯效率400%+</w:t>
            </w:r>
          </w:p>
        </w:tc>
      </w:tr>
      <w:tr w:rsidR="00DB4F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:rsidR="00DB4F5C" w:rsidRDefault="00DB4F5C">
            <w:r>
              <w:rPr>
                <w:b/>
              </w:rPr>
              <w:t>小规模部署</w:t>
            </w:r>
          </w:p>
        </w:tc>
        <w:tc>
          <w:tcPr>
            <w:tcW w:w="78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2324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 不推荐</w:t>
            </w:r>
          </w:p>
        </w:tc>
        <w:tc>
          <w:tcPr>
            <w:tcW w:w="2018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TPS/Chip=40 (-63%)</w:t>
            </w:r>
          </w:p>
        </w:tc>
        <w:tc>
          <w:tcPr>
            <w:tcW w:w="1701" w:type="dxa"/>
          </w:tcPr>
          <w:p w:rsidR="00DB4F5C" w:rsidRDefault="00DB4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建议用128芯</w:t>
            </w:r>
          </w:p>
        </w:tc>
      </w:tr>
    </w:tbl>
    <w:p w:rsidR="00DB4F5C" w:rsidRDefault="00DB4F5C">
      <w:pPr>
        <w:pStyle w:val="1"/>
      </w:pPr>
      <w:r>
        <w:rPr>
          <w:b/>
        </w:rPr>
        <w:t>核心策略</w:t>
      </w:r>
      <w:r>
        <w:t>：</w:t>
      </w:r>
    </w:p>
    <w:p w:rsidR="00DB4F5C" w:rsidRDefault="00DB4F5C">
      <w:pPr>
        <w:pStyle w:val="a1"/>
      </w:pPr>
      <w:r>
        <w:t>✅ TBO：仅高带宽芯片+大Batch场景（SG2260E不需要）</w:t>
      </w:r>
    </w:p>
    <w:p w:rsidR="00DB4F5C" w:rsidRDefault="00DB4F5C">
      <w:pPr>
        <w:pStyle w:val="a1"/>
      </w:pPr>
      <w:r>
        <w:t>✅ MOE_TP：固定为1（仅做EP）</w:t>
      </w:r>
    </w:p>
    <w:p w:rsidR="00DB4F5C" w:rsidRDefault="00DB4F5C">
      <w:pPr>
        <w:pStyle w:val="a1"/>
      </w:pPr>
      <w:r>
        <w:t>✅ MLA_TP：优先选择4（平衡通信与计算）</w:t>
      </w:r>
    </w:p>
    <w:p w:rsidR="00DB4F5C" w:rsidRDefault="00DB4F5C">
      <w:pPr>
        <w:pStyle w:val="a1"/>
      </w:pPr>
      <w:r>
        <w:t>✅ EP：越大越好（256 &gt; 128 &gt; 64）</w:t>
      </w:r>
    </w:p>
    <w:p w:rsidR="00DB4F5C" w:rsidRDefault="00DB4F5C">
      <w:pPr>
        <w:pStyle w:val="a1"/>
      </w:pPr>
      <w:r>
        <w:t>✅ Batch：满足SLO前提下越大越好</w:t>
      </w:r>
    </w:p>
    <w:p w:rsidR="00DB4F5C" w:rsidRDefault="00DB4F5C">
      <w:pPr>
        <w:pStyle w:val="a0"/>
      </w:pPr>
      <w:bookmarkStart w:id="1" w:name="_Toc19182"/>
      <w:r>
        <w:t>常见问题FAQ</w:t>
      </w:r>
      <w:bookmarkEnd w:id="1"/>
    </w:p>
    <w:p w:rsidR="00DB4F5C" w:rsidRDefault="00DB4F5C">
      <w:pPr>
        <w:pStyle w:val="1"/>
      </w:pPr>
      <w:r>
        <w:t>Q1: 为什么TPS per Chip随Batch增大而增大，但有SLO约束？</w:t>
      </w:r>
    </w:p>
    <w:p w:rsidR="00DB4F5C" w:rsidRDefault="00DB4F5C">
      <w:pPr>
        <w:pStyle w:val="a1"/>
      </w:pPr>
      <w:r>
        <w:t>Batch越大 → 计算密集度高 → TPS per Chip高</w:t>
      </w:r>
    </w:p>
    <w:p w:rsidR="00DB4F5C" w:rsidRDefault="00DB4F5C">
      <w:pPr>
        <w:pStyle w:val="a1"/>
      </w:pPr>
      <w:r>
        <w:t>但Batch越大 → TPOT越长 → TPS per Batch低</w:t>
      </w:r>
    </w:p>
    <w:p w:rsidR="00DB4F5C" w:rsidRDefault="00DB4F5C">
      <w:pPr>
        <w:pStyle w:val="a1"/>
      </w:pPr>
      <w:r>
        <w:t>需要平衡用户体验（TPS per Batch）和芯片利用率（TPS per Chip）</w:t>
      </w:r>
    </w:p>
    <w:p w:rsidR="00DB4F5C" w:rsidRDefault="00DB4F5C">
      <w:pPr>
        <w:pStyle w:val="1"/>
      </w:pPr>
      <w:r>
        <w:t>Q2: 为什么MFU只有12%？</w:t>
      </w:r>
    </w:p>
    <w:p w:rsidR="00DB4F5C" w:rsidRDefault="00DB4F5C">
      <w:pPr>
        <w:pStyle w:val="a1"/>
      </w:pPr>
      <w:r>
        <w:t>DeepSeek-V3是访存密集型模型（大量权重和KV Cache访问）</w:t>
      </w:r>
    </w:p>
    <w:p w:rsidR="00DB4F5C" w:rsidRDefault="00DB4F5C">
      <w:pPr>
        <w:pStyle w:val="a1"/>
      </w:pPr>
      <w:r>
        <w:t>DRAM带宽273GB/s相对计算能力128T是瓶颈</w:t>
      </w:r>
    </w:p>
    <w:p w:rsidR="00DB4F5C" w:rsidRDefault="00DB4F5C">
      <w:pPr>
        <w:pStyle w:val="a1"/>
      </w:pPr>
      <w:r>
        <w:t>这是正常现象，不代表芯片性能差</w:t>
      </w:r>
    </w:p>
    <w:p w:rsidR="00DB4F5C" w:rsidRDefault="00DB4F5C">
      <w:pPr>
        <w:pStyle w:val="1"/>
      </w:pPr>
      <w:r>
        <w:t>Q3: 如何选择网络拓扑？</w:t>
      </w:r>
    </w:p>
    <w:p w:rsidR="00DB4F5C" w:rsidRDefault="00DB4F5C">
      <w:pPr>
        <w:pStyle w:val="a1"/>
      </w:pPr>
      <w:r>
        <w:t>如果TP Group间能直连（All2All）：设置`inter_bw=64GB/s`</w:t>
      </w:r>
    </w:p>
    <w:p w:rsidR="00DB4F5C" w:rsidRDefault="00DB4F5C">
      <w:pPr>
        <w:pStyle w:val="a1"/>
      </w:pPr>
      <w:r>
        <w:t>如果TP Group间只能PCIe：设置`inter_bw=16GB/s`</w:t>
      </w:r>
    </w:p>
    <w:p w:rsidR="00DB4F5C" w:rsidRDefault="00DB4F5C">
      <w:pPr>
        <w:pStyle w:val="a1"/>
      </w:pPr>
      <w:r>
        <w:t>性能差异约10-15%</w:t>
      </w:r>
    </w:p>
    <w:p w:rsidR="00DB4F5C" w:rsidRDefault="00DB4F5C">
      <w:pPr>
        <w:pStyle w:val="1"/>
      </w:pPr>
      <w:r>
        <w:t>Q4: 数学建模结果可信吗？</w:t>
      </w:r>
    </w:p>
    <w:p w:rsidR="00DB4F5C" w:rsidRDefault="00DB4F5C">
      <w:pPr>
        <w:pStyle w:val="a1"/>
      </w:pPr>
      <w:r>
        <w:rPr>
          <w:b/>
        </w:rPr>
        <w:t>相对比较可信</w:t>
      </w:r>
      <w:r>
        <w:t>：配置排序准确（TP4优于TP2/TP8等）</w:t>
      </w:r>
    </w:p>
    <w:p w:rsidR="00DB4F5C" w:rsidRDefault="00DB4F5C">
      <w:pPr>
        <w:pStyle w:val="a1"/>
      </w:pPr>
      <w:r>
        <w:rPr>
          <w:b/>
        </w:rPr>
        <w:t>绝对值有误差</w:t>
      </w:r>
      <w:r>
        <w:t>：实际TPS可能有5-15%的偏差</w:t>
      </w:r>
    </w:p>
    <w:p w:rsidR="00DB4F5C" w:rsidRDefault="00DB4F5C">
      <w:pPr>
        <w:pStyle w:val="a1"/>
      </w:pPr>
      <w:r>
        <w:rPr>
          <w:b/>
        </w:rPr>
        <w:t>趋势分析准确</w:t>
      </w:r>
      <w:r>
        <w:t>：EP越大性能越好等结论可靠</w:t>
      </w:r>
    </w:p>
    <w:p w:rsidR="00DB4F5C" w:rsidRDefault="00DB4F5C">
      <w:pPr>
        <w:pStyle w:val="a1"/>
      </w:pPr>
      <w:r>
        <w:rPr>
          <w:b/>
        </w:rPr>
        <w:t>建议</w:t>
      </w:r>
      <w:r>
        <w:t>：最终方案在实际硬件上验证</w:t>
      </w:r>
    </w:p>
    <w:p w:rsidR="00DB4F5C" w:rsidRDefault="00DB4F5C">
      <w:pPr>
        <w:pStyle w:val="1"/>
      </w:pPr>
      <w:r>
        <w:t>Q5: 如何处理Prefill和Decode节点的吞吐量不匹配？</w:t>
      </w:r>
    </w:p>
    <w:p w:rsidR="00DB4F5C" w:rsidRDefault="00DB4F5C">
      <w:pPr>
        <w:pStyle w:val="a1"/>
      </w:pPr>
      <w:r>
        <w:t>通过调整PD节点数量比例实现匹配</w:t>
      </w:r>
    </w:p>
    <w:p w:rsidR="00DB4F5C" w:rsidRDefault="00DB4F5C">
      <w:pPr>
        <w:pStyle w:val="a1"/>
      </w:pPr>
      <w:r>
        <w:t>例如：Prefill节点数 / Decode节点数 = Decode吞吐 / Prefill吞吐</w:t>
      </w:r>
    </w:p>
    <w:p w:rsidR="00DB4F5C" w:rsidRDefault="00DB4F5C">
      <w:pPr>
        <w:pStyle w:val="a1"/>
      </w:pPr>
      <w:r>
        <w:t>暂不考虑PD节点之间的KV Cache传输</w:t>
      </w:r>
    </w:p>
    <w:p w:rsidR="00DB4F5C" w:rsidRDefault="00DB4F5C" w:rsidP="001A0C91">
      <w:pPr>
        <w:sectPr w:rsidR="00DB4F5C" w:rsidSect="00DB4F5C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FB4458" w:rsidRDefault="00FB4458"/>
    <w:sectPr w:rsidR="00FB4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5C"/>
    <w:rsid w:val="00054433"/>
    <w:rsid w:val="00DB4F5C"/>
    <w:rsid w:val="00FB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DB4F5C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DB4F5C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DB4F5C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DB4F5C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DB4F5C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character" w:customStyle="1" w:styleId="10">
    <w:name w:val="级别1 字符"/>
    <w:basedOn w:val="a3"/>
    <w:link w:val="1"/>
    <w:qFormat/>
    <w:rsid w:val="00DB4F5C"/>
    <w:rPr>
      <w:rFonts w:ascii="宋体" w:eastAsia="宋体" w:hAnsi="宋体" w:cs="Arial"/>
      <w:bCs/>
      <w:sz w:val="24"/>
      <w14:ligatures w14:val="none"/>
    </w:rPr>
  </w:style>
  <w:style w:type="table" w:styleId="a6">
    <w:name w:val="Table Grid"/>
    <w:basedOn w:val="a4"/>
    <w:uiPriority w:val="39"/>
    <w:rsid w:val="00DB4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