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1A74" w:rsidRDefault="004E1A74">
      <w:pPr>
        <w:pStyle w:val="a"/>
        <w:spacing w:before="312" w:after="156"/>
      </w:pPr>
      <w:r>
        <w:t>需要给定的硬件资源参数与模型参数</w:t>
      </w:r>
    </w:p>
    <w:p w:rsidR="004E1A74" w:rsidRDefault="004E1A74">
      <w:pPr>
        <w:pStyle w:val="a0"/>
      </w:pPr>
      <w:bookmarkStart w:id="0" w:name="_Toc9311"/>
      <w:r>
        <w:t>芯片算力参数</w:t>
      </w:r>
      <w:bookmarkEnd w:id="0"/>
    </w:p>
    <w:p w:rsidR="004E1A74" w:rsidRDefault="004E1A74">
      <w:pPr>
        <w:pStyle w:val="1"/>
      </w:pPr>
      <w:r>
        <w:rPr>
          <w:b/>
        </w:rPr>
        <w:t>FLOPS（Floating Point Operations Per Second）</w:t>
      </w:r>
    </w:p>
    <w:p w:rsidR="004E1A74" w:rsidRDefault="004E1A74">
      <w:pPr>
        <w:pStyle w:val="a1"/>
      </w:pPr>
      <w:r>
        <w:rPr>
          <w:b/>
        </w:rPr>
        <w:t>定义</w:t>
      </w:r>
      <w:r>
        <w:t>：单芯片的理论峰值算力</w:t>
      </w:r>
    </w:p>
    <w:p w:rsidR="004E1A74" w:rsidRDefault="004E1A74">
      <w:pPr>
        <w:pStyle w:val="a1"/>
      </w:pPr>
      <w:r>
        <w:rPr>
          <w:b/>
        </w:rPr>
        <w:t>单位</w:t>
      </w:r>
      <w:r>
        <w:t>：FLOPS（通常以TFLOPS表示，1 TFLOPS = 10¹² FLOPS）</w:t>
      </w:r>
    </w:p>
    <w:p w:rsidR="004E1A74" w:rsidRDefault="004E1A74">
      <w:pPr>
        <w:pStyle w:val="a1"/>
      </w:pPr>
      <w:r>
        <w:rPr>
          <w:b/>
        </w:rPr>
        <w:t>配置方式</w:t>
      </w:r>
      <w:r>
        <w:t>：根据芯片规格确定，例如：Int8精度：128 TFLOPS；FP16精度：64 TFLOPS</w:t>
      </w:r>
    </w:p>
    <w:p w:rsidR="004E1A74" w:rsidRDefault="004E1A74">
      <w:pPr>
        <w:pStyle w:val="a1"/>
      </w:pPr>
      <w:r>
        <w:rPr>
          <w:b/>
        </w:rPr>
        <w:t>在TPUArch中的参数</w:t>
      </w:r>
      <w:r>
        <w:t>：`flops`</w:t>
      </w:r>
    </w:p>
    <w:p w:rsidR="004E1A74" w:rsidRDefault="004E1A74">
      <w:pPr>
        <w:pStyle w:val="1"/>
      </w:pPr>
      <w:r>
        <w:rPr>
          <w:b/>
        </w:rPr>
        <w:t>核心数（core）</w:t>
      </w:r>
    </w:p>
    <w:p w:rsidR="004E1A74" w:rsidRDefault="004E1A74">
      <w:pPr>
        <w:pStyle w:val="a1"/>
      </w:pPr>
      <w:r>
        <w:rPr>
          <w:b/>
        </w:rPr>
        <w:t>定义</w:t>
      </w:r>
      <w:r>
        <w:t>：单芯片的计算核心数量</w:t>
      </w:r>
    </w:p>
    <w:p w:rsidR="004E1A74" w:rsidRDefault="004E1A74">
      <w:pPr>
        <w:pStyle w:val="a1"/>
      </w:pPr>
      <w:r>
        <w:rPr>
          <w:b/>
        </w:rPr>
        <w:t>配置示例</w:t>
      </w:r>
      <w:r>
        <w:t>：8</w:t>
      </w:r>
    </w:p>
    <w:p w:rsidR="004E1A74" w:rsidRDefault="004E1A74">
      <w:pPr>
        <w:pStyle w:val="a1"/>
      </w:pPr>
      <w:r>
        <w:rPr>
          <w:b/>
        </w:rPr>
        <w:t>在TPUArch中的参数</w:t>
      </w:r>
      <w:r>
        <w:t>：`core`</w:t>
      </w:r>
    </w:p>
    <w:p w:rsidR="004E1A74" w:rsidRDefault="004E1A74">
      <w:pPr>
        <w:pStyle w:val="a0"/>
      </w:pPr>
      <w:bookmarkStart w:id="1" w:name="_Toc6257"/>
      <w:r>
        <w:t>内存参数</w:t>
      </w:r>
      <w:bookmarkEnd w:id="1"/>
    </w:p>
    <w:p w:rsidR="004E1A74" w:rsidRDefault="004E1A74">
      <w:pPr>
        <w:pStyle w:val="1"/>
      </w:pPr>
      <w:r>
        <w:rPr>
          <w:b/>
        </w:rPr>
        <w:t>DRAM容量</w:t>
      </w:r>
    </w:p>
    <w:p w:rsidR="004E1A74" w:rsidRDefault="004E1A74">
      <w:pPr>
        <w:pStyle w:val="a1"/>
      </w:pPr>
      <w:r>
        <w:rPr>
          <w:b/>
        </w:rPr>
        <w:t>定义</w:t>
      </w:r>
      <w:r>
        <w:t>：单芯片的DRAM存储容量</w:t>
      </w:r>
    </w:p>
    <w:p w:rsidR="004E1A74" w:rsidRDefault="004E1A74">
      <w:pPr>
        <w:pStyle w:val="a1"/>
      </w:pPr>
      <w:r>
        <w:rPr>
          <w:b/>
        </w:rPr>
        <w:t>单位</w:t>
      </w:r>
      <w:r>
        <w:t>：GB</w:t>
      </w:r>
    </w:p>
    <w:p w:rsidR="004E1A74" w:rsidRDefault="004E1A74">
      <w:pPr>
        <w:pStyle w:val="a1"/>
      </w:pPr>
      <w:r>
        <w:rPr>
          <w:b/>
        </w:rPr>
        <w:t>配置示例</w:t>
      </w:r>
      <w:r>
        <w:t>：64GB</w:t>
      </w:r>
    </w:p>
    <w:p w:rsidR="004E1A74" w:rsidRDefault="004E1A74">
      <w:pPr>
        <w:pStyle w:val="a1"/>
      </w:pPr>
      <w:r>
        <w:rPr>
          <w:b/>
        </w:rPr>
        <w:t>作用</w:t>
      </w:r>
      <w:r>
        <w:t>：限制模型权重和KV Cache的存储</w:t>
      </w:r>
    </w:p>
    <w:p w:rsidR="004E1A74" w:rsidRDefault="004E1A74">
      <w:pPr>
        <w:pStyle w:val="1"/>
      </w:pPr>
      <w:r>
        <w:rPr>
          <w:b/>
        </w:rPr>
        <w:t>DRAM带宽</w:t>
      </w:r>
    </w:p>
    <w:p w:rsidR="004E1A74" w:rsidRDefault="004E1A74">
      <w:pPr>
        <w:pStyle w:val="a1"/>
      </w:pPr>
      <w:r>
        <w:rPr>
          <w:b/>
        </w:rPr>
        <w:t>定义</w:t>
      </w:r>
      <w:r>
        <w:t>：DRAM的访问带宽</w:t>
      </w:r>
    </w:p>
    <w:p w:rsidR="004E1A74" w:rsidRDefault="004E1A74">
      <w:pPr>
        <w:pStyle w:val="a1"/>
      </w:pPr>
      <w:r>
        <w:rPr>
          <w:b/>
        </w:rPr>
        <w:t>单位</w:t>
      </w:r>
      <w:r>
        <w:t>：GB/s（字节每秒）</w:t>
      </w:r>
    </w:p>
    <w:p w:rsidR="004E1A74" w:rsidRDefault="004E1A74">
      <w:pPr>
        <w:pStyle w:val="a1"/>
      </w:pPr>
      <w:r>
        <w:rPr>
          <w:b/>
        </w:rPr>
        <w:t>配置示例</w:t>
      </w:r>
      <w:r>
        <w:t>：273 GB/s</w:t>
      </w:r>
    </w:p>
    <w:p w:rsidR="004E1A74" w:rsidRDefault="004E1A74">
      <w:pPr>
        <w:pStyle w:val="a1"/>
      </w:pPr>
      <w:r>
        <w:rPr>
          <w:b/>
        </w:rPr>
        <w:t>带宽利用率</w:t>
      </w:r>
      <w:r>
        <w:t>：实际使用时需要考虑带宽利用率（通常为0.893）</w:t>
      </w:r>
    </w:p>
    <w:p w:rsidR="004E1A74" w:rsidRDefault="004E1A74">
      <w:pPr>
        <w:pStyle w:val="a1"/>
      </w:pPr>
      <w:r>
        <w:rPr>
          <w:b/>
        </w:rPr>
        <w:t>在TPUArch中的参数</w:t>
      </w:r>
      <w:r>
        <w:t>：`dram_bw = 理论带宽 × 利用率`</w:t>
      </w:r>
    </w:p>
    <w:p w:rsidR="004E1A74" w:rsidRDefault="004E1A74">
      <w:pPr>
        <w:pStyle w:val="1"/>
      </w:pPr>
      <w:r>
        <w:rPr>
          <w:b/>
        </w:rPr>
        <w:t>L2M（L2 Memory）参数</w:t>
      </w:r>
    </w:p>
    <w:p w:rsidR="004E1A74" w:rsidRDefault="004E1A74">
      <w:pPr>
        <w:pStyle w:val="a1"/>
      </w:pPr>
      <w:r>
        <w:rPr>
          <w:b/>
        </w:rPr>
        <w:t>容量</w:t>
      </w:r>
      <w:r>
        <w:t>：通常较小，如16MB</w:t>
      </w:r>
    </w:p>
    <w:p w:rsidR="004E1A74" w:rsidRDefault="004E1A74">
      <w:pPr>
        <w:pStyle w:val="a1"/>
      </w:pPr>
      <w:r>
        <w:rPr>
          <w:b/>
        </w:rPr>
        <w:t>带宽</w:t>
      </w:r>
      <w:r>
        <w:t>：单向带宽：512 GB/s；双向带宽：1 TB/s</w:t>
      </w:r>
    </w:p>
    <w:p w:rsidR="004E1A74" w:rsidRDefault="004E1A74">
      <w:pPr>
        <w:pStyle w:val="a1"/>
      </w:pPr>
      <w:r>
        <w:rPr>
          <w:b/>
        </w:rPr>
        <w:t>作用</w:t>
      </w:r>
      <w:r>
        <w:t>：作为高速缓存，减少DRAM访问</w:t>
      </w:r>
    </w:p>
    <w:p w:rsidR="004E1A74" w:rsidRDefault="004E1A74">
      <w:pPr>
        <w:pStyle w:val="a0"/>
      </w:pPr>
      <w:bookmarkStart w:id="2" w:name="_Toc475"/>
      <w:r>
        <w:t>互联参数</w:t>
      </w:r>
      <w:bookmarkEnd w:id="2"/>
    </w:p>
    <w:p w:rsidR="004E1A74" w:rsidRDefault="004E1A74">
      <w:r>
        <w:t>互联拓扑目前没有参数化的方案，只能根据评估案例组织。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1593"/>
        <w:gridCol w:w="1746"/>
        <w:gridCol w:w="2727"/>
        <w:gridCol w:w="828"/>
        <w:gridCol w:w="1463"/>
      </w:tblGrid>
      <w:tr w:rsidR="004E1A74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4E1A74" w:rsidRDefault="004E1A74">
            <w:r>
              <w:t>参数名称</w:t>
            </w:r>
          </w:p>
        </w:tc>
        <w:tc>
          <w:tcPr>
            <w:tcW w:w="1746" w:type="dxa"/>
          </w:tcPr>
          <w:p w:rsidR="004E1A74" w:rsidRDefault="004E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符号</w:t>
            </w:r>
          </w:p>
        </w:tc>
        <w:tc>
          <w:tcPr>
            <w:tcW w:w="2727" w:type="dxa"/>
          </w:tcPr>
          <w:p w:rsidR="004E1A74" w:rsidRDefault="004E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定义</w:t>
            </w:r>
          </w:p>
        </w:tc>
        <w:tc>
          <w:tcPr>
            <w:tcW w:w="828" w:type="dxa"/>
          </w:tcPr>
          <w:p w:rsidR="004E1A74" w:rsidRDefault="004E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单位</w:t>
            </w:r>
          </w:p>
        </w:tc>
        <w:tc>
          <w:tcPr>
            <w:tcW w:w="1463" w:type="dxa"/>
          </w:tcPr>
          <w:p w:rsidR="004E1A74" w:rsidRDefault="004E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典型值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4E1A74" w:rsidRDefault="004E1A74">
            <w:r>
              <w:t>单向带宽</w:t>
            </w:r>
          </w:p>
        </w:tc>
        <w:tc>
          <w:tcPr>
            <w:tcW w:w="1746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`intrabw`（节点内）</w:t>
            </w:r>
            <w:r>
              <w:br/>
              <w:t>`inter_bw`（节点间）</w:t>
            </w:r>
          </w:p>
        </w:tc>
        <w:tc>
          <w:tcPr>
            <w:tcW w:w="2727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单方向最大传输速率</w:t>
            </w:r>
          </w:p>
        </w:tc>
        <w:tc>
          <w:tcPr>
            <w:tcW w:w="828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GB/s</w:t>
            </w:r>
          </w:p>
        </w:tc>
        <w:tc>
          <w:tcPr>
            <w:tcW w:w="1463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节点内：64-900</w:t>
            </w:r>
            <w:r>
              <w:br/>
              <w:t>节点间：12.5-50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4E1A74" w:rsidRDefault="004E1A74">
            <w:r>
              <w:t>带宽利用率</w:t>
            </w:r>
          </w:p>
        </w:tc>
        <w:tc>
          <w:tcPr>
            <w:tcW w:w="1746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`bwurate`</w:t>
            </w:r>
          </w:p>
        </w:tc>
        <w:tc>
          <w:tcPr>
            <w:tcW w:w="2727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实际可达带宽占理论带宽比例</w:t>
            </w:r>
          </w:p>
        </w:tc>
        <w:tc>
          <w:tcPr>
            <w:tcW w:w="828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无量纲</w:t>
            </w:r>
          </w:p>
        </w:tc>
        <w:tc>
          <w:tcPr>
            <w:tcW w:w="1463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0.8-0.95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4E1A74" w:rsidRDefault="004E1A74">
            <w:r>
              <w:t>启动延迟</w:t>
            </w:r>
          </w:p>
        </w:tc>
        <w:tc>
          <w:tcPr>
            <w:tcW w:w="1746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`startlat`</w:t>
            </w:r>
          </w:p>
        </w:tc>
        <w:tc>
          <w:tcPr>
            <w:tcW w:w="2727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通信启动的固定开销</w:t>
            </w:r>
          </w:p>
        </w:tc>
        <w:tc>
          <w:tcPr>
            <w:tcW w:w="828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μs</w:t>
            </w:r>
          </w:p>
        </w:tc>
        <w:tc>
          <w:tcPr>
            <w:tcW w:w="1463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0.5-2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4E1A74" w:rsidRDefault="004E1A74">
            <w:r>
              <w:t>同步延迟</w:t>
            </w:r>
          </w:p>
        </w:tc>
        <w:tc>
          <w:tcPr>
            <w:tcW w:w="1746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`synclat`</w:t>
            </w:r>
          </w:p>
        </w:tc>
        <w:tc>
          <w:tcPr>
            <w:tcW w:w="2727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多节点同步的固定开销</w:t>
            </w:r>
          </w:p>
        </w:tc>
        <w:tc>
          <w:tcPr>
            <w:tcW w:w="828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μs</w:t>
            </w:r>
          </w:p>
        </w:tc>
        <w:tc>
          <w:tcPr>
            <w:tcW w:w="1463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0.5-2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4E1A74" w:rsidRDefault="004E1A74">
            <w:r>
              <w:t>链路延迟</w:t>
            </w:r>
          </w:p>
        </w:tc>
        <w:tc>
          <w:tcPr>
            <w:tcW w:w="1746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`linkdelay`</w:t>
            </w:r>
          </w:p>
        </w:tc>
        <w:tc>
          <w:tcPr>
            <w:tcW w:w="2727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跨节点链路传输延迟</w:t>
            </w:r>
          </w:p>
        </w:tc>
        <w:tc>
          <w:tcPr>
            <w:tcW w:w="828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μs</w:t>
            </w:r>
          </w:p>
        </w:tc>
        <w:tc>
          <w:tcPr>
            <w:tcW w:w="1463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0.28-5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4E1A74" w:rsidRDefault="004E1A74">
            <w:r>
              <w:t>CPU指令延迟</w:t>
            </w:r>
          </w:p>
        </w:tc>
        <w:tc>
          <w:tcPr>
            <w:tcW w:w="1746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`cpufetch`</w:t>
            </w:r>
          </w:p>
        </w:tc>
        <w:tc>
          <w:tcPr>
            <w:tcW w:w="2727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CPU发起通信指令的延迟</w:t>
            </w:r>
          </w:p>
        </w:tc>
        <w:tc>
          <w:tcPr>
            <w:tcW w:w="828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μs</w:t>
            </w:r>
          </w:p>
        </w:tc>
        <w:tc>
          <w:tcPr>
            <w:tcW w:w="1463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</w:t>
            </w:r>
          </w:p>
        </w:tc>
      </w:tr>
    </w:tbl>
    <w:p w:rsidR="004E1A74" w:rsidRDefault="004E1A74">
      <w:pPr>
        <w:pStyle w:val="a0"/>
      </w:pPr>
      <w:bookmarkStart w:id="3" w:name="_Toc11180"/>
      <w:r>
        <w:t>SG2260E硬件参数示例</w:t>
      </w:r>
      <w:bookmarkEnd w:id="3"/>
    </w:p>
    <w:p w:rsidR="004E1A74" w:rsidRDefault="004E1A74">
      <w:r>
        <w:t>以SG2260E为例的完整硬件参数配置：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1208"/>
        <w:gridCol w:w="2404"/>
        <w:gridCol w:w="1701"/>
        <w:gridCol w:w="3044"/>
      </w:tblGrid>
      <w:tr w:rsidR="004E1A74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参数类型</w:t>
            </w:r>
          </w:p>
        </w:tc>
        <w:tc>
          <w:tcPr>
            <w:tcW w:w="2404" w:type="dxa"/>
          </w:tcPr>
          <w:p w:rsidR="004E1A74" w:rsidRDefault="004E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参数名称</w:t>
            </w:r>
          </w:p>
        </w:tc>
        <w:tc>
          <w:tcPr>
            <w:tcW w:w="1701" w:type="dxa"/>
          </w:tcPr>
          <w:p w:rsidR="004E1A74" w:rsidRDefault="004E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数值</w:t>
            </w:r>
          </w:p>
        </w:tc>
        <w:tc>
          <w:tcPr>
            <w:tcW w:w="3044" w:type="dxa"/>
          </w:tcPr>
          <w:p w:rsidR="004E1A74" w:rsidRDefault="004E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算力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Int8 FLOPS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 TFLOPS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单芯片峰值算力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算力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FP16 FLOPS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TFLOPS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单芯片峰值算力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内存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DRAM容量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GB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单芯片DRAM容量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内存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DRAM带宽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273 GB/s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理论带宽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内存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DRAM带宽利用率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0.893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实际可用带宽比例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缓存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L2M容量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 MB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L2缓存大小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缓存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L2M单向带宽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512 GB/s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L2缓存单向访问带宽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缓存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L2M双向带宽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TB/s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L2缓存双向访问带宽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互联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 Group内带宽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GB/s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直连节点间带宽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互联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 Group间带宽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 GB/s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PCIe Gen5互联带宽</w:t>
            </w:r>
          </w:p>
        </w:tc>
      </w:tr>
      <w:tr w:rsidR="004E1A74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:rsidR="004E1A74" w:rsidRDefault="004E1A74">
            <w:r>
              <w:t>其他</w:t>
            </w:r>
          </w:p>
        </w:tc>
        <w:tc>
          <w:tcPr>
            <w:tcW w:w="240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核心数</w:t>
            </w:r>
          </w:p>
        </w:tc>
        <w:tc>
          <w:tcPr>
            <w:tcW w:w="1701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3044" w:type="dxa"/>
          </w:tcPr>
          <w:p w:rsidR="004E1A74" w:rsidRDefault="004E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单芯片计算核心数</w:t>
            </w:r>
          </w:p>
        </w:tc>
      </w:tr>
    </w:tbl>
    <w:p w:rsidR="004E1A74" w:rsidRDefault="004E1A74">
      <w:pPr>
        <w:pStyle w:val="a0"/>
      </w:pPr>
      <w:bookmarkStart w:id="4" w:name="_Toc5952"/>
      <w:r>
        <w:t>模型参数</w:t>
      </w:r>
      <w:bookmarkEnd w:id="4"/>
    </w:p>
    <w:p w:rsidR="004E1A74" w:rsidRDefault="004E1A74">
      <w:r>
        <w:t>从`config.json`中提取以下参数：</w:t>
      </w:r>
    </w:p>
    <w:p w:rsidR="004E1A74" w:rsidRDefault="004E1A74">
      <w:pPr>
        <w:pStyle w:val="1"/>
      </w:pPr>
      <w:r>
        <w:t>基础维度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L#</m:t>
            </m:r>
          </m:e>
        </m:box>
      </m:oMath>
      <w:r>
        <w:rPr>
          <w:b/>
        </w:rPr>
        <w:t>(Layers)</w:t>
      </w:r>
      <w:r>
        <w:t>: 61 (`num_hidden_layers`)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H#</m:t>
            </m:r>
          </m:e>
        </m:box>
      </m:oMath>
      <w:r>
        <w:rPr>
          <w:b/>
        </w:rPr>
        <w:t>(Hidden Size)</w:t>
      </w:r>
      <w:r>
        <w:t>: 7168 (`hidden_size`)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V#</m:t>
            </m:r>
          </m:e>
        </m:box>
      </m:oMath>
      <w:r>
        <w:rPr>
          <w:b/>
        </w:rPr>
        <w:t>(Vocab Size)</w:t>
      </w:r>
      <w:r>
        <w:t>: 129,280 (`vocab_size`)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dense</m:t>
                    </m:r>
                  </m:e>
                </m:box>
              </m:sub>
            </m:sSub>
          </m:e>
        </m:box>
      </m:oMath>
      <w:r>
        <w:rPr>
          <w:b/>
        </w:rPr>
        <w:t>(Dense FFN Size)</w:t>
      </w:r>
      <w:r>
        <w:t>: 18,432 (`intermediate_size`)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moe</m:t>
                    </m:r>
                  </m:e>
                </m:box>
              </m:sub>
            </m:sSub>
          </m:e>
        </m:box>
      </m:oMath>
      <w:r>
        <w:rPr>
          <w:b/>
        </w:rPr>
        <w:t>(MoE Expert Size)</w:t>
      </w:r>
      <w:r>
        <w:t>: 2,048 (`moe_intermediate_size`)</w:t>
      </w:r>
    </w:p>
    <w:p w:rsidR="004E1A74" w:rsidRDefault="004E1A74">
      <w:pPr>
        <w:pStyle w:val="1"/>
      </w:pPr>
      <w:r>
        <w:t>MLA (Attention) 参数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box>
      </m:oMath>
      <w:r>
        <w:rPr>
          <w:b/>
        </w:rPr>
        <w:t>(Q LoRA Rank)</w:t>
      </w:r>
      <w:r>
        <w:t>: 1,536 (`q_lora_rank`)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b>
            </m:sSub>
          </m:e>
        </m:box>
      </m:oMath>
      <w:r>
        <w:rPr>
          <w:b/>
        </w:rPr>
        <w:t>(KV LoRA Rank)</w:t>
      </w:r>
      <w:r>
        <w:t>: 512 (`kv_lora_rank`)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rope</m:t>
                    </m:r>
                  </m:e>
                </m:box>
              </m:sub>
            </m:sSub>
          </m:e>
        </m:box>
      </m:oMath>
      <w:r>
        <w:rPr>
          <w:b/>
        </w:rPr>
        <w:t>(RoPE Dim)</w:t>
      </w:r>
      <w:r>
        <w:t>: 64 (`qk_rope_head_dim`)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nope</m:t>
                    </m:r>
                  </m:e>
                </m:box>
              </m:sub>
            </m:sSub>
          </m:e>
        </m:box>
      </m:oMath>
      <w:r>
        <w:rPr>
          <w:b/>
        </w:rPr>
        <w:t>(NoRoPE Dim)</w:t>
      </w:r>
      <w:r>
        <w:t>: 128 (`qk_nope_head_dim`)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rPr>
          <w:b/>
        </w:rPr>
        <w:t>(Value Dim)</w:t>
      </w:r>
      <w:r>
        <w:t>: 128 (`v_head_dim`)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heads</m:t>
                    </m:r>
                  </m:e>
                </m:box>
              </m:sub>
            </m:sSub>
          </m:e>
        </m:box>
      </m:oMath>
      <w:r>
        <w:t>: 128 (`num_attention_heads`)</w:t>
      </w:r>
    </w:p>
    <w:p w:rsidR="004E1A74" w:rsidRDefault="004E1A74">
      <w:pPr>
        <w:pStyle w:val="1"/>
      </w:pPr>
      <w:r>
        <w:t>MoE 参数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box>
      </m:oMath>
      <w:r>
        <w:rPr>
          <w:b/>
        </w:rPr>
        <w:t>(Routed Experts)</w:t>
      </w:r>
      <w:r>
        <w:t>: 256 (`n_routed_experts`)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box>
      </m:oMath>
      <w:r>
        <w:rPr>
          <w:b/>
        </w:rPr>
        <w:t>(Active Experts per Token)</w:t>
      </w:r>
      <w:r>
        <w:t>: 8 (`num_experts_per_tok`)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box>
      </m:oMath>
      <w:r>
        <w:rPr>
          <w:b/>
        </w:rPr>
        <w:t>(Shared Experts)</w:t>
      </w:r>
      <w:r>
        <w:t>: 1 (`n_shared_experts`)</w:t>
      </w:r>
    </w:p>
    <w:p w:rsidR="004E1A74" w:rsidRDefault="004E1A74">
      <w:pPr>
        <w:pStyle w:val="a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dense</m:t>
                    </m:r>
                  </m:e>
                </m:box>
              </m:sub>
            </m:sSub>
          </m:e>
        </m:box>
      </m:oMath>
      <w:r>
        <w:rPr>
          <w:b/>
        </w:rPr>
        <w:t>(Dense Layers)</w:t>
      </w:r>
      <w:r>
        <w:t>: 3 (`first_k_dense_replace`)</w:t>
      </w:r>
    </w:p>
    <w:p w:rsidR="004E1A74" w:rsidRDefault="004E1A74">
      <w:pPr>
        <w:pStyle w:val="1"/>
      </w:pPr>
      <w:r>
        <w:t>量化与精度</w:t>
      </w:r>
    </w:p>
    <w:p w:rsidR="004E1A74" w:rsidRDefault="004E1A74">
      <w:pPr>
        <w:pStyle w:val="a1"/>
      </w:pPr>
      <w:r>
        <w:rPr>
          <w:b/>
        </w:rPr>
        <w:t>Weight Precision</w:t>
      </w:r>
      <w:r>
        <w:t>: FP8 (1 Byte)</w:t>
      </w:r>
    </w:p>
    <w:p w:rsidR="004E1A74" w:rsidRDefault="004E1A74">
      <w:pPr>
        <w:pStyle w:val="a1"/>
      </w:pPr>
      <w:r>
        <w:rPr>
          <w:b/>
        </w:rPr>
        <w:t>Activation Precision</w:t>
      </w:r>
      <w:r>
        <w:t>: BF16 (2 Bytes)</w:t>
      </w:r>
    </w:p>
    <w:p w:rsidR="004E1A74" w:rsidRDefault="004E1A74" w:rsidP="001A0C91">
      <w:pPr>
        <w:sectPr w:rsidR="004E1A74" w:rsidSect="004E1A74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9C2470" w:rsidRDefault="009C2470"/>
    <w:sectPr w:rsidR="009C24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7972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74"/>
    <w:rsid w:val="00054433"/>
    <w:rsid w:val="004E1A74"/>
    <w:rsid w:val="009C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级别章"/>
    <w:basedOn w:val="a2"/>
    <w:qFormat/>
    <w:rsid w:val="004E1A74"/>
    <w:pPr>
      <w:numPr>
        <w:numId w:val="1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2"/>
    <w:qFormat/>
    <w:rsid w:val="004E1A74"/>
    <w:pPr>
      <w:numPr>
        <w:ilvl w:val="1"/>
        <w:numId w:val="1"/>
      </w:numPr>
      <w:autoSpaceDE w:val="0"/>
      <w:autoSpaceDN w:val="0"/>
      <w:spacing w:after="0" w:line="312" w:lineRule="auto"/>
      <w:jc w:val="both"/>
      <w:outlineLvl w:val="1"/>
    </w:pPr>
    <w:rPr>
      <w:rFonts w:ascii="宋体" w:eastAsia="宋体" w:hAnsi="宋体" w:cs="Arial"/>
      <w:b/>
      <w:bCs/>
      <w:sz w:val="24"/>
      <w14:ligatures w14:val="none"/>
    </w:rPr>
  </w:style>
  <w:style w:type="paragraph" w:customStyle="1" w:styleId="1">
    <w:name w:val="级别1"/>
    <w:basedOn w:val="a2"/>
    <w:link w:val="10"/>
    <w:qFormat/>
    <w:rsid w:val="004E1A74"/>
    <w:pPr>
      <w:numPr>
        <w:ilvl w:val="2"/>
        <w:numId w:val="1"/>
      </w:numPr>
      <w:autoSpaceDE w:val="0"/>
      <w:autoSpaceDN w:val="0"/>
      <w:spacing w:after="0" w:line="312" w:lineRule="auto"/>
      <w:ind w:left="867" w:hanging="442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a1">
    <w:name w:val="级别a"/>
    <w:basedOn w:val="a2"/>
    <w:qFormat/>
    <w:rsid w:val="004E1A74"/>
    <w:pPr>
      <w:numPr>
        <w:ilvl w:val="3"/>
        <w:numId w:val="1"/>
      </w:num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table" w:customStyle="1" w:styleId="2">
    <w:name w:val="默认表格2"/>
    <w:basedOn w:val="a6"/>
    <w:uiPriority w:val="99"/>
    <w:qFormat/>
    <w:rsid w:val="004E1A74"/>
    <w:pPr>
      <w:jc w:val="both"/>
    </w:pPr>
    <w:rPr>
      <w:kern w:val="0"/>
      <w:sz w:val="20"/>
      <w:szCs w:val="20"/>
      <w14:ligatures w14:val="none"/>
    </w:r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character" w:customStyle="1" w:styleId="10">
    <w:name w:val="级别1 字符"/>
    <w:basedOn w:val="a3"/>
    <w:link w:val="1"/>
    <w:qFormat/>
    <w:rsid w:val="004E1A74"/>
    <w:rPr>
      <w:rFonts w:ascii="宋体" w:eastAsia="宋体" w:hAnsi="宋体" w:cs="Arial"/>
      <w:bCs/>
      <w:sz w:val="24"/>
      <w14:ligatures w14:val="none"/>
    </w:rPr>
  </w:style>
  <w:style w:type="table" w:styleId="a6">
    <w:name w:val="Table Grid"/>
    <w:basedOn w:val="a4"/>
    <w:uiPriority w:val="39"/>
    <w:rsid w:val="004E1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