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7BD9B9F0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Date:_____</w:t>
      </w:r>
      <w:r w:rsidR="004637E2" w:rsidRPr="004637E2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4637E2">
        <w:rPr>
          <w:rFonts w:asciiTheme="majorHAnsi" w:hAnsiTheme="majorHAnsi" w:cstheme="majorHAnsi"/>
          <w:b/>
          <w:sz w:val="22"/>
          <w:szCs w:val="22"/>
        </w:rPr>
        <w:t>2022/08/24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________________________________________________________________________</w:t>
      </w:r>
    </w:p>
    <w:p w14:paraId="420DB650" w14:textId="64B538A9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Your Name:_________</w:t>
      </w:r>
      <w:r w:rsidR="001856C5" w:rsidRPr="001856C5">
        <w:t xml:space="preserve"> </w:t>
      </w:r>
      <w:r w:rsidR="00F22AB0" w:rsidRPr="00F22AB0">
        <w:rPr>
          <w:rFonts w:asciiTheme="majorHAnsi" w:hAnsiTheme="majorHAnsi" w:cstheme="majorHAnsi"/>
          <w:b/>
          <w:sz w:val="22"/>
          <w:szCs w:val="22"/>
        </w:rPr>
        <w:t>Xinrui Zeng</w:t>
      </w:r>
      <w:r w:rsidR="001856C5" w:rsidRPr="001856C5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</w:t>
      </w:r>
    </w:p>
    <w:p w14:paraId="16C4A7E3" w14:textId="2CEC6443" w:rsidR="00A0085E" w:rsidRPr="008F25A9" w:rsidRDefault="00A0085E" w:rsidP="005A6F06">
      <w:pPr>
        <w:ind w:left="-900" w:right="-149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</w:t>
      </w:r>
      <w:r w:rsidRPr="005A6F06">
        <w:rPr>
          <w:rFonts w:asciiTheme="majorHAnsi" w:hAnsiTheme="majorHAnsi" w:cstheme="majorHAnsi"/>
          <w:b/>
          <w:sz w:val="22"/>
          <w:szCs w:val="22"/>
          <w:u w:val="single"/>
        </w:rPr>
        <w:t>:</w:t>
      </w:r>
      <w:r w:rsidR="005A6F06" w:rsidRPr="005A6F06">
        <w:rPr>
          <w:u w:val="single"/>
        </w:rPr>
        <w:t xml:space="preserve"> </w:t>
      </w:r>
      <w:r w:rsidR="006C2798" w:rsidRPr="006C2798">
        <w:rPr>
          <w:rFonts w:asciiTheme="majorHAnsi" w:hAnsiTheme="majorHAnsi" w:cstheme="majorHAnsi"/>
          <w:b/>
          <w:sz w:val="22"/>
          <w:szCs w:val="22"/>
          <w:u w:val="single"/>
        </w:rPr>
        <w:t>Predictors and Dynamic Online Nomogram for Postoperative Delayed Hyponatremia after Endoscopic Transsphenoidal Surgery for Pituitary Adenomas: A Single-center, Retrospective, Observational Cohort Study with External Validation</w:t>
      </w:r>
      <w:r w:rsidRPr="008F25A9">
        <w:rPr>
          <w:rFonts w:asciiTheme="majorHAnsi" w:hAnsiTheme="majorHAnsi" w:cstheme="majorHAnsi"/>
          <w:b/>
          <w:sz w:val="22"/>
          <w:szCs w:val="22"/>
        </w:rPr>
        <w:t>_</w:t>
      </w:r>
    </w:p>
    <w:p w14:paraId="49D94839" w14:textId="5A9076AA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known):__________________________________________________________________</w:t>
      </w:r>
    </w:p>
    <w:p w14:paraId="6A6B6475" w14:textId="07B8BF01" w:rsidR="00A0085E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55844D06" w14:textId="77777777" w:rsidR="008F25A9" w:rsidRPr="008F25A9" w:rsidRDefault="008F25A9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0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1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1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0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a3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8B063E5" w14:textId="1ED240C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0AE93BA9" w14:textId="4B6FD85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2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CA15BFD" w14:textId="21977BA9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2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8FCE045" w14:textId="32B5E65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lastRenderedPageBreak/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or honoraria for lectures, presentations, speakers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664AA0D" w14:textId="329105F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B1A4541" w14:textId="51C5F9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56E6589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1F4D6D59" w14:textId="314FBAC8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441C131E" w14:textId="7E2D732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22134E53" w14:textId="182DCCF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FB7725C" w14:textId="7632A366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0BB6EC08" w14:textId="1705E1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530A5E96" w14:textId="22282A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37367235" w:rsidR="008D018A" w:rsidRDefault="008F25A9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4568B7" w:rsidRPr="004568B7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4568B7" w:rsidRPr="008D018A">
        <w:rPr>
          <w:rFonts w:asciiTheme="majorHAnsi" w:hAnsiTheme="majorHAnsi" w:cstheme="majorHAnsi"/>
          <w:b/>
          <w:sz w:val="22"/>
          <w:szCs w:val="22"/>
        </w:rPr>
        <w:t xml:space="preserve">X </w:t>
      </w:r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8D018A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Pr="008D018A">
        <w:rPr>
          <w:rFonts w:asciiTheme="majorHAnsi" w:hAnsiTheme="majorHAnsi" w:cstheme="majorHAnsi"/>
          <w:b/>
          <w:sz w:val="22"/>
          <w:szCs w:val="22"/>
        </w:rPr>
        <w:t xml:space="preserve">I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AAD48" w14:textId="77777777" w:rsidR="005D48CE" w:rsidRDefault="005D48CE" w:rsidP="004637E2">
      <w:r>
        <w:separator/>
      </w:r>
    </w:p>
  </w:endnote>
  <w:endnote w:type="continuationSeparator" w:id="0">
    <w:p w14:paraId="3F329D1A" w14:textId="77777777" w:rsidR="005D48CE" w:rsidRDefault="005D48CE" w:rsidP="00463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F8192" w14:textId="77777777" w:rsidR="005D48CE" w:rsidRDefault="005D48CE" w:rsidP="004637E2">
      <w:r>
        <w:separator/>
      </w:r>
    </w:p>
  </w:footnote>
  <w:footnote w:type="continuationSeparator" w:id="0">
    <w:p w14:paraId="0DBA4457" w14:textId="77777777" w:rsidR="005D48CE" w:rsidRDefault="005D48CE" w:rsidP="004637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4CB"/>
    <w:rsid w:val="000401F2"/>
    <w:rsid w:val="00042020"/>
    <w:rsid w:val="00057048"/>
    <w:rsid w:val="00074F5D"/>
    <w:rsid w:val="000E1D8D"/>
    <w:rsid w:val="000E4D5E"/>
    <w:rsid w:val="000F2555"/>
    <w:rsid w:val="000F29B1"/>
    <w:rsid w:val="0010143B"/>
    <w:rsid w:val="00140AA9"/>
    <w:rsid w:val="0016153E"/>
    <w:rsid w:val="001856C5"/>
    <w:rsid w:val="0018571A"/>
    <w:rsid w:val="001B31F7"/>
    <w:rsid w:val="001B7B1F"/>
    <w:rsid w:val="001C6335"/>
    <w:rsid w:val="00201057"/>
    <w:rsid w:val="00205A26"/>
    <w:rsid w:val="00207B5F"/>
    <w:rsid w:val="0021427E"/>
    <w:rsid w:val="0022576E"/>
    <w:rsid w:val="00246C31"/>
    <w:rsid w:val="002A5AC7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6997"/>
    <w:rsid w:val="0043775E"/>
    <w:rsid w:val="00446B0C"/>
    <w:rsid w:val="004568B7"/>
    <w:rsid w:val="004637E2"/>
    <w:rsid w:val="004978BC"/>
    <w:rsid w:val="004B25E6"/>
    <w:rsid w:val="004B5F2D"/>
    <w:rsid w:val="004D7A26"/>
    <w:rsid w:val="00502025"/>
    <w:rsid w:val="00523F2F"/>
    <w:rsid w:val="00547D21"/>
    <w:rsid w:val="00550BF9"/>
    <w:rsid w:val="005622AF"/>
    <w:rsid w:val="00566723"/>
    <w:rsid w:val="005748CB"/>
    <w:rsid w:val="00597D1B"/>
    <w:rsid w:val="005A184D"/>
    <w:rsid w:val="005A2F07"/>
    <w:rsid w:val="005A6F06"/>
    <w:rsid w:val="005B1FBD"/>
    <w:rsid w:val="005D48CE"/>
    <w:rsid w:val="005D6EBA"/>
    <w:rsid w:val="005E1240"/>
    <w:rsid w:val="005F4EFA"/>
    <w:rsid w:val="006029EC"/>
    <w:rsid w:val="0060338B"/>
    <w:rsid w:val="006047DE"/>
    <w:rsid w:val="00617424"/>
    <w:rsid w:val="00635607"/>
    <w:rsid w:val="0065108D"/>
    <w:rsid w:val="00667C31"/>
    <w:rsid w:val="00675073"/>
    <w:rsid w:val="00694780"/>
    <w:rsid w:val="006C2798"/>
    <w:rsid w:val="006D75BE"/>
    <w:rsid w:val="006E24DE"/>
    <w:rsid w:val="006E292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30AD"/>
    <w:rsid w:val="00810B36"/>
    <w:rsid w:val="008131E4"/>
    <w:rsid w:val="00820C15"/>
    <w:rsid w:val="0083395A"/>
    <w:rsid w:val="00840428"/>
    <w:rsid w:val="00855201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166E1"/>
    <w:rsid w:val="009704B2"/>
    <w:rsid w:val="009756CA"/>
    <w:rsid w:val="009912C4"/>
    <w:rsid w:val="009A5EE1"/>
    <w:rsid w:val="009B5A4A"/>
    <w:rsid w:val="009E5372"/>
    <w:rsid w:val="00A0085E"/>
    <w:rsid w:val="00A16953"/>
    <w:rsid w:val="00A2091D"/>
    <w:rsid w:val="00A30ACB"/>
    <w:rsid w:val="00A32C40"/>
    <w:rsid w:val="00A435E2"/>
    <w:rsid w:val="00A65B53"/>
    <w:rsid w:val="00A814CB"/>
    <w:rsid w:val="00A86E83"/>
    <w:rsid w:val="00AA01AC"/>
    <w:rsid w:val="00AA2445"/>
    <w:rsid w:val="00AC5D5A"/>
    <w:rsid w:val="00AE1A26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70208"/>
    <w:rsid w:val="00B709DD"/>
    <w:rsid w:val="00B901C9"/>
    <w:rsid w:val="00B92738"/>
    <w:rsid w:val="00BA2D28"/>
    <w:rsid w:val="00BB1447"/>
    <w:rsid w:val="00BB7469"/>
    <w:rsid w:val="00BD27A7"/>
    <w:rsid w:val="00BE17D6"/>
    <w:rsid w:val="00BF5E95"/>
    <w:rsid w:val="00C100C4"/>
    <w:rsid w:val="00C268AF"/>
    <w:rsid w:val="00C33AB6"/>
    <w:rsid w:val="00C622DE"/>
    <w:rsid w:val="00C66867"/>
    <w:rsid w:val="00C83DEF"/>
    <w:rsid w:val="00CA4610"/>
    <w:rsid w:val="00CA5AC5"/>
    <w:rsid w:val="00CB0B0E"/>
    <w:rsid w:val="00CD174D"/>
    <w:rsid w:val="00CE5789"/>
    <w:rsid w:val="00D04D93"/>
    <w:rsid w:val="00D11743"/>
    <w:rsid w:val="00D34B0F"/>
    <w:rsid w:val="00D547CC"/>
    <w:rsid w:val="00D951B0"/>
    <w:rsid w:val="00DC05D9"/>
    <w:rsid w:val="00DD0EF1"/>
    <w:rsid w:val="00DE70DE"/>
    <w:rsid w:val="00DE7F3F"/>
    <w:rsid w:val="00E07A1D"/>
    <w:rsid w:val="00E26BD9"/>
    <w:rsid w:val="00E457EC"/>
    <w:rsid w:val="00E56039"/>
    <w:rsid w:val="00E912EE"/>
    <w:rsid w:val="00E9458D"/>
    <w:rsid w:val="00EC6B20"/>
    <w:rsid w:val="00EC77DC"/>
    <w:rsid w:val="00EE269E"/>
    <w:rsid w:val="00F0031C"/>
    <w:rsid w:val="00F22AB0"/>
    <w:rsid w:val="00F436FB"/>
    <w:rsid w:val="00F6116F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2F0B7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0B7F"/>
  </w:style>
  <w:style w:type="character" w:customStyle="1" w:styleId="a8">
    <w:name w:val="批注文字 字符"/>
    <w:basedOn w:val="a0"/>
    <w:link w:val="a7"/>
    <w:uiPriority w:val="99"/>
    <w:semiHidden/>
    <w:rsid w:val="002F0B7F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aa">
    <w:name w:val="批注主题 字符"/>
    <w:basedOn w:val="a8"/>
    <w:link w:val="a9"/>
    <w:uiPriority w:val="99"/>
    <w:semiHidden/>
    <w:rsid w:val="002F0B7F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2F0B7F"/>
  </w:style>
  <w:style w:type="paragraph" w:styleId="ac">
    <w:name w:val="header"/>
    <w:basedOn w:val="a"/>
    <w:link w:val="ad"/>
    <w:uiPriority w:val="99"/>
    <w:unhideWhenUsed/>
    <w:rsid w:val="00463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4637E2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637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4637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B09989-2BA9-4557-B4E7-0A63534CA1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00B2D2-B784-4877-B824-FEC9D2837E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Cai Xiangming</cp:lastModifiedBy>
  <cp:revision>16</cp:revision>
  <cp:lastPrinted>2019-11-15T18:47:00Z</cp:lastPrinted>
  <dcterms:created xsi:type="dcterms:W3CDTF">2020-12-18T16:01:00Z</dcterms:created>
  <dcterms:modified xsi:type="dcterms:W3CDTF">2022-08-24T09:05:00Z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  <property fmtid="{D5CDD505-2E9C-101B-9397-08002B2CF9AE}" pid="3" name="MSIP_Label_549ac42a-3eb4-4074-b885-aea26bd6241e_Enabled">
    <vt:lpwstr>true</vt:lpwstr>
  </property>
  <property fmtid="{D5CDD505-2E9C-101B-9397-08002B2CF9AE}" pid="4" name="MSIP_Label_549ac42a-3eb4-4074-b885-aea26bd6241e_SetDate">
    <vt:lpwstr>2021-03-19T15:10:16Z</vt:lpwstr>
  </property>
  <property fmtid="{D5CDD505-2E9C-101B-9397-08002B2CF9AE}" pid="5" name="MSIP_Label_549ac42a-3eb4-4074-b885-aea26bd6241e_Method">
    <vt:lpwstr>Standard</vt:lpwstr>
  </property>
  <property fmtid="{D5CDD505-2E9C-101B-9397-08002B2CF9AE}" pid="6" name="MSIP_Label_549ac42a-3eb4-4074-b885-aea26bd6241e_Name">
    <vt:lpwstr>General Business</vt:lpwstr>
  </property>
  <property fmtid="{D5CDD505-2E9C-101B-9397-08002B2CF9AE}" pid="7" name="MSIP_Label_549ac42a-3eb4-4074-b885-aea26bd6241e_SiteId">
    <vt:lpwstr>9274ee3f-9425-4109-a27f-9fb15c10675d</vt:lpwstr>
  </property>
  <property fmtid="{D5CDD505-2E9C-101B-9397-08002B2CF9AE}" pid="8" name="MSIP_Label_549ac42a-3eb4-4074-b885-aea26bd6241e_ActionId">
    <vt:lpwstr>c85ba93a-90dd-4f35-a1be-e1034126cc7c</vt:lpwstr>
  </property>
  <property fmtid="{D5CDD505-2E9C-101B-9397-08002B2CF9AE}" pid="9" name="MSIP_Label_549ac42a-3eb4-4074-b885-aea26bd6241e_ContentBits">
    <vt:lpwstr>0</vt:lpwstr>
  </property>
</Properties>
</file>