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AAC"/>
          <w:sz w:val="32"/>
          <w:szCs w:val="32"/>
        </w:rPr>
        <w:t xml:space="preserve">Product Scout: Fusing Open Trade Statistics and Social Sentiment</w:t>
      </w:r>
    </w:p>
    <w:p>
      <w:pPr>
        <w:spacing w:after="120"/>
      </w:pPr>
      <w:r>
        <w:rPr>
          <w:b/>
          <w:bCs/>
          <w:color w:val="444444"/>
          <w:sz w:val="24"/>
          <w:szCs w:val="24"/>
        </w:rPr>
        <w:t xml:space="preserve">A Dual-Signal Business-Intelligence Platform for Cosmetics E-Commerce (HS 3304)</w:t>
      </w:r>
    </w:p>
    <w:p>
      <w:pPr>
        <w:tabs>
          <w:tab w:val="right" w:pos="9026"/>
        </w:tabs>
        <w:spacing w:after="40"/>
      </w:pPr>
      <w:r>
        <w:rPr>
          <w:i/>
          <w:iCs/>
        </w:rPr>
        <w:t xml:space="preserve">Technical Project Report</w:t>
      </w:r>
      <w:r>
        <w:rPr>
          <w:i/>
          <w:iCs/>
        </w:rPr>
        <w:t xml:space="preserve">	May 2026</w:t>
      </w:r>
    </w:p>
    <w:p>
      <w:pPr>
        <w:pBdr>
          <w:bottom w:val="single" w:color="2E5AAC" w:sz="6" w:space="4"/>
        </w:pBdr>
        <w:spacing w:after="160"/>
      </w:pPr>
      <w:r>
        <w:rPr>
          <w:sz w:val="2"/>
          <w:szCs w:val="2"/>
        </w:rPr>
        <w:t xml:space="preserve"/>
      </w:r>
    </w:p>
    <w:p>
      <w:pPr>
        <w:spacing w:after="60"/>
      </w:pPr>
      <w:r>
        <w:rPr>
          <w:b/>
          <w:bCs/>
        </w:rPr>
        <w:t xml:space="preserve">Abstract</w:t>
      </w:r>
    </w:p>
    <w:p>
      <w:pPr>
        <w:spacing w:after="100" w:line="276" w:lineRule="auto"/>
        <w:jc w:val="both"/>
      </w:pPr>
      <w:r>
        <w:t xml:space="preserve">This report presents Product Scout, a proof-of-concept business-intelligence platform that combines two independent signals for cosmetics e-commerce decision-making: authoritative international trade statistics and consumer sentiment mined from social media. The trade module ingests United Nations (UN) Comtrade customs data for Harmonized System (HS) code 3304 — beauty and make-up preparations — across 2018–2024 and tests three hypotheses concerning supplier concentration, the eastward migration of supply, and structural demand–supply gaps. We find that cosmetics exports are highly concentrated (the five largest exporters account for roughly half of the USD 72.7 billion world export market), that South Korea is the fastest-growing major exporter at 9.7% compound annual growth, and that the largest consumer markets are substantial net importers, with China alone recording USD 9.0 billion in net imports. A complementary social module applies rule-based sentiment analysis to 1,463 Reddit posts and 11,791 comments, and a fusion layer links the two datasets through brand country-of-origin to produce actionable source-to-sell recommendations. We additionally document a methodological correction to the sentiment pipeline that materially improved score validity. The platform demonstrates that pairing open trade data with social listening yields decision-useful intelligence unavailable from either source alone.</w:t>
      </w:r>
    </w:p>
    <w:p>
      <w:pPr>
        <w:spacing w:after="200"/>
      </w:pPr>
      <w:r>
        <w:rPr>
          <w:b/>
          <w:bCs/>
        </w:rPr>
        <w:t xml:space="preserve">Keywords: </w:t>
      </w:r>
      <w:r>
        <w:t xml:space="preserve">international trade; cosmetics; HS 3304; UN Comtrade; sentiment analysis; VADER; business intelligence; e-commerce.</w:t>
      </w:r>
    </w:p>
    <w:p>
      <w:pPr>
        <w:pStyle w:val="Heading1"/>
      </w:pPr>
      <w:r>
        <w:t xml:space="preserve">1. Introduction</w:t>
      </w:r>
    </w:p>
    <w:p>
      <w:pPr>
        <w:spacing w:after="120" w:line="276" w:lineRule="auto"/>
        <w:jc w:val="both"/>
      </w:pPr>
      <w:r>
        <w:t xml:space="preserve">The global cosmetics sector is large, fast-moving, and increasingly mediated by cross-border e-commerce. Operators and brands face two recurring questions: where should products be sourced and sold, and what do consumers actually want? These questions are usually answered with two disjoint classes of evidence. Trade-intelligence vendors resell government customs records — often behind paywalls — to reveal supply and demand by country, while social-listening tools surface consumer preference and sentiment. Each answers only half of the problem.</w:t>
      </w:r>
    </w:p>
    <w:p>
      <w:pPr>
        <w:spacing w:after="120" w:line="276" w:lineRule="auto"/>
        <w:jc w:val="both"/>
      </w:pPr>
      <w:r>
        <w:t xml:space="preserve">Product Scout was built to integrate both. A deliberate design constraint shaped the trade module: rather than scraping a paywalled commercial aggregator, whose terms of use prohibit redistribution and whose contents are copyrighted, we sourced the same underlying records directly from the authoritative open provider, the UN Comtrade database. This choice is both legally sound and methodologically superior, because it yields a transparent, reproducible pipeline. The project pursued three objectives: (i) build a reproducible trade-analytics pipeline for HS 3304; (ii) mine social media for product demand and sentiment; and (iii) fuse the two into opportunity recommendations. This report devotes its primary focus to the trade segment (Section 2), then summarises the social module (Section 3), the fusion layer (Section 4), and an AI analyst agent (Section 5), before discussing limitations and future work (Section 6).</w:t>
      </w:r>
    </w:p>
    <w:p>
      <w:pPr>
        <w:pStyle w:val="Heading1"/>
      </w:pPr>
      <w:r>
        <w:t xml:space="preserve">2. Trade Data Segment</w:t>
      </w:r>
    </w:p>
    <w:p>
      <w:pPr>
        <w:spacing w:after="120" w:line="276" w:lineRule="auto"/>
        <w:jc w:val="both"/>
      </w:pPr>
      <w:r>
        <w:t xml:space="preserve">The trade module is the analytical core of Product Scout. It treats HS 3304 — “beauty or make-up preparations and preparations for the care of the skin” — as the unit of analysis and characterises the global structure of cosmetics trade between 2018 and 2024.</w:t>
      </w:r>
    </w:p>
    <w:p>
      <w:pPr>
        <w:pStyle w:val="Heading2"/>
      </w:pPr>
      <w:r>
        <w:t xml:space="preserve">2.1 Hypotheses</w:t>
      </w:r>
    </w:p>
    <w:p>
      <w:pPr>
        <w:spacing w:after="120" w:line="276" w:lineRule="auto"/>
        <w:jc w:val="both"/>
      </w:pPr>
      <w:r>
        <w:t xml:space="preserve">Three testable hypotheses framed the analysis:</w:t>
      </w:r>
    </w:p>
    <w:p>
      <w:pPr>
        <w:pStyle w:val="ListParagraph"/>
        <w:numPr>
          <w:ilvl w:val="0"/>
          <w:numId w:val="2"/>
        </w:numPr>
        <w:spacing w:after="80" w:line="276" w:lineRule="auto"/>
        <w:jc w:val="both"/>
      </w:pPr>
      <w:r>
        <w:rPr>
          <w:b/>
          <w:bCs/>
        </w:rPr>
        <w:t xml:space="preserve">H1 (Concentration).</w:t>
      </w:r>
      <w:r>
        <w:t xml:space="preserve"> Global cosmetics exports are concentrated among a small set of advanced economies rather than being broadly distributed.</w:t>
      </w:r>
    </w:p>
    <w:p>
      <w:pPr>
        <w:pStyle w:val="ListParagraph"/>
        <w:numPr>
          <w:ilvl w:val="0"/>
          <w:numId w:val="2"/>
        </w:numPr>
        <w:spacing w:after="80" w:line="276" w:lineRule="auto"/>
        <w:jc w:val="both"/>
      </w:pPr>
      <w:r>
        <w:rPr>
          <w:b/>
          <w:bCs/>
        </w:rPr>
        <w:t xml:space="preserve">H2 (Eastward shift).</w:t>
      </w:r>
      <w:r>
        <w:t xml:space="preserve"> East Asian suppliers — South Korea in particular — are growing materially faster than incumbent European leaders, indicating a structural migration of supply.</w:t>
      </w:r>
    </w:p>
    <w:p>
      <w:pPr>
        <w:pStyle w:val="ListParagraph"/>
        <w:numPr>
          <w:ilvl w:val="0"/>
          <w:numId w:val="2"/>
        </w:numPr>
        <w:spacing w:after="80" w:line="276" w:lineRule="auto"/>
        <w:jc w:val="both"/>
      </w:pPr>
      <w:r>
        <w:rPr>
          <w:b/>
          <w:bCs/>
        </w:rPr>
        <w:t xml:space="preserve">H3 (Demand–supply gap).</w:t>
      </w:r>
      <w:r>
        <w:t xml:space="preserve"> The largest consumer markets are net importers, revealing addressable demand that domestic production does not meet — a direct signal for where to sell.</w:t>
      </w:r>
    </w:p>
    <w:p>
      <w:pPr>
        <w:pStyle w:val="Heading2"/>
      </w:pPr>
      <w:r>
        <w:t xml:space="preserve">2.2 Data and Implementation</w:t>
      </w:r>
    </w:p>
    <w:p>
      <w:pPr>
        <w:spacing w:after="120" w:line="276" w:lineRule="auto"/>
        <w:jc w:val="both"/>
      </w:pPr>
      <w:r>
        <w:t xml:space="preserve">Data were obtained from the UN Comtrade public API for commodity code 3304, annual frequency, for reporting years 2018–2024. Two complementary extractions were performed. First, country totals were retrieved for both trade flows — exports (flow code X) and imports (flow code M) — against the aggregate partner “World,” yielding one authoritative value per country, flow, and year. Second, bilateral flows (reporter to specific partner) were retrieved for the 23 largest cosmetics exporters to support corridor- and matrix-level analysis.</w:t>
      </w:r>
    </w:p>
    <w:p>
      <w:pPr>
        <w:spacing w:after="120" w:line="276" w:lineRule="auto"/>
        <w:jc w:val="both"/>
      </w:pPr>
      <w:r>
        <w:t xml:space="preserve">The free preview endpoint imposes a 500-row limit per request. Because a single large exporter ships to roughly 200 destinations, naïve queries truncated the data. We circumvented this by paging the bilateral extraction one exporter-year at a time, guaranteeing complete partner coverage within the cap. Numeric area codes were mapped to ISO-3166 alpha-3 and numeric identifiers using the Comtrade reference tables and the pycountry library, enabling a clean join to geographic boundaries; each country was additionally assigned an analytical region. All processing was implemented in Python with pandas. Derived metrics included per-country totals, year-over-year change, compound annual growth rate (CAGR), global share, trade balance (exports minus imports), bilateral corridors, and regional CAGR. A presentation layer rendered a D3/TopoJSON choropleth with flow arcs, Chart.js time series, and a bilateral heat-matrix. The entire pipeline is scripted and reproducible from the open source, with no dependence on paywalled or scraped data.</w:t>
      </w:r>
    </w:p>
    <w:p>
      <w:pPr>
        <w:pStyle w:val="Heading2"/>
      </w:pPr>
      <w:r>
        <w:t xml:space="preserve">2.3 Findings</w:t>
      </w:r>
    </w:p>
    <w:p>
      <w:pPr>
        <w:spacing w:after="120" w:line="276" w:lineRule="auto"/>
        <w:jc w:val="both"/>
      </w:pPr>
      <w:r>
        <w:t xml:space="preserve">In 2024 the HS 3304 market totalled approximately </w:t>
      </w:r>
      <w:r>
        <w:rPr>
          <w:b/>
          <w:bCs/>
        </w:rPr>
        <w:t xml:space="preserve">USD 72.7 billion</w:t>
      </w:r>
      <w:r>
        <w:t xml:space="preserve"> in reported exports and </w:t>
      </w:r>
      <w:r>
        <w:rPr>
          <w:b/>
          <w:bCs/>
        </w:rPr>
        <w:t xml:space="preserve">USD 70.8 billion</w:t>
      </w:r>
      <w:r>
        <w:t xml:space="preserve"> in imports, having grown at a </w:t>
      </w:r>
      <w:r>
        <w:rPr>
          <w:b/>
          <w:bCs/>
        </w:rPr>
        <w:t xml:space="preserve">3.5% CAGR</w:t>
      </w:r>
      <w:r>
        <w:t xml:space="preserve"> since 2018, with a slight 1.5% year-over-year contraction in the latest year. The three hypotheses were assessed as follows.</w:t>
      </w:r>
    </w:p>
    <w:p>
      <w:pPr>
        <w:spacing w:after="120" w:line="276" w:lineRule="auto"/>
        <w:jc w:val="both"/>
      </w:pPr>
      <w:r>
        <w:rPr>
          <w:b/>
          <w:bCs/>
        </w:rPr>
        <w:t xml:space="preserve">Concentration (H1).</w:t>
      </w:r>
      <w:r>
        <w:t xml:space="preserve"> Exports are highly concentrated: the five largest exporters supply roughly </w:t>
      </w:r>
      <w:r>
        <w:rPr>
          <w:b/>
          <w:bCs/>
        </w:rPr>
        <w:t xml:space="preserve">50% of world exports</w:t>
      </w:r>
      <w:r>
        <w:t xml:space="preserve"> (Table 1). France leads by value at USD 12.2 billion, followed by South Korea, the United States, Singapore, and Germany. This confirms a supplier landscape dominated by a handful of advanced economies and specialised entrepôts (notably Singapore).</w:t>
      </w:r>
    </w:p>
    <w:p>
      <w:pPr>
        <w:spacing w:after="60" w:before="40"/>
      </w:pPr>
      <w:r>
        <w:rPr>
          <w:i/>
          <w:iCs/>
          <w:sz w:val="19"/>
          <w:szCs w:val="19"/>
        </w:rPr>
        <w:t xml:space="preserve">Table 1. Top five cosmetics (HS 3304) exporters and importers, 2024 (USD billions).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2640"/>
        <w:gridCol w:w="1500"/>
        <w:gridCol w:w="2640"/>
        <w:gridCol w:w="1760"/>
      </w:tblGrid>
      <w:tr>
        <w:trPr>
          <w:tblHeader/>
        </w:trPr>
        <w:tc>
          <w:tcPr>
            <w:tcW w:type="dxa" w:w="82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lineRule="auto"/>
              <w:jc w:val="left"/>
            </w:pPr>
            <w:r>
              <w:rPr>
                <w:b/>
                <w:bCs/>
              </w:rPr>
              <w:t xml:space="preserve">Rank</w:t>
            </w:r>
          </w:p>
        </w:tc>
        <w:tc>
          <w:tcPr>
            <w:tcW w:type="dxa" w:w="264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lineRule="auto"/>
              <w:jc w:val="left"/>
            </w:pPr>
            <w:r>
              <w:rPr>
                <w:b/>
                <w:bCs/>
              </w:rPr>
              <w:t xml:space="preserve">Top exporters</w:t>
            </w:r>
          </w:p>
        </w:tc>
        <w:tc>
          <w:tcPr>
            <w:tcW w:type="dxa" w:w="150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lineRule="auto"/>
              <w:jc w:val="left"/>
            </w:pPr>
            <w:r>
              <w:rPr>
                <w:b/>
                <w:bCs/>
              </w:rPr>
              <w:t xml:space="preserve">Exports</w:t>
            </w:r>
          </w:p>
        </w:tc>
        <w:tc>
          <w:tcPr>
            <w:tcW w:type="dxa" w:w="264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lineRule="auto"/>
              <w:jc w:val="left"/>
            </w:pPr>
            <w:r>
              <w:rPr>
                <w:b/>
                <w:bCs/>
              </w:rPr>
              <w:t xml:space="preserve">Top importers</w:t>
            </w:r>
          </w:p>
        </w:tc>
        <w:tc>
          <w:tcPr>
            <w:tcW w:type="dxa" w:w="176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lineRule="auto"/>
              <w:jc w:val="left"/>
            </w:pPr>
            <w:r>
              <w:rPr>
                <w:b/>
                <w:bCs/>
              </w:rPr>
              <w:t xml:space="preserve">Imports</w:t>
            </w:r>
          </w:p>
        </w:tc>
      </w:tr>
      <w:tr>
        <w:tc>
          <w:tcPr>
            <w:tcW w:type="dxa" w:w="8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center"/>
            </w:pPr>
            <w:r>
              <w:rPr>
                <w:b w:val="false"/>
                <w:bCs w:val="false"/>
              </w:rPr>
              <w:t xml:space="preserve">1</w:t>
            </w:r>
          </w:p>
        </w:tc>
        <w:tc>
          <w:tcPr>
            <w:tcW w:type="dxa" w:w="26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left"/>
            </w:pPr>
            <w:r>
              <w:rPr>
                <w:b w:val="false"/>
                <w:bCs w:val="false"/>
              </w:rPr>
              <w:t xml:space="preserve">France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center"/>
            </w:pPr>
            <w:r>
              <w:rPr>
                <w:b w:val="false"/>
                <w:bCs w:val="false"/>
              </w:rPr>
              <w:t xml:space="preserve">12.2</w:t>
            </w:r>
          </w:p>
        </w:tc>
        <w:tc>
          <w:tcPr>
            <w:tcW w:type="dxa" w:w="26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left"/>
            </w:pPr>
            <w:r>
              <w:rPr>
                <w:b w:val="false"/>
                <w:bCs w:val="false"/>
              </w:rPr>
              <w:t xml:space="preserve">China</w:t>
            </w:r>
          </w:p>
        </w:tc>
        <w:tc>
          <w:tcPr>
            <w:tcW w:type="dxa" w:w="1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center"/>
            </w:pPr>
            <w:r>
              <w:rPr>
                <w:b w:val="false"/>
                <w:bCs w:val="false"/>
              </w:rPr>
              <w:t xml:space="preserve">13.0</w:t>
            </w:r>
          </w:p>
        </w:tc>
      </w:tr>
      <w:tr>
        <w:tc>
          <w:tcPr>
            <w:tcW w:type="dxa" w:w="8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center"/>
            </w:pPr>
            <w:r>
              <w:rPr>
                <w:b w:val="false"/>
                <w:bCs w:val="false"/>
              </w:rPr>
              <w:t xml:space="preserve">2</w:t>
            </w:r>
          </w:p>
        </w:tc>
        <w:tc>
          <w:tcPr>
            <w:tcW w:type="dxa" w:w="26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left"/>
            </w:pPr>
            <w:r>
              <w:rPr>
                <w:b w:val="false"/>
                <w:bCs w:val="false"/>
              </w:rPr>
              <w:t xml:space="preserve">Rep. of Korea</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center"/>
            </w:pPr>
            <w:r>
              <w:rPr>
                <w:b w:val="false"/>
                <w:bCs w:val="false"/>
              </w:rPr>
              <w:t xml:space="preserve">8.6</w:t>
            </w:r>
          </w:p>
        </w:tc>
        <w:tc>
          <w:tcPr>
            <w:tcW w:type="dxa" w:w="26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left"/>
            </w:pPr>
            <w:r>
              <w:rPr>
                <w:b w:val="false"/>
                <w:bCs w:val="false"/>
              </w:rPr>
              <w:t xml:space="preserve">United States</w:t>
            </w:r>
          </w:p>
        </w:tc>
        <w:tc>
          <w:tcPr>
            <w:tcW w:type="dxa" w:w="1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center"/>
            </w:pPr>
            <w:r>
              <w:rPr>
                <w:b w:val="false"/>
                <w:bCs w:val="false"/>
              </w:rPr>
              <w:t xml:space="preserve">7.8</w:t>
            </w:r>
          </w:p>
        </w:tc>
      </w:tr>
      <w:tr>
        <w:tc>
          <w:tcPr>
            <w:tcW w:type="dxa" w:w="8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center"/>
            </w:pPr>
            <w:r>
              <w:rPr>
                <w:b w:val="false"/>
                <w:bCs w:val="false"/>
              </w:rPr>
              <w:t xml:space="preserve">3</w:t>
            </w:r>
          </w:p>
        </w:tc>
        <w:tc>
          <w:tcPr>
            <w:tcW w:type="dxa" w:w="26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left"/>
            </w:pPr>
            <w:r>
              <w:rPr>
                <w:b w:val="false"/>
                <w:bCs w:val="false"/>
              </w:rPr>
              <w:t xml:space="preserve">United States</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center"/>
            </w:pPr>
            <w:r>
              <w:rPr>
                <w:b w:val="false"/>
                <w:bCs w:val="false"/>
              </w:rPr>
              <w:t xml:space="preserve">6.2</w:t>
            </w:r>
          </w:p>
        </w:tc>
        <w:tc>
          <w:tcPr>
            <w:tcW w:type="dxa" w:w="26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left"/>
            </w:pPr>
            <w:r>
              <w:rPr>
                <w:b w:val="false"/>
                <w:bCs w:val="false"/>
              </w:rPr>
              <w:t xml:space="preserve">China, Hong Kong SAR</w:t>
            </w:r>
          </w:p>
        </w:tc>
        <w:tc>
          <w:tcPr>
            <w:tcW w:type="dxa" w:w="1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center"/>
            </w:pPr>
            <w:r>
              <w:rPr>
                <w:b w:val="false"/>
                <w:bCs w:val="false"/>
              </w:rPr>
              <w:t xml:space="preserve">4.0</w:t>
            </w:r>
          </w:p>
        </w:tc>
      </w:tr>
      <w:tr>
        <w:tc>
          <w:tcPr>
            <w:tcW w:type="dxa" w:w="8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center"/>
            </w:pPr>
            <w:r>
              <w:rPr>
                <w:b w:val="false"/>
                <w:bCs w:val="false"/>
              </w:rPr>
              <w:t xml:space="preserve">4</w:t>
            </w:r>
          </w:p>
        </w:tc>
        <w:tc>
          <w:tcPr>
            <w:tcW w:type="dxa" w:w="26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left"/>
            </w:pPr>
            <w:r>
              <w:rPr>
                <w:b w:val="false"/>
                <w:bCs w:val="false"/>
              </w:rPr>
              <w:t xml:space="preserve">Singapore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center"/>
            </w:pPr>
            <w:r>
              <w:rPr>
                <w:b w:val="false"/>
                <w:bCs w:val="false"/>
              </w:rPr>
              <w:t xml:space="preserve">4.9</w:t>
            </w:r>
          </w:p>
        </w:tc>
        <w:tc>
          <w:tcPr>
            <w:tcW w:type="dxa" w:w="26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left"/>
            </w:pPr>
            <w:r>
              <w:rPr>
                <w:b w:val="false"/>
                <w:bCs w:val="false"/>
              </w:rPr>
              <w:t xml:space="preserve">Germany</w:t>
            </w:r>
          </w:p>
        </w:tc>
        <w:tc>
          <w:tcPr>
            <w:tcW w:type="dxa" w:w="1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center"/>
            </w:pPr>
            <w:r>
              <w:rPr>
                <w:b w:val="false"/>
                <w:bCs w:val="false"/>
              </w:rPr>
              <w:t xml:space="preserve">3.1</w:t>
            </w:r>
          </w:p>
        </w:tc>
      </w:tr>
      <w:tr>
        <w:tc>
          <w:tcPr>
            <w:tcW w:type="dxa" w:w="8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center"/>
            </w:pPr>
            <w:r>
              <w:rPr>
                <w:b w:val="false"/>
                <w:bCs w:val="false"/>
              </w:rPr>
              <w:t xml:space="preserve">5</w:t>
            </w:r>
          </w:p>
        </w:tc>
        <w:tc>
          <w:tcPr>
            <w:tcW w:type="dxa" w:w="26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left"/>
            </w:pPr>
            <w:r>
              <w:rPr>
                <w:b w:val="false"/>
                <w:bCs w:val="false"/>
              </w:rPr>
              <w:t xml:space="preserve">Germany</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center"/>
            </w:pPr>
            <w:r>
              <w:rPr>
                <w:b w:val="false"/>
                <w:bCs w:val="false"/>
              </w:rPr>
              <w:t xml:space="preserve">4.7</w:t>
            </w:r>
          </w:p>
        </w:tc>
        <w:tc>
          <w:tcPr>
            <w:tcW w:type="dxa" w:w="26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left"/>
            </w:pPr>
            <w:r>
              <w:rPr>
                <w:b w:val="false"/>
                <w:bCs w:val="false"/>
              </w:rPr>
              <w:t xml:space="preserve">United Kingdom</w:t>
            </w:r>
          </w:p>
        </w:tc>
        <w:tc>
          <w:tcPr>
            <w:tcW w:type="dxa" w:w="1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center"/>
            </w:pPr>
            <w:r>
              <w:rPr>
                <w:b w:val="false"/>
                <w:bCs w:val="false"/>
              </w:rPr>
              <w:t xml:space="preserve">3.1</w:t>
            </w:r>
          </w:p>
        </w:tc>
      </w:tr>
    </w:tbl>
    <w:p>
      <w:pPr>
        <w:spacing w:after="120"/>
      </w:pPr>
      <w:r>
        <w:rPr>
          <w:color w:val="666666"/>
          <w:sz w:val="18"/>
          <w:szCs w:val="18"/>
        </w:rPr>
        <w:t xml:space="preserve">Source: UN Comtrade, authors’ calculations.</w:t>
      </w:r>
    </w:p>
    <w:p>
      <w:pPr>
        <w:spacing w:after="120" w:line="276" w:lineRule="auto"/>
        <w:jc w:val="both"/>
      </w:pPr>
      <w:r>
        <w:rPr>
          <w:b/>
          <w:bCs/>
        </w:rPr>
        <w:t xml:space="preserve">Eastward shift (H2).</w:t>
      </w:r>
      <w:r>
        <w:t xml:space="preserve"> South Korea is the standout growth story. It is the second-largest exporter (USD 8.6 billion) and the fastest-growing major supplier, expanding at a </w:t>
      </w:r>
      <w:r>
        <w:rPr>
          <w:b/>
          <w:bCs/>
        </w:rPr>
        <w:t xml:space="preserve">9.7% CAGR</w:t>
      </w:r>
      <w:r>
        <w:t xml:space="preserve"> — more than double the European leaders — while the East Asia region grew at 5.2% versus 4.6% for Europe. France retains the top position by value, but the trajectory clearly favours East Asia, consistent with the global rise of “K-beauty.” The hypothesis is supported: supply is migrating eastward in growth terms even though Europe still leads in absolute value.</w:t>
      </w:r>
    </w:p>
    <w:p>
      <w:pPr>
        <w:spacing w:after="120" w:line="276" w:lineRule="auto"/>
        <w:jc w:val="both"/>
      </w:pPr>
      <w:r>
        <w:rPr>
          <w:b/>
          <w:bCs/>
        </w:rPr>
        <w:t xml:space="preserve">Demand–supply gap (H3).</w:t>
      </w:r>
      <w:r>
        <w:t xml:space="preserve"> The largest consumer markets are pronounced net importers. China is simultaneously the largest importer (USD 13.0 billion) and the largest net importer, with a </w:t>
      </w:r>
      <w:r>
        <w:rPr>
          <w:b/>
          <w:bCs/>
        </w:rPr>
        <w:t xml:space="preserve">USD 9.0 billion</w:t>
      </w:r>
      <w:r>
        <w:t xml:space="preserve"> gap between what it buys and what it ships; the United States (USD 1.6 billion net), Saudi Arabia, and the United Kingdom follow. At the regional level, South Asia was the fastest-growing demand region (19.5% CAGR), signalling emerging markets, while the Middle East and North Africa contracted (-13.6% CAGR), reflecting volatility. The hypothesis is supported: sizeable, identifiable markets import far more than they produce, providing a direct “where to sell” signal.</w:t>
      </w:r>
    </w:p>
    <w:p>
      <w:pPr>
        <w:spacing w:after="60" w:before="40"/>
      </w:pPr>
      <w:r>
        <w:rPr>
          <w:i/>
          <w:iCs/>
          <w:sz w:val="19"/>
          <w:szCs w:val="19"/>
        </w:rPr>
        <w:t xml:space="preserve">Table 2. Hypothesis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3360"/>
        <w:gridCol w:w="1600"/>
      </w:tblGrid>
      <w:tr>
        <w:trPr>
          <w:tblHeader/>
        </w:trPr>
        <w:tc>
          <w:tcPr>
            <w:tcW w:type="dxa" w:w="440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lineRule="auto"/>
              <w:jc w:val="left"/>
            </w:pPr>
            <w:r>
              <w:rPr>
                <w:b/>
                <w:bCs/>
              </w:rPr>
              <w:t xml:space="preserve">Hypothesis</w:t>
            </w:r>
          </w:p>
        </w:tc>
        <w:tc>
          <w:tcPr>
            <w:tcW w:type="dxa" w:w="336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lineRule="auto"/>
              <w:jc w:val="left"/>
            </w:pPr>
            <w:r>
              <w:rPr>
                <w:b/>
                <w:bCs/>
              </w:rPr>
              <w:t xml:space="preserve">Key evidence</w:t>
            </w:r>
          </w:p>
        </w:tc>
        <w:tc>
          <w:tcPr>
            <w:tcW w:type="dxa" w:w="1600"/>
            <w:tcBorders>
              <w:top w:val="single" w:color="BBBBBB" w:sz="1"/>
              <w:left w:val="single" w:color="BBBBBB" w:sz="1"/>
              <w:bottom w:val="single" w:color="BBBBBB" w:sz="1"/>
              <w:right w:val="single" w:color="BBBBBB" w:sz="1"/>
            </w:tcBorders>
            <w:shd w:fill="DCE6F4" w:val="clear"/>
            <w:tcMar>
              <w:top w:type="dxa" w:w="60"/>
              <w:left w:type="dxa" w:w="110"/>
              <w:bottom w:type="dxa" w:w="60"/>
              <w:right w:type="dxa" w:w="110"/>
            </w:tcMar>
            <w:vAlign w:val="center"/>
          </w:tcPr>
          <w:p>
            <w:pPr>
              <w:spacing w:after="0" w:line="252" w:lineRule="auto"/>
              <w:jc w:val="left"/>
            </w:pPr>
            <w:r>
              <w:rPr>
                <w:b/>
                <w:bCs/>
              </w:rPr>
              <w:t xml:space="preserve">Verdict</w:t>
            </w:r>
          </w:p>
        </w:tc>
      </w:tr>
      <w:tr>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left"/>
            </w:pPr>
            <w:r>
              <w:rPr>
                <w:b w:val="false"/>
                <w:bCs w:val="false"/>
              </w:rPr>
              <w:t xml:space="preserve">H1 — Export concentration</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left"/>
            </w:pPr>
            <w:r>
              <w:rPr>
                <w:b w:val="false"/>
                <w:bCs w:val="false"/>
              </w:rPr>
              <w:t xml:space="preserve">Top 5 exporters ≈ 50% of USD 72.7B world exports</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center"/>
            </w:pPr>
            <w:r>
              <w:rPr>
                <w:b/>
                <w:bCs/>
                <w:color w:val="1A7A3A"/>
              </w:rPr>
              <w:t xml:space="preserve">Supported</w:t>
            </w:r>
          </w:p>
        </w:tc>
      </w:tr>
      <w:tr>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left"/>
            </w:pPr>
            <w:r>
              <w:rPr>
                <w:b w:val="false"/>
                <w:bCs w:val="false"/>
              </w:rPr>
              <w:t xml:space="preserve">H2 — Eastward shift of supply</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left"/>
            </w:pPr>
            <w:r>
              <w:rPr>
                <w:b w:val="false"/>
                <w:bCs w:val="false"/>
              </w:rPr>
              <w:t xml:space="preserve">Korea +9.7% CAGR and #2 by value; East Asia 5.2% vs Europe 4.6%</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center"/>
            </w:pPr>
            <w:r>
              <w:rPr>
                <w:b/>
                <w:bCs/>
                <w:color w:val="1A7A3A"/>
              </w:rPr>
              <w:t xml:space="preserve">Supported</w:t>
            </w:r>
          </w:p>
        </w:tc>
      </w:tr>
      <w:tr>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left"/>
            </w:pPr>
            <w:r>
              <w:rPr>
                <w:b w:val="false"/>
                <w:bCs w:val="false"/>
              </w:rPr>
              <w:t xml:space="preserve">H3 — Large markets are net importers</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left"/>
            </w:pPr>
            <w:r>
              <w:rPr>
                <w:b w:val="false"/>
                <w:bCs w:val="false"/>
              </w:rPr>
              <w:t xml:space="preserve">China USD 9.0B net imports; US, Saudi Arabia, UK also net importers</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lineRule="auto"/>
              <w:jc w:val="center"/>
            </w:pPr>
            <w:r>
              <w:rPr>
                <w:b/>
                <w:bCs/>
                <w:color w:val="1A7A3A"/>
              </w:rPr>
              <w:t xml:space="preserve">Supported</w:t>
            </w:r>
          </w:p>
        </w:tc>
      </w:tr>
    </w:tbl>
    <w:p>
      <w:pPr>
        <w:spacing w:after="140"/>
      </w:pPr>
      <w:r>
        <w:rPr>
          <w:color w:val="666666"/>
          <w:sz w:val="18"/>
          <w:szCs w:val="18"/>
        </w:rPr>
        <w:t xml:space="preserve">Source: UN Comtrade, authors’ calculations.</w:t>
      </w:r>
    </w:p>
    <w:p>
      <w:pPr>
        <w:pStyle w:val="Heading2"/>
      </w:pPr>
      <w:r>
        <w:t xml:space="preserve">2.4 Outcome</w:t>
      </w:r>
    </w:p>
    <w:p>
      <w:pPr>
        <w:spacing w:after="120" w:line="276" w:lineRule="auto"/>
        <w:jc w:val="both"/>
      </w:pPr>
      <w:r>
        <w:t xml:space="preserve">All three hypotheses were supported by the open data, and the module delivered a working, interactive dashboard: headline indicators, a geographic choropleth with directional trade-flow arcs, a bilateral trade-matrix, ranked corridors, and automatically generated opportunity cards (for example, fast-growing import markets and the largest net-import gaps). Beyond the specific findings, the trade segment established a legally clean, reproducible analytical foundation — answering “who supplies, who buys, and where is it growing?” — upon which the social and fusion modules build. Crucially, the exercise validated that the proprietary, paywalled product sold by commercial aggregators can be reconstructed, for analytical purposes, from authoritative open records at the country level.</w:t>
      </w:r>
    </w:p>
    <w:p>
      <w:pPr>
        <w:pStyle w:val="Heading1"/>
      </w:pPr>
      <w:r>
        <w:t xml:space="preserve">3. Social Discovery Segment</w:t>
      </w:r>
    </w:p>
    <w:p>
      <w:pPr>
        <w:spacing w:after="120" w:line="276" w:lineRule="auto"/>
        <w:jc w:val="both"/>
      </w:pPr>
      <w:r>
        <w:t xml:space="preserve">The social module mines consumer conversation to capture demand and sentiment that trade data cannot express. The corpus comprised </w:t>
      </w:r>
      <w:r>
        <w:rPr>
          <w:b/>
          <w:bCs/>
        </w:rPr>
        <w:t xml:space="preserve">1,463 posts and 11,791 comments</w:t>
      </w:r>
      <w:r>
        <w:t xml:space="preserve"> drawn from three skincare communities (r/SkincareAddiction, r/AsianBeauty, r/30PlusSkinCare). A dictionary-and-regex taxonomy detected mentions of 14 product categories, roughly 50 brands, and 25 active ingredients, producing a relationship table of </w:t>
      </w:r>
      <w:r>
        <w:rPr>
          <w:b/>
          <w:bCs/>
        </w:rPr>
        <w:t xml:space="preserve">9,015 post-to-entity links</w:t>
      </w:r>
      <w:r>
        <w:t xml:space="preserve">. Sentiment was scored with VADER, a rule-based model designed for social-media text.</w:t>
      </w:r>
    </w:p>
    <w:p>
      <w:pPr>
        <w:spacing w:after="120" w:line="276" w:lineRule="auto"/>
        <w:jc w:val="both"/>
      </w:pPr>
      <w:r>
        <w:t xml:space="preserve">A methodological correction proved important. The initial implementation scored each whole post or comment and attributed that single score to every entity it mentioned. Because VADER’s compound score saturates toward its extremes on long text, and because a popular product appears across hundreds of generally constructive posts, the result was uninformative: roughly </w:t>
      </w:r>
      <w:r>
        <w:rPr>
          <w:b/>
          <w:bCs/>
        </w:rPr>
        <w:t xml:space="preserve">68% of posts registered “very positive,”</w:t>
      </w:r>
      <w:r>
        <w:t xml:space="preserve"> and </w:t>
      </w:r>
      <w:r>
        <w:rPr>
          <w:b/>
          <w:bCs/>
        </w:rPr>
        <w:t xml:space="preserve">92% of products clustered near +0.5</w:t>
      </w:r>
      <w:r>
        <w:t xml:space="preserve"> — indistinguishable from one another. The pipeline was revised to score sentiment at the </w:t>
      </w:r>
      <w:r>
        <w:rPr>
          <w:b/>
          <w:bCs/>
        </w:rPr>
        <w:t xml:space="preserve">sentence level</w:t>
      </w:r>
      <w:r>
        <w:t xml:space="preserve"> and to attribute to each product only the sentiment of the sentence that mentions it. After correction, post sentiment was realistically balanced (approximately 43% neutral, 45% positive, 6% negative; median +0.10) and products became differentiated — for example, Beauty of Joseon at +0.54 (a clear community favourite) versus CeraVe at +0.13. The episode is a generalisable lesson: lexicon-based sentiment must be applied at sentence granularity and bound to local context, or aggregate scores collapse toward the corpus mean.</w:t>
      </w:r>
    </w:p>
    <w:p>
      <w:pPr>
        <w:spacing w:after="120" w:line="276" w:lineRule="auto"/>
        <w:jc w:val="both"/>
      </w:pPr>
      <w:r>
        <w:t xml:space="preserve">The module exposes a query interface: a search such as “oily skin remover” resolves to the relevant category and returns the most pertinent posts, the products and ingredients people mention, and the associated sentiment, alongside data-driven “launch opportunity” cards that rank categories by conversation volume and unmet need.</w:t>
      </w:r>
    </w:p>
    <w:p>
      <w:pPr>
        <w:pStyle w:val="Heading1"/>
      </w:pPr>
      <w:r>
        <w:t xml:space="preserve">4. Trade–Social Fusion: Source-to-Sell</w:t>
      </w:r>
    </w:p>
    <w:p>
      <w:pPr>
        <w:spacing w:after="120" w:line="276" w:lineRule="auto"/>
        <w:jc w:val="both"/>
      </w:pPr>
      <w:r>
        <w:t xml:space="preserve">The fusion layer is the platform’s distinguishing contribution: it connects the two otherwise-parallel datasets. The bridge is </w:t>
      </w:r>
      <w:r>
        <w:rPr>
          <w:b/>
          <w:bCs/>
        </w:rPr>
        <w:t xml:space="preserve">brand country-of-origin</w:t>
      </w:r>
      <w:r>
        <w:t xml:space="preserve"> — social posts name brands, and each brand maps to a producing country, which in turn joins to that country’s HS 3304 trade. From this, Product Scout derives where to source (origin countries whose brands enjoy social affection, scored against their export strength) and where to sell (net-importer countries with unmet demand).</w:t>
      </w:r>
    </w:p>
    <w:p>
      <w:pPr>
        <w:spacing w:after="120" w:line="276" w:lineRule="auto"/>
        <w:jc w:val="both"/>
      </w:pPr>
      <w:r>
        <w:t xml:space="preserve">The synthesis surfaces non-obvious signals. South Korea emerges as the strongest sourcing origin on a blended basis — 764 brand mentions, the #2 export position, and the fastest export growth (9.7%) — capturing the K-beauty phenomenon quantitatively; the United States leads on sheer mention volume (1,262), and France leads on export value. On the demand side, China’s USD 9.0 billion net-import gap marks it as the foremost market to sell into. Per-category routes combine these into concrete recommendations (for example, source a moisturiser line from Korea or France and target China and the Gulf). We are explicit about scope: HS 3304 is a single six-digit code, so the trade side is category-agnostic; brand origin is what makes the sourcing link category-specific, and this caveat is surfaced in the interface.</w:t>
      </w:r>
    </w:p>
    <w:p>
      <w:pPr>
        <w:pStyle w:val="Heading1"/>
      </w:pPr>
      <w:r>
        <w:t xml:space="preserve">5. AI Analyst Agent</w:t>
      </w:r>
    </w:p>
    <w:p>
      <w:pPr>
        <w:spacing w:after="120" w:line="276" w:lineRule="auto"/>
        <w:jc w:val="both"/>
      </w:pPr>
      <w:r>
        <w:t xml:space="preserve">A conversational analyst was implemented using a large language model (Claude) with tool use. The agent is granted tools over both domains — trade queries, social queries, and the fused source-to-sell engine — and is instructed to obtain every figure from a tool rather than from memory, eliminating fabricated statistics. It can therefore answer cross-domain questions such as whether K-beauty’s social momentum matches Korea’s export growth by invoking a trade tool and a social tool and synthesising the result, turning the platform from a static dashboard into an interrogable analyst.</w:t>
      </w:r>
    </w:p>
    <w:p>
      <w:pPr>
        <w:pStyle w:val="Heading1"/>
      </w:pPr>
      <w:r>
        <w:t xml:space="preserve">6. Discussion, Limitations, and Future Work</w:t>
      </w:r>
    </w:p>
    <w:p>
      <w:pPr>
        <w:spacing w:after="120" w:line="276" w:lineRule="auto"/>
        <w:jc w:val="both"/>
      </w:pPr>
      <w:r>
        <w:t xml:space="preserve">Several limitations bound the present results. The trade analysis is conducted at the HS-6 level, which aggregates all beauty and make-up preparations into one code and therefore cannot, by itself, distinguish sub-categories such as sunscreen from moisturiser; the social layer supplies that granularity. The social corpus is English-language, limited to three communities, and spans only about two weeks, so the platform reports demand by conversation volume rather than a genuine temporal trend. The brand-to-origin mapping is curated, and VADER, like all lexicon methods, can misread sarcasm and context despite the sentence-level correction.</w:t>
      </w:r>
    </w:p>
    <w:p>
      <w:pPr>
        <w:spacing w:after="120" w:line="276" w:lineRule="auto"/>
        <w:jc w:val="both"/>
      </w:pPr>
      <w:r>
        <w:t xml:space="preserve">Future work follows directly from these limitations: recurring ingestion from additional sources (for example Google Trends and further platforms) would enable true momentum detection and emerging-ingredient discovery; aspect-based sentiment would decompose opinion into attributes such as price, texture, and results; widening coverage to adjacent HS codes (3303 perfumes, 3305 hair, 3307 shaving and deodorant) would broaden the trade lens; and migrating from flat files to a managed data store with authentication would support production deployment.</w:t>
      </w:r>
    </w:p>
    <w:p>
      <w:pPr>
        <w:pStyle w:val="Heading1"/>
      </w:pPr>
      <w:r>
        <w:t xml:space="preserve">7. Conclusion</w:t>
      </w:r>
    </w:p>
    <w:p>
      <w:pPr>
        <w:spacing w:after="120" w:line="276" w:lineRule="auto"/>
        <w:jc w:val="both"/>
      </w:pPr>
      <w:r>
        <w:t xml:space="preserve">Product Scout demonstrates that authoritative open trade data and social-media sentiment can be combined into a single, decision-useful instrument for cosmetics e-commerce. The trade segment, built entirely on reproducible UN Comtrade records, confirmed that cosmetics exports are concentrated, that supply is shifting eastward in growth terms, and that the largest markets are net importers — and packaged these findings in an interactive dashboard. The social and fusion modules then translated structural trade facts into product-level, sentiment-aware, source-to-sell recommendations. The result is a platform whose whole is greater than the sum of its parts, and whose foundations are legally clean and methodologically transparent.</w:t>
      </w:r>
    </w:p>
    <w:p>
      <w:pPr>
        <w:pStyle w:val="Heading1"/>
      </w:pPr>
      <w:r>
        <w:t xml:space="preserve">References</w:t>
      </w:r>
    </w:p>
    <w:p>
      <w:pPr>
        <w:spacing w:after="80" w:line="264" w:lineRule="auto"/>
        <w:ind w:left="360" w:hanging="360"/>
      </w:pPr>
      <w:r>
        <w:t xml:space="preserve">Anthropic. (2024). Tool use (function calling) with Claude. Anthropic API documentation. Retrieved 2026.</w:t>
      </w:r>
    </w:p>
    <w:p>
      <w:pPr>
        <w:spacing w:after="80" w:line="264" w:lineRule="auto"/>
        <w:ind w:left="360" w:hanging="360"/>
      </w:pPr>
      <w:r>
        <w:t xml:space="preserve">Hutto, C. J., &amp; Gilbert, E. E. (2014). VADER: A Parsimonious Rule-based Model for Sentiment Analysis of Social Media Text. Proceedings of the Eighth International AAAI Conference on Weblogs and Social Media (ICWSM-14).</w:t>
      </w:r>
    </w:p>
    <w:p>
      <w:pPr>
        <w:spacing w:after="80" w:line="264" w:lineRule="auto"/>
        <w:ind w:left="360" w:hanging="360"/>
      </w:pPr>
      <w:r>
        <w:t xml:space="preserve">McKinney, W. (2010). Data Structures for Statistical Computing in Python. Proceedings of the 9th Python in Science Conference, 56–61.</w:t>
      </w:r>
    </w:p>
    <w:p>
      <w:pPr>
        <w:spacing w:after="80" w:line="264" w:lineRule="auto"/>
        <w:ind w:left="360" w:hanging="360"/>
      </w:pPr>
      <w:r>
        <w:t xml:space="preserve">United Nations Statistics Division. (2025). UN Comtrade Database. https://comtradeplus.un.org.</w:t>
      </w:r>
    </w:p>
    <w:p>
      <w:pPr>
        <w:spacing w:after="80" w:line="264" w:lineRule="auto"/>
        <w:ind w:left="360" w:hanging="360"/>
      </w:pPr>
      <w:r>
        <w:t xml:space="preserve">World Customs Organization. (2022). Harmonized Commodity Description and Coding System (HS Nomenclature), heading 3304.</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3"/>
      </w:pBdr>
      <w:spacing w:after="0"/>
      <w:jc w:val="right"/>
    </w:pPr>
    <w:r>
      <w:rPr>
        <w:color w:val="888888"/>
        <w:sz w:val="16"/>
        <w:szCs w:val="16"/>
      </w:rPr>
      <w:t xml:space="preserve">Product Scout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20"/>
      <w:outlineLvl w:val="0"/>
    </w:pPr>
    <w:rPr>
      <w:rFonts w:ascii="Calibri" w:cs="Calibri" w:eastAsia="Calibri" w:hAnsi="Calibri"/>
      <w:b/>
      <w:bCs/>
      <w:color w:val="2E5AAC"/>
      <w:sz w:val="25"/>
      <w:szCs w:val="25"/>
    </w:rPr>
  </w:style>
  <w:style w:type="paragraph" w:styleId="Heading2">
    <w:name w:val="Heading 2"/>
    <w:basedOn w:val="Normal"/>
    <w:next w:val="Normal"/>
    <w:qFormat/>
    <w:pPr>
      <w:keepNext/>
      <w:spacing w:after="70" w:before="140"/>
      <w:outlineLvl w:val="1"/>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Scout — Project Report</dc:title>
  <dc:creator>Product Scout</dc:creator>
  <cp:lastModifiedBy>Un-named</cp:lastModifiedBy>
  <cp:revision>1</cp:revision>
  <dcterms:created xsi:type="dcterms:W3CDTF">2026-05-31T07:14:17.553Z</dcterms:created>
  <dcterms:modified xsi:type="dcterms:W3CDTF">2026-05-31T07:14:17.557Z</dcterms:modified>
</cp:coreProperties>
</file>

<file path=docProps/custom.xml><?xml version="1.0" encoding="utf-8"?>
<Properties xmlns="http://schemas.openxmlformats.org/officeDocument/2006/custom-properties" xmlns:vt="http://schemas.openxmlformats.org/officeDocument/2006/docPropsVTypes"/>
</file>