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caps/>
          <w:color w:val="555555"/>
          <w:spacing w:val="40"/>
          <w:sz w:val="28"/>
          <w:szCs w:val="28"/>
        </w:rPr>
        <w:t xml:space="preserve">Capstone Project</w:t>
      </w:r>
    </w:p>
    <w:p>
      <w:pPr>
        <w:spacing w:after="0" w:before="200"/>
        <w:jc w:val="center"/>
      </w:pPr>
      <w:r>
        <w:rPr>
          <w:b/>
          <w:bCs/>
          <w:color w:val="1F3B73"/>
          <w:sz w:val="40"/>
          <w:szCs w:val="40"/>
        </w:rPr>
        <w:t xml:space="preserve">Cross-Border E-Commerce Product Intelligence Platform</w:t>
      </w:r>
    </w:p>
    <w:p>
      <w:pPr>
        <w:spacing w:after="0" w:before="120"/>
        <w:jc w:val="center"/>
      </w:pPr>
      <w:r>
        <w:rPr>
          <w:i/>
          <w:iCs/>
          <w:color w:val="2E75B6"/>
          <w:sz w:val="30"/>
          <w:szCs w:val="30"/>
        </w:rPr>
        <w:t xml:space="preserve">Product Scout</w:t>
      </w:r>
    </w:p>
    <w:p>
      <w:pPr>
        <w:pBdr>
          <w:top w:val="single" w:color="2E75B6" w:sz="6" w:space="8"/>
          <w:bottom w:val="single" w:color="2E75B6" w:sz="6" w:space="8"/>
        </w:pBdr>
        <w:spacing w:after="0" w:before="360"/>
        <w:jc w:val="center"/>
      </w:pPr>
      <w:r>
        <w:rPr>
          <w:b/>
          <w:bCs/>
          <w:sz w:val="30"/>
          <w:szCs w:val="30"/>
        </w:rPr>
        <w:t xml:space="preserve">Interim Project Update</w:t>
      </w:r>
    </w:p>
    <w:p>
      <w:pPr>
        <w:spacing w:after="0" w:before="200"/>
        <w:jc w:val="center"/>
      </w:pPr>
      <w:r>
        <w:rPr>
          <w:color w:val="555555"/>
          <w:sz w:val="22"/>
          <w:szCs w:val="22"/>
        </w:rPr>
        <w:t xml:space="preserve">Mid-Project Progress Report  ·  May 2026</w:t>
      </w:r>
    </w:p>
    <w:p>
      <w:pPr>
        <w:spacing w:after="0" w:before="100"/>
        <w:jc w:val="center"/>
      </w:pPr>
      <w:r>
        <w:rPr>
          <w:i/>
          <w:iCs/>
          <w:color w:val="555555"/>
          <w:sz w:val="18"/>
          <w:szCs w:val="18"/>
        </w:rPr>
        <w:t xml:space="preserve">Project website: https://capstone-hku-product-scout.lovable.app/</w:t>
      </w:r>
    </w:p>
    <w:p>
      <w:pPr>
        <w:spacing w:after="0" w:before="80"/>
        <w:jc w:val="center"/>
      </w:pPr>
      <w:r>
        <w:rPr>
          <w:b/>
          <w:bCs/>
          <w:sz w:val="20"/>
          <w:szCs w:val="20"/>
        </w:rPr>
        <w:t xml:space="preserve">Mentor: Lequan Yu  ·  qyu@hku.hk</w:t>
      </w:r>
    </w:p>
    <w:p>
      <w:pPr>
        <w:spacing w:after="280"/>
      </w:pPr>
    </w:p>
    <w:p>
      <w:pPr>
        <w:spacing w:after="120" w:before="80"/>
        <w:jc w:val="center"/>
      </w:pPr>
      <w:r>
        <w:rPr>
          <w:b/>
          <w:bCs/>
          <w:color w:val="1F3B73"/>
          <w:sz w:val="22"/>
          <w:szCs w:val="22"/>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Name</w:t>
            </w:r>
          </w:p>
        </w:tc>
        <w:tc>
          <w:tcPr>
            <w:tcW w:type="dxa" w:w="22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HKU ID</w:t>
            </w:r>
          </w:p>
        </w:tc>
        <w:tc>
          <w:tcPr>
            <w:tcW w:type="dxa" w:w="22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Stream</w:t>
            </w:r>
          </w:p>
        </w:tc>
        <w:tc>
          <w:tcPr>
            <w:tcW w:type="dxa" w:w="23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Email</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Yixuan Fan</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3036199534</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General</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u3619953@connect.hku.hk</w:t>
            </w:r>
          </w:p>
        </w:tc>
      </w:tr>
      <w:tr>
        <w:tc>
          <w:tcPr>
            <w:tcW w:type="dxa" w:w="26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Poon Pak Kong</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3036384323</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General</w:t>
            </w:r>
          </w:p>
        </w:tc>
        <w:tc>
          <w:tcPr>
            <w:tcW w:type="dxa" w:w="2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u3638432@connect.hku.hk</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Carrillo Sabrina</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3036411944</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General</w:t>
            </w:r>
          </w:p>
        </w:tc>
        <w:tc>
          <w:tcPr>
            <w:tcW w:type="dxa" w:w="2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u3641194@connect.hku.hk</w:t>
            </w:r>
          </w:p>
        </w:tc>
      </w:tr>
      <w:tr>
        <w:tc>
          <w:tcPr>
            <w:tcW w:type="dxa" w:w="26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Zhao Xiang</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2012974485</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Financial</w:t>
            </w:r>
          </w:p>
        </w:tc>
        <w:tc>
          <w:tcPr>
            <w:tcW w:type="dxa" w:w="2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mirkoxz@connect.hku.hk</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t xml:space="preserve">1.  Interim Status Overview</w:t>
      </w:r>
    </w:p>
    <w:p>
      <w:pPr>
        <w:spacing w:after="140" w:line="276"/>
        <w:jc w:val="both"/>
      </w:pPr>
      <w:r>
        <w:rPr>
          <w:b/>
          <w:bCs/>
        </w:rPr>
        <w:t xml:space="preserve">Product Scout</w:t>
      </w:r>
      <w:r>
        <w:t xml:space="preserve"> is a product-intelligence platform that helps small and mid-sized cross-border e-commerce sellers in the beauty and skincare space identify breakout product opportunities ahead of competitors. The original proposal set out a central hypothesis: that fusing unstructured consumer-sentiment data with structured market-supply data exposes a </w:t>
      </w:r>
      <w:r>
        <w:rPr>
          <w:b/>
          <w:bCs/>
        </w:rPr>
        <w:t xml:space="preserve">signal gap</w:t>
      </w:r>
      <w:r>
        <w:t xml:space="preserve"> — categories with surging community discussion but thin or low-quality market supply — and that this time-lag window is a defensible, monetisable blue-ocean entry point.</w:t>
      </w:r>
    </w:p>
    <w:p>
      <w:pPr>
        <w:spacing w:after="140" w:line="276"/>
        <w:jc w:val="both"/>
      </w:pPr>
      <w:r>
        <w:t xml:space="preserve">This document is an interim update delivered at the midpoint of the capstone timeline. Its purpose is to report what the team has built, the data it currently uses, the core functionality that is working end-to-end, and an honest account of the scope that remains before the final deliverable. In short, the interim build validates the core data and analytics hypothesis on a single anchor category — skincare (Harmonized System code 3304) — across a working, interactive dashboard. The components that distinguish a validated prototype from a production product — a fully automated ingestion pipeline, a managed database, broadened category and geographic coverage, and an autonomous business-intelligence agent that not only analyses but proposes — are deliberately deferred to the second half of the project and are itemised in Section 8.</w:t>
      </w:r>
    </w:p>
    <w:p>
      <w:pPr>
        <w:spacing w:after="140" w:line="276"/>
        <w:jc w:val="both"/>
      </w:pPr>
      <w:r>
        <w:rPr>
          <w:b/>
          <w:bCs/>
        </w:rPr>
        <w:t xml:space="preserve">Headline result. </w:t>
      </w:r>
      <w:r>
        <w:t xml:space="preserve">The dual-signal thesis holds. On the supply side, authoritative trade statistics confirm that cosmetics exports are highly concentrated (the five largest exporters supply roughly half of the USD 72.7 billion world market), that supply is migrating eastward in growth terms (South Korea growing at a 9.7% CAGR), and that the largest consumer markets are pronounced net importers (China alone at USD 9.0 billion net). On the demand side, sentiment mined from social conversation and Amazon reviews differentiates products and surfaces unmet needs at a granularity trade data cannot express. A fusion layer links the two through brand country-of-origin to produce concrete </w:t>
      </w:r>
      <w:r>
        <w:rPr>
          <w:b/>
          <w:bCs/>
        </w:rPr>
        <w:t xml:space="preserve">source-to-sell</w:t>
      </w:r>
      <w:r>
        <w:t xml:space="preserve"> recommendations.</w:t>
      </w:r>
    </w:p>
    <w:p>
      <w:pPr>
        <w:pStyle w:val="Heading1"/>
      </w:pPr>
      <w:r>
        <w:t xml:space="preserve">2.  What We Are Building: System Architecture</w:t>
      </w:r>
    </w:p>
    <w:p>
      <w:pPr>
        <w:spacing w:after="140" w:line="276"/>
        <w:jc w:val="both"/>
      </w:pPr>
      <w:r>
        <w:t xml:space="preserve">The platform is organised as a directed pipeline that moves data from raw acquisition, through persistence and analytics, to a user-facing dashboard. The reference architecture is summarised in Figure 1 and described stage by stage below. Stages already implemented in the interim build are noted explicitly; stages that are stubbed, manual, or planned are flagged so the reader can map the figure onto current reality.</w:t>
      </w:r>
    </w:p>
    <w:p>
      <w:pPr>
        <w:spacing w:after="60" w:before="80"/>
        <w:jc w:val="center"/>
      </w:pPr>
      <w:r>
        <w:drawing>
          <wp:inline distT="0" distB="0" distL="0" distR="0">
            <wp:extent cx="4095750" cy="3486150"/>
            <wp:effectExtent t="0" r="0" b="0" l="0"/>
            <wp:docPr id="1" name="fig1_pipeline.png" descr="Product Scout pipeline diagram" title="Product Scout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486150"/>
                    </a:xfrm>
                    <a:prstGeom prst="rect">
                      <a:avLst/>
                    </a:prstGeom>
                  </pic:spPr>
                </pic:pic>
              </a:graphicData>
            </a:graphic>
          </wp:inline>
        </w:drawing>
      </w:r>
    </w:p>
    <w:p>
      <w:pPr>
        <w:spacing w:after="140" w:before="40"/>
        <w:jc w:val="center"/>
      </w:pPr>
      <w:r>
        <w:rPr>
          <w:b/>
          <w:bCs/>
          <w:color w:val="1F3B73"/>
          <w:sz w:val="20"/>
          <w:szCs w:val="20"/>
        </w:rPr>
        <w:t xml:space="preserve">Figure 1.  Product Scout end-to-end data and analytics pipeline (anchor category: skincare).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Pipeline stage</w:t>
            </w:r>
          </w:p>
        </w:tc>
        <w:tc>
          <w:tcPr>
            <w:tcW w:type="dxa" w:w="47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Function (per Figure 1)</w:t>
            </w:r>
          </w:p>
        </w:tc>
        <w:tc>
          <w:tcPr>
            <w:tcW w:type="dxa" w:w="24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Interim status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Stage 1 — Acquisition (per category: Skincare)</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Product-category keywords drive five parallel collectors: a Google Trends API client, an Amazon scraper (sales &amp; reviews), shipment/customs (HS-code) data, and a Reddit scraper (subreddit posts &amp; comments). An “Ingestion Task” scheduler coordinates the runs.</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Collectors implemented; scheduler is manual/scripted (not yet cron-automated).</w:t>
            </w:r>
          </w:p>
        </w:tc>
      </w:tr>
      <w:tr>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Stage 2 — Persistence (Database)</w:t>
            </w:r>
          </w:p>
        </w:tc>
        <w:tc>
          <w:tcPr>
            <w:tcW w:type="dxa" w:w="47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The four normalised streams — Google Trends data, hot sales &amp; reviews, HS-code trade data, and subreddit posts/comments — are written to a shared store under a source-agnostic schema.</w:t>
            </w:r>
          </w:p>
        </w:tc>
        <w:tc>
          <w:tcPr>
            <w:tcW w:type="dxa" w:w="2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Implemented as versioned CSV/JSON flat files; a managed database is deferred.</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Stage 3 — Analytics (Analytics Task → AI/Analytics Engine)</w:t>
            </w:r>
          </w:p>
        </w:tc>
        <w:tc>
          <w:tcPr>
            <w:tcW w:type="dxa" w:w="47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 scheduled analytics task runs NLP &amp; clustering, branching into sentence-level sentiment analysis and category/entity clustering, then reconciles market trends and needs against existing products.</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Sentiment + entity extraction + fusion implemented; clustering and trend-vs-product reconciliation partially implemented.</w:t>
            </w:r>
          </w:p>
        </w:tc>
      </w:tr>
      <w:tr>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Stage 4 — Delivery (Webpage / Dashboard)</w:t>
            </w:r>
          </w:p>
        </w:tc>
        <w:tc>
          <w:tcPr>
            <w:tcW w:type="dxa" w:w="47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Results are surfaced as an interactive dashboard: a trade-intelligence map, category detail pages, social discovery, and a conversational AI analyst.</w:t>
            </w:r>
          </w:p>
        </w:tc>
        <w:tc>
          <w:tcPr>
            <w:tcW w:type="dxa" w:w="2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Implemented and demonstrable end-to-end.</w:t>
            </w:r>
          </w:p>
        </w:tc>
      </w:tr>
    </w:tbl>
    <w:p>
      <w:pPr>
        <w:spacing w:after="200" w:before="80"/>
      </w:pPr>
      <w:r>
        <w:rPr>
          <w:i/>
          <w:iCs/>
          <w:color w:val="555555"/>
          <w:sz w:val="18"/>
          <w:szCs w:val="18"/>
        </w:rPr>
        <w:t xml:space="preserve">Read top-to-bottom: acquisition → persistence → analytics → delivery, mirroring the proposal’s flow diagram. The single anchor category in the interim build is skincare.</w:t>
      </w:r>
    </w:p>
    <w:p>
      <w:pPr>
        <w:pStyle w:val="Heading2"/>
      </w:pPr>
      <w:r>
        <w:t xml:space="preserve">2.1  Design principle: a source-agnostic schema</w:t>
      </w:r>
    </w:p>
    <w:p>
      <w:pPr>
        <w:spacing w:after="140" w:line="276"/>
        <w:jc w:val="both"/>
      </w:pPr>
      <w:r>
        <w:t xml:space="preserve">A deliberate architectural decision underpins the whole pipeline: every collector emits records into a common record shape carrying an explicit source field. Adding a new platform (TikTok, YouTube) or a new trade code therefore requires only a new collector that conforms to the schema — the persistence, analytics, query, and presentation layers need no modification. This is what makes the deferred work in Section 8 additive rather than structural, and it is the single most important reason the interim build can credibly claim to be a foundation for the final product rather than a throwaway prototype.</w:t>
      </w:r>
    </w:p>
    <w:p>
      <w:pPr>
        <w:pStyle w:val="Heading1"/>
      </w:pPr>
      <w:r>
        <w:t xml:space="preserve">3.  Progress to Date</w:t>
      </w:r>
    </w:p>
    <w:p>
      <w:pPr>
        <w:spacing w:after="140" w:line="276"/>
        <w:jc w:val="both"/>
      </w:pPr>
      <w:r>
        <w:t xml:space="preserve">Progress is reported module by module, following the analytical spine of the platform: the trade segment, the social segment, the fusion layer, and the conversational agent. Each maps directly onto Figure 1.</w:t>
      </w:r>
    </w:p>
    <w:p>
      <w:pPr>
        <w:pStyle w:val="Heading2"/>
      </w:pPr>
      <w:r>
        <w:t xml:space="preserve">3.1  Trade Intelligence module</w:t>
      </w:r>
    </w:p>
    <w:p>
      <w:pPr>
        <w:spacing w:after="140" w:line="276"/>
        <w:jc w:val="both"/>
      </w:pPr>
      <w:r>
        <w:t xml:space="preserve">The trade module is the analytical core and is the most mature component. It treats HS 3304 — “beauty or make-up preparations and preparations for the care of the skin” — as the unit of analysis and characterises global cosmetics trade for 2018–2024. A deliberate sourcing decision shaped it: rather than scraping a paywalled commercial aggregator (whose terms prohibit redistribution), the team sourced the </w:t>
      </w:r>
      <w:r>
        <w:rPr>
          <w:b/>
          <w:bCs/>
        </w:rPr>
        <w:t xml:space="preserve">same underlying customs records directly from the authoritative open provider, the UN Comtrade database</w:t>
      </w:r>
      <w:r>
        <w:t xml:space="preserve">. The result is a transparent, legally clean, reproducible pipeline.</w:t>
      </w:r>
    </w:p>
    <w:p>
      <w:pPr>
        <w:spacing w:after="140" w:line="276"/>
        <w:jc w:val="both"/>
      </w:pPr>
      <w:r>
        <w:t xml:space="preserve">Country totals were retrieved for both export (flow X) and import (flow M) flows against the aggregate “World” partner, and bilateral flows were paged one exporter-year at a time for the 23 largest exporters to circumvent the free preview endpoint’s 500-row cap and guarantee complete partner coverage. Numeric area codes were mapped to ISO-3166 identifiers via the pycountry library to enable a clean geographic join. Derived metrics include per-country totals, year-over-year change, compound annual growth rate, global share, trade balance, bilateral corridors, and regional growth. The findings confirmed all three pre-registered hypotheses, summarised in Table 1.</w:t>
      </w:r>
    </w:p>
    <w:p>
      <w:pPr>
        <w:spacing w:after="100" w:before="60"/>
      </w:pPr>
      <w:r>
        <w:rPr>
          <w:b/>
          <w:bCs/>
          <w:color w:val="1F3B73"/>
          <w:sz w:val="20"/>
          <w:szCs w:val="20"/>
        </w:rPr>
        <w:t xml:space="preserve">Table 1.  Trade hypotheses and interim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Hypothesis</w:t>
            </w:r>
          </w:p>
        </w:tc>
        <w:tc>
          <w:tcPr>
            <w:tcW w:type="dxa" w:w="50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Key evidence (UN Comtrade, 2024)</w:t>
            </w:r>
          </w:p>
        </w:tc>
        <w:tc>
          <w:tcPr>
            <w:tcW w:type="dxa" w:w="18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Verdict</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H1 — Export concentration</w:t>
            </w:r>
          </w:p>
        </w:tc>
        <w:tc>
          <w:tcPr>
            <w:tcW w:type="dxa" w:w="5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Top 5 exporters ≈ 50% of the USD 72.7 B world market; France leads at USD 12.2 B.</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Supported</w:t>
            </w:r>
          </w:p>
        </w:tc>
      </w:tr>
      <w:tr>
        <w:tc>
          <w:tcPr>
            <w:tcW w:type="dxa" w:w="25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H2 — Eastward shift of supply</w:t>
            </w:r>
          </w:p>
        </w:tc>
        <w:tc>
          <w:tcPr>
            <w:tcW w:type="dxa" w:w="50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Korea +9.7% CAGR and #2 by value; East Asia 5.2% vs Europe 4.6%.</w:t>
            </w:r>
          </w:p>
        </w:tc>
        <w:tc>
          <w:tcPr>
            <w:tcW w:type="dxa" w:w="18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Supported</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H3 — Large markets are net importers</w:t>
            </w:r>
          </w:p>
        </w:tc>
        <w:tc>
          <w:tcPr>
            <w:tcW w:type="dxa" w:w="5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China USD 9.0 B net imports; US, Saudi Arabia, UK also net importers.</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Supported</w:t>
            </w:r>
          </w:p>
        </w:tc>
      </w:tr>
    </w:tbl>
    <w:p>
      <w:pPr>
        <w:spacing w:after="200" w:before="80"/>
      </w:pPr>
      <w:r>
        <w:rPr>
          <w:i/>
          <w:iCs/>
          <w:color w:val="555555"/>
          <w:sz w:val="18"/>
          <w:szCs w:val="18"/>
        </w:rPr>
        <w:t xml:space="preserve">Source: UN Comtrade, authors’ calculations.</w:t>
      </w:r>
    </w:p>
    <w:p>
      <w:pPr>
        <w:pStyle w:val="Heading2"/>
      </w:pPr>
      <w:r>
        <w:t xml:space="preserve">3.2  Social Discovery module</w:t>
      </w:r>
    </w:p>
    <w:p>
      <w:pPr>
        <w:spacing w:after="140" w:line="276"/>
        <w:jc w:val="both"/>
      </w:pPr>
      <w:r>
        <w:t xml:space="preserve">The social module mines consumer conversation to capture demand and sentiment that trade data cannot express. The current corpus comprises </w:t>
      </w:r>
      <w:r>
        <w:rPr>
          <w:b/>
          <w:bCs/>
        </w:rPr>
        <w:t xml:space="preserve">1,463 Reddit posts and 11,791 comments</w:t>
      </w:r>
      <w:r>
        <w:t xml:space="preserve"> drawn from three skincare communities (r/SkincareAddiction, r/AsianBeauty, r/30PlusSkinCare). A dictionary-and-regex taxonomy detects mentions of 14 product categories, ~50 brands, and 25 active ingredients, producing a relationship table of </w:t>
      </w:r>
      <w:r>
        <w:rPr>
          <w:b/>
          <w:bCs/>
        </w:rPr>
        <w:t xml:space="preserve">9,015 post-to-entity links</w:t>
      </w:r>
      <w:r>
        <w:t xml:space="preserve">. Sentiment is scored with VADER, a rule-based model designed for social-media text.</w:t>
      </w:r>
    </w:p>
    <w:p>
      <w:pPr>
        <w:spacing w:after="140" w:line="276"/>
        <w:jc w:val="both"/>
      </w:pPr>
      <w:r>
        <w:rPr>
          <w:b/>
          <w:bCs/>
        </w:rPr>
        <w:t xml:space="preserve">Methodological correction. </w:t>
      </w:r>
      <w:r>
        <w:t xml:space="preserve">An early implementation scored each whole post and attributed that single score to every entity it mentioned. Because VADER’s compound score saturates on long text, the result was uninformative — ~68% of posts registered “very positive” and ~92% of products clustered near +0.5, indistinguishable from one another. The pipeline was revised to score sentiment at the </w:t>
      </w:r>
      <w:r>
        <w:rPr>
          <w:b/>
          <w:bCs/>
        </w:rPr>
        <w:t xml:space="preserve">sentence level</w:t>
      </w:r>
      <w:r>
        <w:t xml:space="preserve"> and bind each product to only the sentiment of the sentence that mentions it. Post sentiment then became realistically balanced (≈43% neutral, 45% positive, 6% negative; median +0.10) and products became differentiated — e.g. Beauty of Joseon at +0.54 versus CeraVe at +0.13. The generalisable lesson: lexicon-based sentiment must be applied at sentence granularity and bound to local context, or aggregate scores collapse toward the corpus mean.</w:t>
      </w:r>
    </w:p>
    <w:p>
      <w:pPr>
        <w:pStyle w:val="Heading2"/>
      </w:pPr>
      <w:r>
        <w:t xml:space="preserve">3.3  Category intelligence: Amazon reviews and Google Trends</w:t>
      </w:r>
    </w:p>
    <w:p>
      <w:pPr>
        <w:spacing w:after="140" w:line="276"/>
        <w:jc w:val="both"/>
      </w:pPr>
      <w:r>
        <w:t xml:space="preserve">Each category landing now opens a detail page assembled for an e-commerce sourcer persona. An Amazon Reviews Intelligence panel compiles per-product ratings, aspect-level negative rates (read as sourcing opportunities), a best-in-class benchmark, and voice-of-customer quotes from a review export covering three anchor categories — cleanser &amp; oil control, moisturiser &amp; hydration, and sunscreen &amp; SPF. A Google Trends panel renders real weekly search interest (0–100) for Hong Kong and Japan across 2023–2025, with a country toggle, category and brand momentum lines, and rising sub-categories. These were the two newest collectors integrated during this reporting period.</w:t>
      </w:r>
    </w:p>
    <w:p>
      <w:pPr>
        <w:pStyle w:val="Heading2"/>
      </w:pPr>
      <w:r>
        <w:t xml:space="preserve">3.4  Trade–Social Fusion (Source-to-Sell)</w:t>
      </w:r>
    </w:p>
    <w:p>
      <w:pPr>
        <w:spacing w:after="140" w:line="276"/>
        <w:jc w:val="both"/>
      </w:pPr>
      <w:r>
        <w:t xml:space="preserve">The fusion layer is the platform’s distinguishing contribution: it connects the two otherwise-parallel datasets through </w:t>
      </w:r>
      <w:r>
        <w:rPr>
          <w:b/>
          <w:bCs/>
        </w:rPr>
        <w:t xml:space="preserve">brand country-of-origin</w:t>
      </w:r>
      <w:r>
        <w:t xml:space="preserve">. Social posts name brands; each brand maps to a producing country; that country joins to its HS 3304 trade. From this the platform derives </w:t>
      </w:r>
      <w:r>
        <w:rPr>
          <w:b/>
          <w:bCs/>
        </w:rPr>
        <w:t xml:space="preserve">where to source</w:t>
      </w:r>
      <w:r>
        <w:t xml:space="preserve"> (origin countries whose brands enjoy social affection, scored against export strength) and </w:t>
      </w:r>
      <w:r>
        <w:rPr>
          <w:b/>
          <w:bCs/>
        </w:rPr>
        <w:t xml:space="preserve">where to sell</w:t>
      </w:r>
      <w:r>
        <w:t xml:space="preserve"> (net-importer countries with unmet demand). South Korea emerges as the strongest blended sourcing origin (764 brand mentions, #2 export position, fastest growth), while China’s USD 9.0 B net-import gap marks it the foremost market to sell into.</w:t>
      </w:r>
    </w:p>
    <w:p>
      <w:pPr>
        <w:pStyle w:val="Heading2"/>
      </w:pPr>
      <w:r>
        <w:t xml:space="preserve">3.5  Conversational AI analyst</w:t>
      </w:r>
    </w:p>
    <w:p>
      <w:pPr>
        <w:spacing w:after="140" w:line="276"/>
        <w:jc w:val="both"/>
      </w:pPr>
      <w:r>
        <w:t xml:space="preserve">A conversational analyst is implemented using a large language model (Claude) with tool use. The agent is granted tools over both domains — trade queries (top_countries, country_profile, country_trend, trade_corridors, region_breakdown), social queries (social_search, social_overview, product_sentiment), and the fused source_to_sell engine, plus amazon_reviews and google_trends tools. It is instructed to obtain every figure from a tool rather than from memory, eliminating fabricated statistics, so it can answer a cross-domain question such as “does K-beauty’s social momentum match Korea’s export growth?” by invoking a trade tool and a social tool and synthesising the result.</w:t>
      </w:r>
    </w:p>
    <w:p>
      <w:pPr>
        <w:pStyle w:val="Heading1"/>
      </w:pPr>
      <w:r>
        <w:t xml:space="preserve">4.  Data Used</w:t>
      </w:r>
    </w:p>
    <w:p>
      <w:pPr>
        <w:spacing w:after="140" w:line="276"/>
        <w:jc w:val="both"/>
      </w:pPr>
      <w:r>
        <w:t xml:space="preserve">The interim build is grounded entirely in real data; no figures are mocked. Table 2 inventories the datasets currently flowing through the pipeline, their provenance, access method, and present scale.</w:t>
      </w:r>
    </w:p>
    <w:p>
      <w:pPr>
        <w:spacing w:after="100" w:before="60"/>
      </w:pPr>
      <w:r>
        <w:rPr>
          <w:b/>
          <w:bCs/>
          <w:color w:val="1F3B73"/>
          <w:sz w:val="20"/>
          <w:szCs w:val="20"/>
        </w:rPr>
        <w:t xml:space="preserve">Table 2.  Datasets in the interim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rPr>
          <w:tblHeader/>
        </w:trPr>
        <w:tc>
          <w:tcPr>
            <w:tcW w:type="dxa" w:w="22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Dataset</w:t>
            </w:r>
          </w:p>
        </w:tc>
        <w:tc>
          <w:tcPr>
            <w:tcW w:type="dxa" w:w="22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Source</w:t>
            </w:r>
          </w:p>
        </w:tc>
        <w:tc>
          <w:tcPr>
            <w:tcW w:type="dxa" w:w="31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Access &amp; contents</w:t>
            </w:r>
          </w:p>
        </w:tc>
        <w:tc>
          <w:tcPr>
            <w:tcW w:type="dxa" w:w="18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Scale</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Trade (HS 3304)</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UN Comtrade (official customs statistics)</w:t>
            </w:r>
          </w:p>
        </w:tc>
        <w:tc>
          <w:tcPr>
            <w:tcW w:type="dxa" w:w="3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Public API; country export/import totals + bilateral flows, 2018–2024.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~22.3 K bilateral rows; ~1.1 K country-year rows</w:t>
            </w:r>
          </w:p>
        </w:tc>
      </w:tr>
      <w:tr>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Social conversation</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Reddit (3 skincare subreddits)</w:t>
            </w:r>
          </w:p>
        </w:tc>
        <w:tc>
          <w:tcPr>
            <w:tcW w:type="dxa" w:w="31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API/historical dump; posts + comments with entity extraction &amp; sentiment.</w:t>
            </w:r>
          </w:p>
        </w:tc>
        <w:tc>
          <w:tcPr>
            <w:tcW w:type="dxa" w:w="18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1,463 posts; 11,791 comments; 9,015 links</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Amazon reviews</w:t>
            </w:r>
          </w:p>
        </w:tc>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Amazon product reviews (export)</w:t>
            </w:r>
          </w:p>
        </w:tc>
        <w:tc>
          <w:tcPr>
            <w:tcW w:type="dxa" w:w="31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Compiled per product; ratings, aspect negatives, VoC quotes.</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3 anchor categories</w:t>
            </w:r>
          </w:p>
        </w:tc>
      </w:tr>
      <w:tr>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Google Trends</w:t>
            </w:r>
          </w:p>
        </w:tc>
        <w:tc>
          <w:tcPr>
            <w:tcW w:type="dxa" w:w="22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Google Trends API</w:t>
            </w:r>
          </w:p>
        </w:tc>
        <w:tc>
          <w:tcPr>
            <w:tcW w:type="dxa" w:w="31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Weekly search interest 0–100; HK &amp; JP; category + brand momentum.</w:t>
            </w:r>
          </w:p>
        </w:tc>
        <w:tc>
          <w:tcPr>
            <w:tcW w:type="dxa" w:w="18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~4.4 K timeseries rows; 42 metrics</w:t>
            </w:r>
          </w:p>
        </w:tc>
      </w:tr>
    </w:tbl>
    <w:p>
      <w:pPr>
        <w:spacing w:after="200" w:before="80"/>
      </w:pPr>
      <w:r>
        <w:rPr>
          <w:i/>
          <w:iCs/>
          <w:color w:val="555555"/>
          <w:sz w:val="18"/>
          <w:szCs w:val="18"/>
        </w:rPr>
        <w:t xml:space="preserve">All datasets are publicly sourced and processed under a source-agnostic schema; user-generated content is anonymised.</w:t>
      </w:r>
    </w:p>
    <w:p>
      <w:pPr>
        <w:spacing w:after="140" w:line="276"/>
        <w:jc w:val="both"/>
      </w:pPr>
      <w:r>
        <w:rPr>
          <w:b/>
          <w:bCs/>
        </w:rPr>
        <w:t xml:space="preserve">Compliance. </w:t>
      </w:r>
      <w:r>
        <w:t xml:space="preserve">All collection complies with platform terms of service and robots.txt; only publicly visible data is collected, and user-generated data is anonymised. By reconstructing the trade layer from authoritative open records rather than scraping a paywalled aggregator, the project avoids the redistribution and copyright constraints that would otherwise block productisation.</w:t>
      </w:r>
    </w:p>
    <w:p>
      <w:pPr>
        <w:pStyle w:val="Heading1"/>
      </w:pPr>
      <w:r>
        <w:t xml:space="preserve">5.  Core Functionality Delivered</w:t>
      </w:r>
    </w:p>
    <w:p>
      <w:pPr>
        <w:spacing w:after="140" w:line="276"/>
        <w:jc w:val="both"/>
      </w:pPr>
      <w:r>
        <w:t xml:space="preserve">The following capabilities are working end-to-end in the interim build and are demonstrable on the live project site:</w:t>
      </w:r>
    </w:p>
    <w:p>
      <w:pPr>
        <w:pStyle w:val="ListParagraph"/>
        <w:numPr>
          <w:ilvl w:val="0"/>
          <w:numId w:val="2"/>
        </w:numPr>
        <w:spacing w:after="80" w:line="268"/>
      </w:pPr>
      <w:r>
        <w:rPr>
          <w:b/>
          <w:bCs/>
        </w:rPr>
        <w:t xml:space="preserve">Trade Intelligence dashboard — </w:t>
      </w:r>
      <w:r>
        <w:t xml:space="preserve">headline KPIs, a D3/TopoJSON geographic choropleth with directional flow arcs, a bilateral trade matrix, ranked corridors, and automatically generated opportunity cards (fastest-growing import markets, largest net-import gaps).</w:t>
      </w:r>
    </w:p>
    <w:p>
      <w:pPr>
        <w:pStyle w:val="ListParagraph"/>
        <w:numPr>
          <w:ilvl w:val="0"/>
          <w:numId w:val="2"/>
        </w:numPr>
        <w:spacing w:after="80" w:line="268"/>
      </w:pPr>
      <w:r>
        <w:rPr>
          <w:b/>
          <w:bCs/>
        </w:rPr>
        <w:t xml:space="preserve">Social Discovery — </w:t>
      </w:r>
      <w:r>
        <w:t xml:space="preserve">a query such as “oily skin remover” resolves to the relevant category and returns ranked posts (each with post and discussion sentiment), the products and ingredients people mention, and launch-opportunity cards ranking categories by conversation volume and unmet need.</w:t>
      </w:r>
    </w:p>
    <w:p>
      <w:pPr>
        <w:pStyle w:val="ListParagraph"/>
        <w:numPr>
          <w:ilvl w:val="0"/>
          <w:numId w:val="2"/>
        </w:numPr>
        <w:spacing w:after="80" w:line="268"/>
      </w:pPr>
      <w:r>
        <w:rPr>
          <w:b/>
          <w:bCs/>
        </w:rPr>
        <w:t xml:space="preserve">Category detail pages — </w:t>
      </w:r>
      <w:r>
        <w:t xml:space="preserve">per category, an Amazon Reviews Intelligence panel, a real Google Trends momentum panel, and the Reddit conversation, framed for a sourcer persona.</w:t>
      </w:r>
    </w:p>
    <w:p>
      <w:pPr>
        <w:pStyle w:val="ListParagraph"/>
        <w:numPr>
          <w:ilvl w:val="0"/>
          <w:numId w:val="2"/>
        </w:numPr>
        <w:spacing w:after="80" w:line="268"/>
      </w:pPr>
      <w:r>
        <w:rPr>
          <w:b/>
          <w:bCs/>
        </w:rPr>
        <w:t xml:space="preserve">Source-to-Sell fusion — </w:t>
      </w:r>
      <w:r>
        <w:t xml:space="preserve">per-category source→sell routes derived from brand-origin joins between social demand and country trade flows.</w:t>
      </w:r>
    </w:p>
    <w:p>
      <w:pPr>
        <w:pStyle w:val="ListParagraph"/>
        <w:numPr>
          <w:ilvl w:val="0"/>
          <w:numId w:val="2"/>
        </w:numPr>
        <w:spacing w:after="80" w:line="268"/>
      </w:pPr>
      <w:r>
        <w:rPr>
          <w:b/>
          <w:bCs/>
        </w:rPr>
        <w:t xml:space="preserve">AI analyst — </w:t>
      </w:r>
      <w:r>
        <w:t xml:space="preserve">a tool-using Claude agent that answers cross-domain questions over all four data sources without inventing numbers.</w:t>
      </w:r>
    </w:p>
    <w:p>
      <w:pPr>
        <w:pStyle w:val="Heading1"/>
      </w:pPr>
      <w:r>
        <w:t xml:space="preserve">6.  Engineering and Methodological Highlights</w:t>
      </w:r>
    </w:p>
    <w:p>
      <w:pPr>
        <w:spacing w:after="140" w:line="276"/>
        <w:jc w:val="both"/>
      </w:pPr>
      <w:r>
        <w:t xml:space="preserve">Two episodes from this reporting period are worth recording because they generalise. First, the sentence-level sentiment correction (Section 3.2) is a reusable lesson about lexicon methods on long text and materially improved the validity of every downstream product score. Second, the bilateral-flow paging strategy (Section 3.1) shows that the analytically useful content of an expensive commercial aggregator can be reconstructed, at the country level, from a rate-limited free endpoint with careful query design — the economic premise of the whole project. Both were achieved within a Python/pandas processing stack with a D3, Chart.js, and Flask presentation and service layer.</w:t>
      </w:r>
    </w:p>
    <w:p>
      <w:pPr>
        <w:pStyle w:val="Heading1"/>
      </w:pPr>
      <w:r>
        <w:t xml:space="preserve">7.  This Is an Interim Build</w:t>
      </w:r>
    </w:p>
    <w:p>
      <w:pPr>
        <w:spacing w:after="140" w:line="276"/>
        <w:jc w:val="both"/>
      </w:pPr>
      <w:r>
        <w:t xml:space="preserve">It bears emphasis that the deliverable described above is a midpoint prototype whose explicit goal was to validate the core data and analytics hypothesis on a single anchor category, end to end. It does so. The platform is interrogable, grounded in real data, and produces decision-useful output unavailable from either signal alone. What it is not yet is a production product — and the gap is concrete and itemised next, rather than open-ended.</w:t>
      </w:r>
    </w:p>
    <w:p>
      <w:pPr>
        <w:pStyle w:val="Heading1"/>
      </w:pPr>
      <w:r>
        <w:t xml:space="preserve">8.  Scope Remaining for the Final Product</w:t>
      </w:r>
    </w:p>
    <w:p>
      <w:pPr>
        <w:spacing w:after="140" w:line="276"/>
        <w:jc w:val="both"/>
      </w:pPr>
      <w:r>
        <w:t xml:space="preserve">The following five workstreams separate the validated prototype from the final deliverable. Each is additive on top of the existing source-agnostic architecture (Section 2.1) rather than a redesign.</w:t>
      </w:r>
    </w:p>
    <w:p>
      <w:pPr>
        <w:spacing w:after="100" w:before="60"/>
      </w:pPr>
      <w:r>
        <w:rPr>
          <w:b/>
          <w:bCs/>
          <w:color w:val="1F3B73"/>
          <w:sz w:val="20"/>
          <w:szCs w:val="20"/>
        </w:rPr>
        <w:t xml:space="preserve">Table 3.  Interim vs. final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Capability</w:t>
            </w:r>
          </w:p>
        </w:tc>
        <w:tc>
          <w:tcPr>
            <w:tcW w:type="dxa" w:w="348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Interim build (now)</w:t>
            </w:r>
          </w:p>
        </w:tc>
        <w:tc>
          <w:tcPr>
            <w:tcW w:type="dxa" w:w="348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Final product (planned)</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Data pipeline</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Collectors run manually / by script; ingestion is operator-triggered.</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Fully automated, scheduled pipeline (Ingestion Task + Analytics Task in Figure 1) running unattended on a cadence.</w:t>
            </w:r>
          </w:p>
        </w:tc>
      </w:tr>
      <w:tr>
        <w:tc>
          <w:tcPr>
            <w:tcW w:type="dxa" w:w="2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Data coverage</w:t>
            </w:r>
          </w:p>
        </w:tc>
        <w:tc>
          <w:tcPr>
            <w:tcW w:type="dxa" w:w="348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One anchor category (skincare, HS 3304); two demand markets in Trends; three subreddits.</w:t>
            </w:r>
          </w:p>
        </w:tc>
        <w:tc>
          <w:tcPr>
            <w:tcW w:type="dxa" w:w="348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Extended datasets spanning more countries and additional cosmetic product categories (e.g. HS 3303 perfume, 3305 hair, 3307 shaving/deodorant).</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Persistence</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Versioned CSV and JSON flat files.</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 real managed database with authentication, replacing flat-file ingestion and supporting concurrent queries and history.</w:t>
            </w:r>
          </w:p>
        </w:tc>
      </w:tr>
      <w:tr>
        <w:tc>
          <w:tcPr>
            <w:tcW w:type="dxa" w:w="2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Data integration</w:t>
            </w:r>
          </w:p>
        </w:tc>
        <w:tc>
          <w:tcPr>
            <w:tcW w:type="dxa" w:w="348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Fusion links social and trade via brand origin; trends and reviews are presented alongside.</w:t>
            </w:r>
          </w:p>
        </w:tc>
        <w:tc>
          <w:tcPr>
            <w:tcW w:type="dxa" w:w="348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All signals tied together into a single reconciled model yielding more actionable, prescriptive recommendations.</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Intelligence layer</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 tool-using analyst that answers questions on demand.</w:t>
            </w:r>
          </w:p>
        </w:tc>
        <w:tc>
          <w:tcPr>
            <w:tcW w:type="dxa" w:w="348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An intelligent BI AI agent that autonomously analyses the fused data and proposes opportunities — moving from descriptive/answer-on-demand to prescriptive/proactive.</w:t>
            </w:r>
          </w:p>
        </w:tc>
      </w:tr>
    </w:tbl>
    <w:p>
      <w:pPr>
        <w:spacing w:after="200" w:before="80"/>
      </w:pPr>
      <w:r>
        <w:rPr>
          <w:i/>
          <w:iCs/>
          <w:color w:val="555555"/>
          <w:sz w:val="18"/>
          <w:szCs w:val="18"/>
        </w:rPr>
        <w:t xml:space="preserve">The interim architecture was chosen specifically so that each final-product column is reachable additively, not by rebuild.</w:t>
      </w:r>
    </w:p>
    <w:p>
      <w:pPr>
        <w:pStyle w:val="Heading1"/>
      </w:pPr>
      <w:r>
        <w:t xml:space="preserve">9.  Roadmap to Final Delivery</w:t>
      </w:r>
    </w:p>
    <w:p>
      <w:pPr>
        <w:spacing w:after="140" w:line="276"/>
        <w:jc w:val="both"/>
      </w:pPr>
      <w:r>
        <w:t xml:space="preserve">The remaining timeline is sequenced to retire risk in the order the dependencies demand:</w:t>
      </w:r>
    </w:p>
    <w:p>
      <w:pPr>
        <w:pStyle w:val="ListParagraph"/>
        <w:numPr>
          <w:ilvl w:val="0"/>
          <w:numId w:val="2"/>
        </w:numPr>
        <w:spacing w:after="80" w:line="268"/>
      </w:pPr>
      <w:r>
        <w:rPr>
          <w:b/>
          <w:bCs/>
        </w:rPr>
        <w:t xml:space="preserve">Automate ingestion. </w:t>
      </w:r>
      <w:r>
        <w:t xml:space="preserve">Promote the manual collectors to a scheduled pipeline (the two scheduler nodes in Figure 1), with run logging and idempotent writes.</w:t>
      </w:r>
    </w:p>
    <w:p>
      <w:pPr>
        <w:pStyle w:val="ListParagraph"/>
        <w:numPr>
          <w:ilvl w:val="0"/>
          <w:numId w:val="2"/>
        </w:numPr>
        <w:spacing w:after="80" w:line="268"/>
      </w:pPr>
      <w:r>
        <w:rPr>
          <w:b/>
          <w:bCs/>
        </w:rPr>
        <w:t xml:space="preserve">Stand up the database. </w:t>
      </w:r>
      <w:r>
        <w:t xml:space="preserve">Migrate the flat-file store to a managed database behind the existing source-agnostic schema, so query and presentation layers are unaffected.</w:t>
      </w:r>
    </w:p>
    <w:p>
      <w:pPr>
        <w:pStyle w:val="ListParagraph"/>
        <w:numPr>
          <w:ilvl w:val="0"/>
          <w:numId w:val="2"/>
        </w:numPr>
        <w:spacing w:after="80" w:line="268"/>
      </w:pPr>
      <w:r>
        <w:rPr>
          <w:b/>
          <w:bCs/>
        </w:rPr>
        <w:t xml:space="preserve">Broaden coverage. </w:t>
      </w:r>
      <w:r>
        <w:t xml:space="preserve">Add adjacent HS codes and additional cosmetic categories, and extend Google Trends and review coverage to more markets.</w:t>
      </w:r>
    </w:p>
    <w:p>
      <w:pPr>
        <w:pStyle w:val="ListParagraph"/>
        <w:numPr>
          <w:ilvl w:val="0"/>
          <w:numId w:val="2"/>
        </w:numPr>
        <w:spacing w:after="80" w:line="268"/>
      </w:pPr>
      <w:r>
        <w:rPr>
          <w:b/>
          <w:bCs/>
        </w:rPr>
        <w:t xml:space="preserve">Deepen integration. </w:t>
      </w:r>
      <w:r>
        <w:t xml:space="preserve">Reconcile all four signals into one model and add unsupervised clustering to surface emerging needs automatically.</w:t>
      </w:r>
    </w:p>
    <w:p>
      <w:pPr>
        <w:pStyle w:val="ListParagraph"/>
        <w:numPr>
          <w:ilvl w:val="0"/>
          <w:numId w:val="2"/>
        </w:numPr>
        <w:spacing w:after="80" w:line="268"/>
      </w:pPr>
      <w:r>
        <w:rPr>
          <w:b/>
          <w:bCs/>
        </w:rPr>
        <w:t xml:space="preserve">Elevate the agent. </w:t>
      </w:r>
      <w:r>
        <w:t xml:space="preserve">Extend the analyst into a proactive BI agent that scans the fused data on a schedule and proposes ranked opportunities with supporting evidence.</w:t>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Risk</w:t>
            </w:r>
          </w:p>
        </w:tc>
        <w:tc>
          <w:tcPr>
            <w:tcW w:type="dxa" w:w="14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Likelihood</w:t>
            </w:r>
          </w:p>
        </w:tc>
        <w:tc>
          <w:tcPr>
            <w:tcW w:type="dxa" w:w="53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Mitigation</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Data-source compliance / scraping limits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Medium</w:t>
            </w:r>
          </w:p>
        </w:tc>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Favour official open sources (UN Comtrade) and compliant collectors; anonymise user content; respect robots.txt and rate limits.</w:t>
            </w:r>
          </w:p>
        </w:tc>
      </w:tr>
      <w:tr>
        <w:tc>
          <w:tcPr>
            <w:tcW w:type="dxa" w:w="26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Sentiment accuracy on noisy text</w:t>
            </w:r>
          </w:p>
        </w:tc>
        <w:tc>
          <w:tcPr>
            <w:tcW w:type="dxa" w:w="1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Medium</w:t>
            </w:r>
          </w:p>
        </w:tc>
        <w:tc>
          <w:tcPr>
            <w:tcW w:type="dxa" w:w="5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Sentence-level scoring with local context binding (done); plan aspect-based sentiment and confidence display.</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Free-tier API caps (Comtrade, Trends)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Medium</w:t>
            </w:r>
          </w:p>
        </w:tc>
        <w:tc>
          <w:tcPr>
            <w:tcW w:type="dxa" w:w="5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Paged query design (done); add a free API key to unlock deeper endpoints for the final build.</w:t>
            </w:r>
          </w:p>
        </w:tc>
      </w:tr>
      <w:tr>
        <w:tc>
          <w:tcPr>
            <w:tcW w:type="dxa" w:w="26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Schema drift as sources are added</w:t>
            </w:r>
          </w:p>
        </w:tc>
        <w:tc>
          <w:tcPr>
            <w:tcW w:type="dxa" w:w="14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Low</w:t>
            </w:r>
          </w:p>
        </w:tc>
        <w:tc>
          <w:tcPr>
            <w:tcW w:type="dxa" w:w="5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Source-agnostic record shape enforced at the collector boundary, isolating downstream layers.</w:t>
            </w:r>
          </w:p>
        </w:tc>
      </w:tr>
    </w:tbl>
    <w:p>
      <w:pPr>
        <w:pStyle w:val="Heading1"/>
      </w:pPr>
      <w:r>
        <w:t xml:space="preserve">11.  Conclusion</w:t>
      </w:r>
    </w:p>
    <w:p>
      <w:pPr>
        <w:spacing w:after="140" w:line="276"/>
        <w:jc w:val="both"/>
      </w:pPr>
      <w:r>
        <w:t xml:space="preserve">At the project midpoint, Product Scout has validated its founding hypothesis on a single anchor category, end to end. Authoritative open trade data and social-media sentiment have been combined, through a brand-origin fusion layer, into a single interrogable instrument that produces source-to-sell intelligence unavailable from either signal alone — and every figure is grounded in real, compliantly sourced data. The remaining work is well-defined and additive: automate the ingestion pipeline, migrate to a managed database, broaden category and geographic coverage, tie all signals into one reconciled model, and elevate the conversational analyst into a proactive business-intelligence agent that not only analyses but proposes. The interim architecture was designed precisely so that this path is incremental, and the team is on track to deliver it.</w:t>
      </w:r>
    </w:p>
    <w:p>
      <w:pPr>
        <w:pStyle w:val="Heading1"/>
      </w:pPr>
      <w:r>
        <w:t xml:space="preserve">References</w:t>
      </w:r>
    </w:p>
    <w:p>
      <w:pPr>
        <w:spacing w:after="100" w:line="264"/>
        <w:ind w:left="360" w:hanging="360"/>
      </w:pPr>
      <w:r>
        <w:rPr>
          <w:sz w:val="20"/>
          <w:szCs w:val="20"/>
        </w:rPr>
        <w:t xml:space="preserve">Hutto, C. J., &amp; Gilbert, E. E. (2014). VADER: A Parsimonious Rule-based Model for Sentiment Analysis of Social Media Text. Proc. Eighth Int. AAAI Conf. on Weblogs and Social Media (ICWSM-14).</w:t>
      </w:r>
    </w:p>
    <w:p>
      <w:pPr>
        <w:spacing w:after="100" w:line="264"/>
        <w:ind w:left="360" w:hanging="360"/>
      </w:pPr>
      <w:r>
        <w:rPr>
          <w:sz w:val="20"/>
          <w:szCs w:val="20"/>
        </w:rPr>
        <w:t xml:space="preserve">McKinney, W. (2010). Data Structures for Statistical Computing in Python. Proc. 9th Python in Science Conf., 56–61.</w:t>
      </w:r>
    </w:p>
    <w:p>
      <w:pPr>
        <w:spacing w:after="100" w:line="264"/>
        <w:ind w:left="360" w:hanging="360"/>
      </w:pPr>
      <w:r>
        <w:rPr>
          <w:sz w:val="20"/>
          <w:szCs w:val="20"/>
        </w:rPr>
        <w:t xml:space="preserve">United Nations Statistics Division. (2025). UN Comtrade Database. https://comtradeplus.un.org.</w:t>
      </w:r>
    </w:p>
    <w:p>
      <w:pPr>
        <w:spacing w:after="100" w:line="264"/>
        <w:ind w:left="360" w:hanging="360"/>
      </w:pPr>
      <w:r>
        <w:rPr>
          <w:sz w:val="20"/>
          <w:szCs w:val="20"/>
        </w:rPr>
        <w:t xml:space="preserve">World Customs Organization. (2022). Harmonized Commodity Description and Coding System (HS Nomenclature), heading 3304.</w:t>
      </w:r>
    </w:p>
    <w:p>
      <w:pPr>
        <w:spacing w:after="100" w:line="264"/>
        <w:ind w:left="360" w:hanging="360"/>
      </w:pPr>
      <w:r>
        <w:rPr>
          <w:sz w:val="20"/>
          <w:szCs w:val="20"/>
        </w:rPr>
        <w:t xml:space="preserve">Anthropic. (2024). Tool use (function calling) with Claude. Anthropic API documentation.</w:t>
      </w:r>
    </w:p>
    <w:p>
      <w:r>
        <w:br w:type="page"/>
      </w:r>
    </w:p>
    <w:p>
      <w:pPr>
        <w:pStyle w:val="Heading1"/>
      </w:pPr>
      <w:r>
        <w:t xml:space="preserve">Appendix A.  Product Walkthrough</w:t>
      </w:r>
    </w:p>
    <w:p>
      <w:pPr>
        <w:spacing w:after="140" w:line="276"/>
        <w:jc w:val="both"/>
      </w:pPr>
      <w:r>
        <w:t xml:space="preserve">This appendix documents the interim build as it appears to a user, with one annotated screenshot per major surface. Together they evidence the end-to-end flow of Figure 1, from acquisition through to the delivery layer (the dashboard). All figures show real, compliantly sourced data.</w:t>
      </w:r>
    </w:p>
    <w:p>
      <w:pPr>
        <w:spacing w:after="60" w:before="80"/>
        <w:jc w:val="center"/>
      </w:pPr>
      <w:r>
        <w:drawing>
          <wp:inline distT="0" distB="0" distL="0" distR="0">
            <wp:extent cx="5715000" cy="3667125"/>
            <wp:effectExtent t="0" r="0" b="0" l="0"/>
            <wp:docPr id="1" name="fig_a_social_landing.png" descr="Social Discovery — category browser and launch opportunities" title="Social Discovery — category browser and launch opport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67125"/>
                    </a:xfrm>
                    <a:prstGeom prst="rect">
                      <a:avLst/>
                    </a:prstGeom>
                  </pic:spPr>
                </pic:pic>
              </a:graphicData>
            </a:graphic>
          </wp:inline>
        </w:drawing>
      </w:r>
    </w:p>
    <w:p>
      <w:pPr>
        <w:spacing w:after="40" w:before="40"/>
        <w:jc w:val="center"/>
      </w:pPr>
      <w:r>
        <w:rPr>
          <w:b/>
          <w:bCs/>
          <w:color w:val="1F3B73"/>
          <w:sz w:val="20"/>
          <w:szCs w:val="20"/>
        </w:rPr>
        <w:t xml:space="preserve">Figure A1.  Social Discovery — category browser and launch opportunities</w:t>
      </w:r>
    </w:p>
    <w:p>
      <w:pPr>
        <w:spacing w:after="220"/>
        <w:jc w:val="both"/>
      </w:pPr>
      <w:r>
        <w:rPr>
          <w:i/>
          <w:iCs/>
          <w:color w:val="555555"/>
          <w:sz w:val="20"/>
          <w:szCs w:val="20"/>
        </w:rPr>
        <w:t xml:space="preserve">The entry surface for the demand signal. A free-text search resolves a need (e.g. “oily skin remover”) to a category; below, 14 skincare categories are tiled with conversation volume, drawn from 1,463 posts and 11,791 comments across three subreddits. The Launch Opportunities panel ranks categories by volume and unmet need, tagging each as “room to differentiate” or “unmet need” — the prototype’s first prescriptive output.</w:t>
      </w:r>
    </w:p>
    <w:p>
      <w:pPr>
        <w:spacing w:after="60" w:before="80"/>
        <w:jc w:val="center"/>
      </w:pPr>
      <w:r>
        <w:drawing>
          <wp:inline distT="0" distB="0" distL="0" distR="0">
            <wp:extent cx="5715000" cy="3667125"/>
            <wp:effectExtent t="0" r="0" b="0" l="0"/>
            <wp:docPr id="1" name="fig_e_ai_panel.png" descr="Product Scout AI — the cross-domain analyst" title="Product Scout AI — the cross-domain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67125"/>
                    </a:xfrm>
                    <a:prstGeom prst="rect">
                      <a:avLst/>
                    </a:prstGeom>
                  </pic:spPr>
                </pic:pic>
              </a:graphicData>
            </a:graphic>
          </wp:inline>
        </w:drawing>
      </w:r>
    </w:p>
    <w:p>
      <w:pPr>
        <w:spacing w:after="40" w:before="40"/>
        <w:jc w:val="center"/>
      </w:pPr>
      <w:r>
        <w:rPr>
          <w:b/>
          <w:bCs/>
          <w:color w:val="1F3B73"/>
          <w:sz w:val="20"/>
          <w:szCs w:val="20"/>
        </w:rPr>
        <w:t xml:space="preserve">Figure A2.  Product Scout AI — the cross-domain analyst</w:t>
      </w:r>
    </w:p>
    <w:p>
      <w:pPr>
        <w:spacing w:after="220"/>
        <w:jc w:val="both"/>
      </w:pPr>
      <w:r>
        <w:rPr>
          <w:i/>
          <w:iCs/>
          <w:color w:val="555555"/>
          <w:sz w:val="20"/>
          <w:szCs w:val="20"/>
        </w:rPr>
        <w:t xml:space="preserve">The conversational analyst, opened from any page. It reasons across both datasets at once — UN Comtrade trade (exports/imports, growth, corridors) and Reddit social sentiment — and its stated edge is connecting them, e.g. “where social buzz meets a trade gap.” Suggested prompts (“Does K-beauty social buzz match Korea’s export growth?”, “CeraVe sentiment vs US trade balance”) illustrate the cross-domain questions it answers by calling tools rather than inventing figures.</w:t>
      </w:r>
    </w:p>
    <w:p>
      <w:pPr>
        <w:spacing w:after="60" w:before="80"/>
        <w:jc w:val="center"/>
      </w:pPr>
      <w:r>
        <w:drawing>
          <wp:inline distT="0" distB="0" distL="0" distR="0">
            <wp:extent cx="5715000" cy="3667125"/>
            <wp:effectExtent t="0" r="0" b="0" l="0"/>
            <wp:docPr id="1" name="fig_b_category.png" descr="Category detail — Amazon Reviews Intelligence" title="Category detail — Amazon Reviews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67125"/>
                    </a:xfrm>
                    <a:prstGeom prst="rect">
                      <a:avLst/>
                    </a:prstGeom>
                  </pic:spPr>
                </pic:pic>
              </a:graphicData>
            </a:graphic>
          </wp:inline>
        </w:drawing>
      </w:r>
    </w:p>
    <w:p>
      <w:pPr>
        <w:spacing w:after="40" w:before="40"/>
        <w:jc w:val="center"/>
      </w:pPr>
      <w:r>
        <w:rPr>
          <w:b/>
          <w:bCs/>
          <w:color w:val="1F3B73"/>
          <w:sz w:val="20"/>
          <w:szCs w:val="20"/>
        </w:rPr>
        <w:t xml:space="preserve">Figure A3.  Category detail — Amazon Reviews Intelligence</w:t>
      </w:r>
    </w:p>
    <w:p>
      <w:pPr>
        <w:spacing w:after="220"/>
        <w:jc w:val="both"/>
      </w:pPr>
      <w:r>
        <w:rPr>
          <w:i/>
          <w:iCs/>
          <w:color w:val="555555"/>
          <w:sz w:val="20"/>
          <w:szCs w:val="20"/>
        </w:rPr>
        <w:t xml:space="preserve">Clicking a category opens a sourcer-oriented detail page. The Amazon Reviews Intelligence panel compiles weighted average rating (4.66★), products tracked, total ratings (reach), the top shared pain point (here “skin irritation”, 46.9% negative over 1,127 mentions — a sourcing opportunity), and a best-in-class benchmark (CeraVe). The “sample export; live scraping pending” tag is an honest marker of interim scope.</w:t>
      </w:r>
    </w:p>
    <w:p>
      <w:pPr>
        <w:spacing w:after="60" w:before="80"/>
        <w:jc w:val="center"/>
      </w:pPr>
      <w:r>
        <w:drawing>
          <wp:inline distT="0" distB="0" distL="0" distR="0">
            <wp:extent cx="5715000" cy="3667125"/>
            <wp:effectExtent t="0" r="0" b="0" l="0"/>
            <wp:docPr id="1" name="fig_c_trends_reddit.png" descr="Category detail — Google Trends momentum and Reddit conversation" title="Category detail — Google Trends momentum and Reddit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67125"/>
                    </a:xfrm>
                    <a:prstGeom prst="rect">
                      <a:avLst/>
                    </a:prstGeom>
                  </pic:spPr>
                </pic:pic>
              </a:graphicData>
            </a:graphic>
          </wp:inline>
        </w:drawing>
      </w:r>
    </w:p>
    <w:p>
      <w:pPr>
        <w:spacing w:after="40" w:before="40"/>
        <w:jc w:val="center"/>
      </w:pPr>
      <w:r>
        <w:rPr>
          <w:b/>
          <w:bCs/>
          <w:color w:val="1F3B73"/>
          <w:sz w:val="20"/>
          <w:szCs w:val="20"/>
        </w:rPr>
        <w:t xml:space="preserve">Figure A4.  Category detail — Google Trends momentum and Reddit conversation</w:t>
      </w:r>
    </w:p>
    <w:p>
      <w:pPr>
        <w:spacing w:after="220"/>
        <w:jc w:val="both"/>
      </w:pPr>
      <w:r>
        <w:rPr>
          <w:i/>
          <w:iCs/>
          <w:color w:val="555555"/>
          <w:sz w:val="20"/>
          <w:szCs w:val="20"/>
        </w:rPr>
        <w:t xml:space="preserve">The same page continues with a real Google Trends panel: weekly search interest (0–100) with a Hong Kong / Japan toggle, 3-month momentum and YoY deltas, rising sub-categories (e.g. “barrier cream” +1803%), and brand momentum (Laneige, CeraVe). Below, the Reddit conversation surfaces the matched discussion with per-post VADER sentiment and mentioned brands — the sentence-level scoring described in Section 3.2.</w:t>
      </w:r>
    </w:p>
    <w:p>
      <w:pPr>
        <w:spacing w:after="60" w:before="80"/>
        <w:jc w:val="center"/>
      </w:pPr>
      <w:r>
        <w:drawing>
          <wp:inline distT="0" distB="0" distL="0" distR="0">
            <wp:extent cx="5715000" cy="3667125"/>
            <wp:effectExtent t="0" r="0" b="0" l="0"/>
            <wp:docPr id="1" name="fig_d_trade.png" descr="Trade Intelligence — global HS 3304 dashboard" title="Trade Intelligence — global HS 3304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67125"/>
                    </a:xfrm>
                    <a:prstGeom prst="rect">
                      <a:avLst/>
                    </a:prstGeom>
                  </pic:spPr>
                </pic:pic>
              </a:graphicData>
            </a:graphic>
          </wp:inline>
        </w:drawing>
      </w:r>
    </w:p>
    <w:p>
      <w:pPr>
        <w:spacing w:after="40" w:before="40"/>
        <w:jc w:val="center"/>
      </w:pPr>
      <w:r>
        <w:rPr>
          <w:b/>
          <w:bCs/>
          <w:color w:val="1F3B73"/>
          <w:sz w:val="20"/>
          <w:szCs w:val="20"/>
        </w:rPr>
        <w:t xml:space="preserve">Figure A5.  Trade Intelligence — global HS 3304 dashboard</w:t>
      </w:r>
    </w:p>
    <w:p>
      <w:pPr>
        <w:spacing w:after="220"/>
        <w:jc w:val="both"/>
      </w:pPr>
      <w:r>
        <w:rPr>
          <w:i/>
          <w:iCs/>
          <w:color w:val="555555"/>
          <w:sz w:val="20"/>
          <w:szCs w:val="20"/>
        </w:rPr>
        <w:t xml:space="preserve">The supply-side surface, built entirely on UN Comtrade data for HS 3304. Headline KPIs (USD 72.7 B exports, USD 70.8 B imports, 3.5% CAGR, 3,300 tracked corridors) sit above a D3/TopoJSON choropleth with directional flow arcs, and ranked Top-10 exporter and importer tables (France #1 exporter; China #1 importer). Tabs expose historical trends, the bilateral matrix, and computed opportunities.</w:t>
      </w:r>
    </w:p>
    <w:p>
      <w:pPr>
        <w:pStyle w:val="Heading1"/>
      </w:pPr>
      <w:r>
        <w:t xml:space="preserve">Appendix B.  Artifact Index</w:t>
      </w:r>
    </w:p>
    <w:p>
      <w:pPr>
        <w:spacing w:after="140" w:line="276"/>
        <w:jc w:val="both"/>
      </w:pPr>
      <w:r>
        <w:t xml:space="preserve">For reference, the principal artifacts produced by the project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Artifact</w:t>
            </w:r>
          </w:p>
        </w:tc>
        <w:tc>
          <w:tcPr>
            <w:tcW w:type="dxa" w:w="6360"/>
            <w:tcBorders>
              <w:top w:val="single" w:color="BFBFBF" w:sz="1"/>
              <w:left w:val="single" w:color="BFBFBF" w:sz="1"/>
              <w:bottom w:val="single" w:color="BFBFBF" w:sz="1"/>
              <w:right w:val="single" w:color="BFBFBF" w:sz="1"/>
            </w:tcBorders>
            <w:shd w:fill="1F3B73" w:val="clear"/>
            <w:tcMar>
              <w:top w:type="dxa" w:w="60"/>
              <w:left w:type="dxa" w:w="120"/>
              <w:bottom w:type="dxa" w:w="60"/>
              <w:right w:type="dxa" w:w="120"/>
            </w:tcMar>
            <w:vAlign w:val="center"/>
          </w:tcPr>
          <w:p>
            <w:r>
              <w:rPr>
                <w:b/>
                <w:bCs/>
                <w:color w:val="FFFFFF"/>
                <w:sz w:val="20"/>
                <w:szCs w:val="20"/>
              </w:rPr>
              <w:t xml:space="preserve">Description</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Figure 1 — pipeline diagram</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Reference architecture: acquisition → persistence → analytics → delivery.</w:t>
            </w:r>
          </w:p>
        </w:tc>
      </w:tr>
      <w:tr>
        <w:tc>
          <w:tcPr>
            <w:tcW w:type="dxa" w:w="30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Social Discovery module</w:t>
            </w:r>
          </w:p>
        </w:tc>
        <w:tc>
          <w:tcPr>
            <w:tcW w:type="dxa" w:w="6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Category browser, query interface, launch opportunities (Figure A1).</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AI analyst agent</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Tool-using cross-domain Claude agent over all four datasets (Figure A2).</w:t>
            </w:r>
          </w:p>
        </w:tc>
      </w:tr>
      <w:tr>
        <w:tc>
          <w:tcPr>
            <w:tcW w:type="dxa" w:w="30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Category detail pages</w:t>
            </w:r>
          </w:p>
        </w:tc>
        <w:tc>
          <w:tcPr>
            <w:tcW w:type="dxa" w:w="6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Amazon reviews + Google Trends + Reddit per category (Figures A3–A4).</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Trade Intelligence dashboard</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UN Comtrade HS 3304 analytics: map, KPIs, corridors, opportunities (Figure A5).</w:t>
            </w:r>
          </w:p>
        </w:tc>
      </w:tr>
      <w:tr>
        <w:tc>
          <w:tcPr>
            <w:tcW w:type="dxa" w:w="300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Source-to-Sell fusion</w:t>
            </w:r>
          </w:p>
        </w:tc>
        <w:tc>
          <w:tcPr>
            <w:tcW w:type="dxa" w:w="6360"/>
            <w:tcBorders>
              <w:top w:val="single" w:color="BFBFBF" w:sz="1"/>
              <w:left w:val="single" w:color="BFBFBF" w:sz="1"/>
              <w:bottom w:val="single" w:color="BFBFBF" w:sz="1"/>
              <w:right w:val="single" w:color="BFBFBF" w:sz="1"/>
            </w:tcBorders>
            <w:shd w:fill="EAF1F7" w:val="clear"/>
            <w:tcMar>
              <w:top w:type="dxa" w:w="60"/>
              <w:left w:type="dxa" w:w="120"/>
              <w:bottom w:type="dxa" w:w="60"/>
              <w:right w:type="dxa" w:w="120"/>
            </w:tcMar>
            <w:vAlign w:val="center"/>
          </w:tcPr>
          <w:p>
            <w:pPr>
              <w:spacing w:after="0" w:line="252"/>
            </w:pPr>
            <w:r>
              <w:rPr>
                <w:sz w:val="20"/>
                <w:szCs w:val="20"/>
              </w:rPr>
              <w:t xml:space="preserve">Brand-origin join linking social demand to country trade flows.</w:t>
            </w:r>
          </w:p>
        </w:tc>
      </w:tr>
      <w:tr>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Processed datasets</w:t>
            </w:r>
          </w:p>
        </w:tc>
        <w:tc>
          <w:tcPr>
            <w:tcW w:type="dxa" w:w="63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spacing w:after="0" w:line="252"/>
            </w:pPr>
            <w:r>
              <w:rPr>
                <w:sz w:val="20"/>
                <w:szCs w:val="20"/>
              </w:rPr>
              <w:t xml:space="preserve">UN Comtrade (~22.3 K bilateral rows), Reddit (1,463 posts / 11,791 comments / 9,015 links), Amazon reviews (3 categories), Google Trends (~4.4 K rows).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55555"/>
        <w:sz w:val="16"/>
        <w:szCs w:val="16"/>
      </w:rPr>
      <w:t xml:space="preserve">Product Scout — Interim Project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B73"/>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96131caeed6476dcd13c329a4804e23dfff527.png"/><Relationship Id="rId10" Type="http://schemas.openxmlformats.org/officeDocument/2006/relationships/image" Target="media/76d9c5e99ffe318ea3f6a796fab722fcd2477a37.png"/><Relationship Id="rId11" Type="http://schemas.openxmlformats.org/officeDocument/2006/relationships/image" Target="media/10521cdb14e5183dfbc7a3139cf15974ee1e43c4.png"/><Relationship Id="rId12" Type="http://schemas.openxmlformats.org/officeDocument/2006/relationships/image" Target="media/6ace86d4e04b2cecb1556eeba38e611c425bb2e3.png"/><Relationship Id="rId13" Type="http://schemas.openxmlformats.org/officeDocument/2006/relationships/image" Target="media/29025b0bef07ae6c7893dab226e56f80df71b259.png"/><Relationship Id="rId14" Type="http://schemas.openxmlformats.org/officeDocument/2006/relationships/image" Target="media/9560e4bac0adcc1d7bb6e666f53f01b21970ba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Scout — Interim Project Update</dc:title>
  <dc:creator>Product Scout Team</dc:creator>
  <cp:lastModifiedBy>Un-named</cp:lastModifiedBy>
  <cp:revision>1</cp:revision>
  <dcterms:created xsi:type="dcterms:W3CDTF">2026-05-31T15:12:19.082Z</dcterms:created>
  <dcterms:modified xsi:type="dcterms:W3CDTF">2026-05-31T15:12:19.086Z</dcterms:modified>
</cp:coreProperties>
</file>

<file path=docProps/custom.xml><?xml version="1.0" encoding="utf-8"?>
<Properties xmlns="http://schemas.openxmlformats.org/officeDocument/2006/custom-properties" xmlns:vt="http://schemas.openxmlformats.org/officeDocument/2006/docPropsVTypes"/>
</file>