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Unicode MS" w:hAnsi="Arial Unicode MS" w:eastAsia="Arial Unicode MS"/>
          <w:b/>
          <w:color w:val="111827"/>
          <w:sz w:val="48"/>
        </w:rPr>
        <w:t>参考样机固件信息采集与核对清单</w:t>
      </w:r>
    </w:p>
    <w:p>
      <w:pPr>
        <w:spacing w:after="320"/>
      </w:pPr>
      <w:r>
        <w:rPr>
          <w:rFonts w:ascii="Arial Unicode MS" w:hAnsi="Arial Unicode MS" w:eastAsia="Arial Unicode MS"/>
          <w:color w:val="667085"/>
          <w:sz w:val="26"/>
        </w:rPr>
        <w:t>低中频治疗仪 | 参考样机表征、固件输入提取与差异评估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560"/>
        <w:gridCol w:w="3120"/>
        <w:gridCol w:w="1560"/>
        <w:gridCol w:w="3120"/>
      </w:tblGrid>
      <w:tr>
        <w:trPr>
          <w:cantSplit/>
          <w:tblHeader w:val="true"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文档编号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LMFES-REF-FW-001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版本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编制角色</w:t>
            </w:r>
          </w:p>
        </w:tc>
        <w:tc>
          <w:tcPr>
            <w:tcW w:type="dxa" w:w="31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嵌入式固件工程师</w:t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日期</w:t>
            </w:r>
          </w:p>
        </w:tc>
        <w:tc>
          <w:tcPr>
            <w:tcW w:type="dxa" w:w="31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2026-07-31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参考样机型号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________________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样机序列号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硬件/固件基线</w:t>
            </w:r>
          </w:p>
        </w:tc>
        <w:tc>
          <w:tcPr>
            <w:tcW w:type="dxa" w:w="31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________________</w:t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负责人/复核人</w:t>
            </w:r>
          </w:p>
        </w:tc>
        <w:tc>
          <w:tcPr>
            <w:tcW w:type="dxa" w:w="31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 w:val="clear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 xml:space="preserve">使用原则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先非侵入记录，再外部测量，最后拆机追线。参考样机特性不能自动成为本项目需求；每项结论必须标记为“采用、调整后采用、仅作参考、不采用或待评审”。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 w:val="clear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7A4F00"/>
                <w:sz w:val="21"/>
              </w:rPr>
              <w:t xml:space="preserve">安全边界  </w:t>
            </w:r>
            <w:r>
              <w:rPr>
                <w:rFonts w:ascii="Arial Unicode MS" w:hAnsi="Arial Unicode MS" w:eastAsia="Arial Unicode MS"/>
                <w:color w:val="7A4F00"/>
                <w:sz w:val="21"/>
              </w:rPr>
              <w:t>所有电刺激输出测量均使用纯电阻假负载和高压差分探头；禁止连接人体，禁止把普通示波器地夹直接接到浮地电极输出。拆机或总线探测前先确认电压等级和公共地。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使用方法和完成判定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F2937"/>
          <w:sz w:val="22"/>
        </w:rPr>
        <w:t>每个测试记录必须绑定样机型号、序列号、硬件版本、固件版本、处方库版本和测试日期。波形、照片、逻辑分析仪文件及测试脚本使用唯一编号，并在对应记录表中引用。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560"/>
        <w:gridCol w:w="5460"/>
        <w:gridCol w:w="2340"/>
      </w:tblGrid>
      <w:tr>
        <w:trPr>
          <w:cantSplit/>
          <w:tblHeader w:val="true"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定义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允许进入下一阶段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未开始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尚未操作或无可追溯证据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进行中</w:t>
            </w:r>
          </w:p>
        </w:tc>
        <w:tc>
          <w:tcPr>
            <w:tcW w:type="dxa" w:w="5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已有初步结果，但参数、版本或证据不完整</w:t>
            </w:r>
          </w:p>
        </w:tc>
        <w:tc>
          <w:tcPr>
            <w:tcW w:type="dxa" w:w="23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已完成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测量重复性满足要求，原始证据已归档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不适用</w:t>
            </w:r>
          </w:p>
        </w:tc>
        <w:tc>
          <w:tcPr>
            <w:tcW w:type="dxa" w:w="5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经项目评审确认与本项目无关</w:t>
            </w:r>
          </w:p>
        </w:tc>
        <w:tc>
          <w:tcPr>
            <w:tcW w:type="dxa" w:w="23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待评审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结果已取得，但是否纳入设计需产品/硬件/法规确认</w:t>
            </w:r>
          </w:p>
        </w:tc>
        <w:tc>
          <w:tcPr>
            <w:tcW w:type="dxa" w:w="23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有条件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样机基线资料</w:t>
      </w:r>
    </w:p>
    <w:p>
      <w:pPr>
        <w:pStyle w:val="Heading2"/>
        <w:keepNext/>
      </w:pPr>
      <w:r>
        <w:t>2.1 现成资料索取清单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680"/>
        <w:gridCol w:w="5000"/>
        <w:gridCol w:w="216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采集项目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核对要求与记录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用户说明书与快速操作手册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确认正常工作流、提示和异常处置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产品规格书/产品技术要求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获取频率、脉宽、强度、负载和容差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处方列表及完整参数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至少包含处方ID、波形、频率、脉宽、强度、时间和通断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软件/固件版本发布记录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建立测试基线并识别版本差异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主机与模块接口/协议说明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确认通信、电气接口和兼容性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原理图、BOM及PCB位号图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用于硬件接口和驱动设计参考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固件升级包及操作说明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分析Bootloader、校验、回滚和版本规则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维修手册与故障码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建立故障检测和恢复矩阵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出厂测试与校准规范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提取校准点、存储格式及EOL测试需求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充电、电池和保养资料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提取充电阈值、续航、运输及寿命要求</w:t>
              <w:br/>
              <w:t>证据/记录：________________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样机版本与配置记录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180"/>
        <w:gridCol w:w="1740"/>
        <w:gridCol w:w="1300"/>
        <w:gridCol w:w="1800"/>
        <w:gridCol w:w="1500"/>
        <w:gridCol w:w="1840"/>
      </w:tblGrid>
      <w:tr>
        <w:trPr>
          <w:cantSplit/>
          <w:tblHeader w:val="true"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样机/模块编号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型号/序列号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硬件版本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固件/软件版本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处方库版本</w:t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非侵入式功能与状态机分析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F2937"/>
          <w:sz w:val="22"/>
        </w:rPr>
        <w:t>先在不拆机、不接人体的条件下完整记录操作行为。每个场景至少执行三次，确认显示、输出、安全状态及掉电保存行为一致。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380"/>
        <w:gridCol w:w="2580"/>
        <w:gridCol w:w="1160"/>
        <w:gridCol w:w="1320"/>
        <w:gridCol w:w="1320"/>
        <w:gridCol w:w="108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序号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事件/场景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重点观察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屏幕/声音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输出行为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持久化/恢复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证据编号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长按开机/自检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屏幕、蜂鸣、输出默认关闭、自检失败行为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空闲/待机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显示内容、背光、休眠、自动关机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处方选择或接收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处方ID、参数显示、版本/兼容性提示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开始治疗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启动条件、默认强度、输出建立延迟和渐变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增加/降低强度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短按、长按、连续按、边界及单调性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暂停/恢复/停止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输出归零时间、恢复条件、强度是否保留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治疗到时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自动停止、提示、计时精度和后续状态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输出开路/接触不良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检测延迟、提示、升压行为和恢复方式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输出短路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保护时间、锁存、自动重试及恢复条件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低电量/欠压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报警点、强制停机点和重新启动条件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11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治疗中复位/掉电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输出关闭、复位原因、是否自动恢复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卡键/同时按键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持续调强、锁定或隐藏功能风险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13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治疗中放入充电座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硬件和软件互锁、强度清零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从充电座取下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是否保持停止、是否保留处方/时间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恢复出厂设置</w:t>
            </w:r>
          </w:p>
        </w:tc>
        <w:tc>
          <w:tcPr>
            <w:tcW w:type="dxa" w:w="2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清除范围、版本/校准数据是否保留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参考状态机结论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200"/>
        <w:gridCol w:w="1800"/>
        <w:gridCol w:w="1620"/>
        <w:gridCol w:w="1320"/>
        <w:gridCol w:w="1980"/>
        <w:gridCol w:w="1440"/>
      </w:tblGrid>
      <w:tr>
        <w:trPr>
          <w:cantSplit/>
          <w:tblHeader w:val="true"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允许操作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输出状态</w:t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退出/故障条件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本项目处理</w:t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________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9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输出波形与负载特性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4E5" w:val="clear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7A4F00"/>
                <w:sz w:val="21"/>
              </w:rPr>
              <w:t xml:space="preserve">测试顺序  </w:t>
            </w:r>
            <w:r>
              <w:rPr>
                <w:rFonts w:ascii="Arial Unicode MS" w:hAnsi="Arial Unicode MS" w:eastAsia="Arial Unicode MS"/>
                <w:color w:val="7A4F00"/>
                <w:sz w:val="21"/>
              </w:rPr>
              <w:t>最低档开始；依次使用2 kΩ、1 kΩ、500 Ω及开路负载。先确认驱动前级和输出总使能，再进行电极端测量。所有测试均记录示波器设置、探头衰减比和负载实测阻值。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测试覆盖矩阵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660"/>
        <w:gridCol w:w="850"/>
        <w:gridCol w:w="850"/>
        <w:gridCol w:w="850"/>
        <w:gridCol w:w="850"/>
        <w:gridCol w:w="850"/>
        <w:gridCol w:w="850"/>
        <w:gridCol w:w="850"/>
        <w:gridCol w:w="1750"/>
      </w:tblGrid>
      <w:tr>
        <w:trPr>
          <w:cantSplit/>
          <w:tblHeader w:val="true"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处方/模式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最低档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中间档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最高档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500 Ω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1 kΩ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2 kΩ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开路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启动/调强/停止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03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04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05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06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07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08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09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10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11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处方 12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单次波形测量记录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760"/>
        <w:gridCol w:w="1000"/>
        <w:gridCol w:w="720"/>
        <w:gridCol w:w="560"/>
        <w:gridCol w:w="620"/>
        <w:gridCol w:w="700"/>
        <w:gridCol w:w="700"/>
        <w:gridCol w:w="900"/>
        <w:gridCol w:w="920"/>
        <w:gridCol w:w="650"/>
        <w:gridCol w:w="1080"/>
        <w:gridCol w:w="750"/>
      </w:tblGrid>
      <w:tr>
        <w:trPr>
          <w:cantSplit/>
          <w:tblHeader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测试ID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样机/FW</w:t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处方ID</w:t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档位</w:t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负载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波形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频率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正/负脉宽</w:t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Vpk+/Vpk-</w:t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Ipk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DC/电荷平衡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WV-003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WV-004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WV-005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WV-006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WV-007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WV-008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WV-009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WV-010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WV-011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WV-012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WV-013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WV-014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WV-015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WV-016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WV-017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WV-018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9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恒流/恒压判断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F2937"/>
          <w:sz w:val="22"/>
        </w:rPr>
        <w:t>使用负载两端差分电压计算电流 I = VR / R。不同负载下电流基本不变时偏恒流；电压基本不变时偏恒压；高阻时电流下降表示达到合规电压上限。结论必须基于多个强度档位和至少三个负载点。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320"/>
        <w:gridCol w:w="1320"/>
        <w:gridCol w:w="1320"/>
        <w:gridCol w:w="1320"/>
        <w:gridCol w:w="1320"/>
        <w:gridCol w:w="1200"/>
        <w:gridCol w:w="1560"/>
      </w:tblGrid>
      <w:tr>
        <w:trPr>
          <w:cantSplit/>
          <w:tblHeader w:val="true"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档位/处方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500 Ω: V/I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1 kΩ: V/I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2 kΩ: V/I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开路峰值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判定</w:t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合规电压/拐点</w:t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5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充电座接口与通信分析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F2937"/>
          <w:sz w:val="22"/>
        </w:rPr>
        <w:t>现有样机底板标注可见SCL、SDA、ADDR1/ADDR2/ADDR3、+5VOUT和GND，优先按“疑似I²C/SMBus加槽位地址”进行验证，不在确认电平前直接连接逻辑分析仪。</w:t>
      </w:r>
    </w:p>
    <w:p>
      <w:pPr>
        <w:pStyle w:val="Heading2"/>
        <w:keepNext/>
      </w:pPr>
      <w:r>
        <w:t>5.1 电气与协议核对清单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680"/>
        <w:gridCol w:w="5000"/>
        <w:gridCol w:w="216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采集项目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核对要求与记录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接口电压与公共地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测量SCL/SDA高电平、确认3.3 V或5 V及地参考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引脚定义和方向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确认电源、地、SCL、SDA及ADDR引脚实际连接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总线拓扑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判断共享总线、独立总线、复用器或每槽独立控制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总线速率和地址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记录时钟频率、7/10位地址和ACK行为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槽位地址规则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确认ADDR1~3与槽位编号的对应关系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模块识别过程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插入、轮询、读取版本和序列号的交易序列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处方传输格式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区分处方编号、完整参数或波形表；记录长度、CRC和确认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掉电持久化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确认写入后是否保存、写入中断电是否保留旧版本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升级接口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确认是否通过该接口升级、校验、回滚和版本兼容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充电与通信并发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确认充电、满电和故障时能否通信及互锁行为</w:t>
              <w:br/>
              <w:t>证据/记录：________________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抓取场景记录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840"/>
        <w:gridCol w:w="1540"/>
        <w:gridCol w:w="1320"/>
        <w:gridCol w:w="740"/>
        <w:gridCol w:w="1900"/>
        <w:gridCol w:w="1100"/>
        <w:gridCol w:w="1040"/>
        <w:gridCol w:w="880"/>
      </w:tblGrid>
      <w:tr>
        <w:trPr>
          <w:cantSplit/>
          <w:tblHeader w:val="true"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场景ID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总线电平/速率</w:t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地址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主要命令/寄存器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响应/CRC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抓包文件</w:t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IF-01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空槽位开机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IF-02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插入单个模块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IF-03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识别模块编号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IF-04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开始充电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IF-05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主机下发处方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IF-06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修改处方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IF-07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写入中拔出模块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IF-08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充满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IF-09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充电故障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IF-10</w:t>
            </w:r>
          </w:p>
        </w:tc>
        <w:tc>
          <w:tcPr>
            <w:tcW w:type="dxa" w:w="1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固件升级（如支持）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拆机与硬件接口信息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 w:val="clear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1F2937"/>
                <w:sz w:val="21"/>
              </w:rPr>
              <w:t xml:space="preserve">样机保护  </w:t>
            </w:r>
            <w:r>
              <w:rPr>
                <w:rFonts w:ascii="Arial Unicode MS" w:hAnsi="Arial Unicode MS" w:eastAsia="Arial Unicode MS"/>
                <w:color w:val="1F2937"/>
                <w:sz w:val="21"/>
              </w:rPr>
              <w:t>若条件允许保留一台完整基准机，另一台用于拆解。拆解前对外观、连接器方向、线束、屏蔽和螺钉位置逐层拍照并编号。不得尝试绕过MCU读保护。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芯片与BOM登记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700"/>
        <w:gridCol w:w="1500"/>
        <w:gridCol w:w="900"/>
        <w:gridCol w:w="1400"/>
        <w:gridCol w:w="760"/>
        <w:gridCol w:w="1720"/>
        <w:gridCol w:w="1200"/>
        <w:gridCol w:w="1180"/>
      </w:tblGrid>
      <w:tr>
        <w:trPr>
          <w:cantSplit/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位号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丝印/完整型号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封装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推定功能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供电</w:t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关键引脚/网络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数据手册</w:t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可信度/待确认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U/Q/D/R7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U/Q/D/R8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U/Q/D/R9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U/Q/D/R10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U/Q/D/R11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U/Q/D/R12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U/Q/D/R13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U/Q/D/R14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U/Q/D/R15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U/Q/D/R16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MCU及基础资源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680"/>
        <w:gridCol w:w="5000"/>
        <w:gridCol w:w="216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采集项目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核对要求与记录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MCU完整型号与封装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记录Flash、RAM、主频、定时器、ADC/DAC和FPU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晶振与时钟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记录外部晶振、RTC及关键时钟来源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调试/下载接口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确认SWD/JTAG/UART、Boot脚及测试点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复位与看门狗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确认外部复位、欠压检测和独立看门狗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外部存储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记录Flash/EEPROM容量、总线、写保护和用途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显示与按键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记录接口、背光、唤醒、上下拉和有效电平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蜂鸣器/指示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记录驱动方式和提示映射</w:t>
              <w:br/>
              <w:t>证据/记录：________________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固件-硬件接口表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400"/>
        <w:gridCol w:w="1000"/>
        <w:gridCol w:w="1100"/>
        <w:gridCol w:w="1300"/>
        <w:gridCol w:w="1100"/>
        <w:gridCol w:w="1380"/>
        <w:gridCol w:w="1380"/>
        <w:gridCol w:w="700"/>
      </w:tblGrid>
      <w:tr>
        <w:trPr>
          <w:cantSplit/>
          <w:tblHeader w:val="true"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信号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MCU引脚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方向/外设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有效电平/范围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上电默认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用途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安全要求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输出总使能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升压使能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正相/负相控制A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正相/负相控制B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幅度PWM/DAC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电流采样ADC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电压采样ADC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硬件故障输入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充电检测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电池电压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按键+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按键-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开关/功能键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LCD接口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蜂鸣器/背光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调试接口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安全与故障注入矩阵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DECEC" w:val="clear"/>
          </w:tcPr>
          <w:p>
            <w:pPr>
              <w:spacing w:after="0" w:line="283" w:lineRule="auto"/>
            </w:pPr>
            <w:r>
              <w:rPr>
                <w:rFonts w:ascii="Arial Unicode MS" w:hAnsi="Arial Unicode MS" w:eastAsia="Arial Unicode MS"/>
                <w:b/>
                <w:color w:val="8B1E1E"/>
                <w:sz w:val="21"/>
              </w:rPr>
              <w:t xml:space="preserve">执行条件  </w:t>
            </w:r>
            <w:r>
              <w:rPr>
                <w:rFonts w:ascii="Arial Unicode MS" w:hAnsi="Arial Unicode MS" w:eastAsia="Arial Unicode MS"/>
                <w:color w:val="8B1E1E"/>
                <w:sz w:val="21"/>
              </w:rPr>
              <w:t>故障注入必须在假负载、限流供电和可快速断电条件下进行。先验证硬件保护，再验证固件检测、提示、锁存和恢复；不得用人体感受代替测量。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760"/>
        <w:gridCol w:w="1420"/>
        <w:gridCol w:w="1420"/>
        <w:gridCol w:w="1040"/>
        <w:gridCol w:w="1080"/>
        <w:gridCol w:w="1080"/>
        <w:gridCol w:w="1020"/>
        <w:gridCol w:w="1040"/>
        <w:gridCol w:w="500"/>
      </w:tblGrid>
      <w:tr>
        <w:trPr>
          <w:cantSplit/>
          <w:tblHeader w:val="true"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故障ID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故障场景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注入方法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硬件保护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固件检测时间</w:t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输出关闭时间</w:t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提示/日志</w:t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锁存/恢复</w:t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FT-01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输出开路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FT-02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输出短路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FT-03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接触阻抗突变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FT-04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电池欠压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FT-05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治疗中复位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FT-06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看门狗复位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FT-07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按键卡住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FT-08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两个按键同时按下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FT-09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充电触点抖动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FT-10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治疗中放入槽位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FT-11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参数超范围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FT-12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通信中断（如适用）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  <w:tr>
        <w:trPr>
          <w:cantSplit/>
        </w:trPr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FT-13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升级中断电（如适用）</w:t>
            </w:r>
          </w:p>
        </w:tc>
        <w:tc>
          <w:tcPr>
            <w:tcW w:type="dxa" w:w="14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10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  <w:tc>
          <w:tcPr>
            <w:tcW w:type="dxa" w:w="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安全状态真值表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320"/>
        <w:gridCol w:w="1200"/>
        <w:gridCol w:w="900"/>
        <w:gridCol w:w="1400"/>
        <w:gridCol w:w="1480"/>
        <w:gridCol w:w="1600"/>
        <w:gridCol w:w="1460"/>
      </w:tblGrid>
      <w:tr>
        <w:trPr>
          <w:cantSplit/>
          <w:tblHeader w:val="true"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输出使能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强度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升压/H桥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允许自动恢复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参考样机行为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本项目决策</w:t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上电/自检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空闲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</w:t>
            </w:r>
          </w:p>
        </w:tc>
        <w:tc>
          <w:tcPr>
            <w:tcW w:type="dxa" w:w="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治疗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受控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设定值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受控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—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暂停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</w:t>
            </w:r>
          </w:p>
        </w:tc>
        <w:tc>
          <w:tcPr>
            <w:tcW w:type="dxa" w:w="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待确认</w:t>
            </w:r>
          </w:p>
        </w:tc>
        <w:tc>
          <w:tcPr>
            <w:tcW w:type="dxa" w:w="14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人工确认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故障/看门狗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清零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充电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硬件+软件关闭</w:t>
            </w:r>
          </w:p>
        </w:tc>
        <w:tc>
          <w:tcPr>
            <w:tcW w:type="dxa" w:w="9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升级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关闭/安全组合</w:t>
            </w:r>
          </w:p>
        </w:tc>
        <w:tc>
          <w:tcPr>
            <w:tcW w:type="dxa" w:w="1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电池、功耗与充电特性</w:t>
      </w:r>
    </w:p>
    <w:p>
      <w:pPr>
        <w:pStyle w:val="Heading2"/>
        <w:keepNext/>
      </w:pPr>
      <w:r>
        <w:t>8.1 电池和充电信息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680"/>
        <w:gridCol w:w="5000"/>
        <w:gridCol w:w="216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采集项目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核对要求与记录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电池型号、化学体系和容量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记录额定/满充电压、保护板和连接方式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充电芯片及充电电流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记录预充、恒流、恒压、终止和再充条件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欠压和强制停机阈值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分别测量报警点、输出禁止点和关机点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充电互锁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验证充电时硬件与软件均禁止治疗输出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电量估算方法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区分电压查表、库仑计或Fuel Gauge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休眠和唤醒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记录休眠条件、唤醒源和恢复时间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续航和热特性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最低/典型/最大处方下测量电流、温升和续航</w:t>
              <w:br/>
              <w:t>证据/记录：________________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功耗测量记录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780"/>
        <w:gridCol w:w="1600"/>
        <w:gridCol w:w="1000"/>
        <w:gridCol w:w="1000"/>
        <w:gridCol w:w="1000"/>
        <w:gridCol w:w="820"/>
        <w:gridCol w:w="1000"/>
        <w:gridCol w:w="1000"/>
        <w:gridCol w:w="1160"/>
      </w:tblGrid>
      <w:tr>
        <w:trPr>
          <w:cantSplit/>
          <w:tblHeader w:val="true"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测试ID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状态/处方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电池电压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平均电流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峰值电流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温度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持续时间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估算续航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证据/备注</w:t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PW-02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PW-04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PW-06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PW-08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PW-10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PW-11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PW-12</w:t>
            </w:r>
          </w:p>
        </w:tc>
        <w:tc>
          <w:tcPr>
            <w:tcW w:type="dxa" w:w="16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充电过程记录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780"/>
        <w:gridCol w:w="1320"/>
        <w:gridCol w:w="1000"/>
        <w:gridCol w:w="1460"/>
        <w:gridCol w:w="1160"/>
        <w:gridCol w:w="1000"/>
        <w:gridCol w:w="820"/>
        <w:gridCol w:w="1100"/>
        <w:gridCol w:w="720"/>
      </w:tblGrid>
      <w:tr>
        <w:trPr>
          <w:cantSplit/>
          <w:tblHeader w:val="true"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测试ID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初始电量/电压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输入电压</w:t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充电电流曲线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终止条件</w:t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充电时间</w:t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温升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异常/保护</w:t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CH-01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CH-02</w:t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CH-03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CH-04</w:t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CH-05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CH-06</w:t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CH-07</w:t>
            </w:r>
          </w:p>
        </w:tc>
        <w:tc>
          <w:tcPr>
            <w:tcW w:type="dxa" w:w="13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7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CH-08</w:t>
            </w:r>
          </w:p>
        </w:tc>
        <w:tc>
          <w:tcPr>
            <w:tcW w:type="dxa" w:w="13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7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9. 差异评估与固件输入转化</w:t>
      </w:r>
    </w:p>
    <w:p>
      <w:pPr>
        <w:keepNext w:val="0"/>
        <w:spacing w:before="0" w:after="120" w:line="300" w:lineRule="auto"/>
        <w:jc w:val="left"/>
      </w:pPr>
      <w:r>
        <w:rPr>
          <w:rFonts w:ascii="Arial Unicode MS" w:hAnsi="Arial Unicode MS" w:eastAsia="Arial Unicode MS"/>
          <w:b w:val="0"/>
          <w:i w:val="0"/>
          <w:color w:val="1F2937"/>
          <w:sz w:val="22"/>
        </w:rPr>
        <w:t>参考样机结论必须与本项目产品需求、风险分析及硬件实现进行比较。不得仅凭参考机行为直接固化参数或安全策略。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800"/>
        <w:gridCol w:w="1800"/>
        <w:gridCol w:w="1700"/>
        <w:gridCol w:w="1600"/>
        <w:gridCol w:w="1400"/>
        <w:gridCol w:w="900"/>
        <w:gridCol w:w="1160"/>
      </w:tblGrid>
      <w:tr>
        <w:trPr>
          <w:cantSplit/>
          <w:tblHeader w:val="true"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差异ID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参考样机特性/测量值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本项目需求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差异与风险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处理结论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责任人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关闭证据</w:t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DF-018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□采用 □调整 □参考 □不采用 □待评审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固件输入登记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820"/>
        <w:gridCol w:w="1380"/>
        <w:gridCol w:w="2200"/>
        <w:gridCol w:w="1100"/>
        <w:gridCol w:w="1500"/>
        <w:gridCol w:w="1500"/>
        <w:gridCol w:w="860"/>
      </w:tblGrid>
      <w:tr>
        <w:trPr>
          <w:cantSplit/>
          <w:tblHeader w:val="true"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输入ID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来源证据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固件需求/约束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适用模块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接口/参数影响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验证方法</w:t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FI-001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FI-002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FI-003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FI-004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FI-005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FI-006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FI-007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FI-008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FI-009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FI-010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FI-011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FI-012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FI-013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FI-014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  <w:tr>
        <w:trPr>
          <w:cantSplit/>
        </w:trPr>
        <w:tc>
          <w:tcPr>
            <w:tcW w:type="dxa" w:w="8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FI-015</w:t>
            </w:r>
          </w:p>
        </w:tc>
        <w:tc>
          <w:tcPr>
            <w:tcW w:type="dxa" w:w="13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</w:r>
          </w:p>
        </w:tc>
        <w:tc>
          <w:tcPr>
            <w:tcW w:type="dxa" w:w="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□开放 □关闭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三周执行计划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000"/>
        <w:gridCol w:w="2940"/>
        <w:gridCol w:w="2300"/>
        <w:gridCol w:w="3120"/>
      </w:tblGrid>
      <w:tr>
        <w:trPr>
          <w:cantSplit/>
          <w:tblHeader w:val="true"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主要工作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输出/完成条件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W1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资料索取；版本基线；完整操作流程；状态机和按键行为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完整样机、说明书、版本信息、假负载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状态机初版；版本清单；场景证据归档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W2</w:t>
            </w:r>
          </w:p>
        </w:tc>
        <w:tc>
          <w:tcPr>
            <w:tcW w:type="dxa" w:w="294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波形、档位和负载扫描；充电座接口抓取；功耗测量</w:t>
            </w:r>
          </w:p>
        </w:tc>
        <w:tc>
          <w:tcPr>
            <w:tcW w:type="dxa" w:w="2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差分探头、示波器、逻辑分析仪、500 Ω/1 kΩ/2 kΩ负载</w:t>
            </w:r>
          </w:p>
        </w:tc>
        <w:tc>
          <w:tcPr>
            <w:tcW w:type="dxa" w:w="31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波形数据库；恒流/恒压结论；协议抓包</w:t>
            </w:r>
          </w:p>
        </w:tc>
      </w:tr>
      <w:tr>
        <w:trPr>
          <w:cantSplit/>
        </w:trP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W3</w:t>
            </w:r>
          </w:p>
        </w:tc>
        <w:tc>
          <w:tcPr>
            <w:tcW w:type="dxa" w:w="29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拆机拍照；芯片/BOM登记；关键网络追踪；故障注入；差异评审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拆机工具、万用表、原理图/BOM（如有）、硬件协助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接口表；安全矩阵；差异表；固件输入清单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最终交付物核对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520"/>
        <w:gridCol w:w="1680"/>
        <w:gridCol w:w="5000"/>
        <w:gridCol w:w="2160"/>
      </w:tblGrid>
      <w:tr>
        <w:trPr>
          <w:cantSplit/>
          <w:tblHeader w:val="true"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完成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采集项目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核对要求与记录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参考样机版本与配置清单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版本、序列号、处方库和测试证据可追溯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功能及状态机说明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覆盖正常、异常、充电和复位状态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处方与输出波形测量数据库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包含负载、档位、频率、脉宽、电压、电流和截图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强度档位-电压/电流对应表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至少覆盖500 Ω、1 kΩ和2 kΩ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硬件框图和MCU接口表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输出、采样、按键、显示、电池和调试接口完整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故障注入和安全行为矩阵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包含关闭时间、锁存、提示和恢复条件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P0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参考样机与本项目差异表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每项有处理结论和责任人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充电座接口与通信分析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电气、地址、命令、CRC、持久化和升级结论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功耗、电池和充电特性报告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包含典型/最不利工况和互锁</w:t>
              <w:br/>
              <w:t>证据/记录：________________</w:t>
            </w:r>
          </w:p>
        </w:tc>
      </w:tr>
      <w:tr>
        <w:trPr>
          <w:cantSplit/>
        </w:trPr>
        <w:tc>
          <w:tcPr>
            <w:tcW w:type="dxa" w:w="52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□</w:t>
            </w:r>
          </w:p>
        </w:tc>
        <w:tc>
          <w:tcPr>
            <w:tcW w:type="dxa" w:w="168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P1</w:t>
            </w:r>
          </w:p>
        </w:tc>
        <w:tc>
          <w:tcPr>
            <w:tcW w:type="dxa" w:w="50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固件需求输入及追溯表</w:t>
            </w:r>
          </w:p>
        </w:tc>
        <w:tc>
          <w:tcPr>
            <w:tcW w:type="dxa" w:w="2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可纳入SRS、架构、详细设计和测试用例</w:t>
              <w:br/>
              <w:t>证据/记录：________________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评审签署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7CDD4"/>
          <w:left w:val="single" w:sz="6" w:space="0" w:color="C7CDD4"/>
          <w:bottom w:val="single" w:sz="6" w:space="0" w:color="C7CDD4"/>
          <w:right w:val="single" w:sz="6" w:space="0" w:color="C7CDD4"/>
          <w:insideH w:val="single" w:sz="6" w:space="0" w:color="C7CDD4"/>
          <w:insideV w:val="single" w:sz="6" w:space="0" w:color="C7CDD4"/>
        </w:tblBorders>
      </w:tblPr>
      <w:tblGrid>
        <w:gridCol w:w="1500"/>
        <w:gridCol w:w="1200"/>
        <w:gridCol w:w="1300"/>
        <w:gridCol w:w="3100"/>
        <w:gridCol w:w="1100"/>
        <w:gridCol w:w="1160"/>
      </w:tblGrid>
      <w:tr>
        <w:trPr>
          <w:cantSplit/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评审角色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结论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遗留问题/限制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签名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嵌入式固件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硬件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Linux上位机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系统/产品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测试/质量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  <w:tr>
        <w:trPr>
          <w:cantSplit/>
        </w:trPr>
        <w:tc>
          <w:tcPr>
            <w:tcW w:type="dxa" w:w="15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法规/风险</w:t>
            </w:r>
          </w:p>
        </w:tc>
        <w:tc>
          <w:tcPr>
            <w:tcW w:type="dxa" w:w="12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3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□通过 □有条件 □不通过</w:t>
            </w:r>
          </w:p>
        </w:tc>
        <w:tc>
          <w:tcPr>
            <w:tcW w:type="dxa" w:w="3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0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  <w:tc>
          <w:tcPr>
            <w:tcW w:type="dxa" w:w="1160"/>
            <w:shd w:fill="FAFBFC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22"/>
        </w:rPr>
        <w:t>文档结束。原始波形、照片、抓包、测量数据和脚本应按证据编号存入项目受控目录，不嵌入本清单，以避免文档过大并保持版本可追溯。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0"/>
      <w:gridCol w:w="3360"/>
    </w:tblGrid>
    <w:tr>
      <w:trPr>
        <w:cantSplit/>
      </w:trPr>
      <w:tc>
        <w:tcPr>
          <w:tcW w:type="dxa" w:w="60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Arial Unicode MS" w:hAnsi="Arial Unicode MS" w:eastAsia="Arial Unicode MS"/>
              <w:color w:val="667085"/>
              <w:sz w:val="17"/>
            </w:rPr>
            <w:t>LMFES-REF-FW-001  |  V1.0</w:t>
          </w:r>
        </w:p>
      </w:tc>
      <w:tc>
        <w:tcPr>
          <w:tcW w:type="dxa" w:w="336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Arial Unicode MS" w:hAnsi="Arial Unicode MS" w:eastAsia="Arial Unicode MS"/>
              <w:color w:val="667085"/>
              <w:sz w:val="17"/>
            </w:rPr>
            <w:t xml:space="preserve">第 </w:t>
          </w:r>
          <w:r>
            <w:rPr>
              <w:rFonts w:ascii="Arial Unicode MS" w:hAnsi="Arial Unicode MS" w:eastAsia="Arial Unicode MS"/>
              <w:color w:val="667085"/>
              <w:sz w:val="17"/>
            </w:rPr>
            <w:fldChar w:fldCharType="begin"/>
            <w:instrText xml:space="preserve">PAGE</w:instrText>
            <w:fldChar w:fldCharType="separate"/>
            <w:r>
              <w:t>1</w:t>
            </w:r>
            <w:fldChar w:fldCharType="end"/>
          </w:r>
          <w:r>
            <w:rPr>
              <w:rFonts w:ascii="Arial Unicode MS" w:hAnsi="Arial Unicode MS" w:eastAsia="Arial Unicode MS"/>
              <w:color w:val="667085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CE2"/>
      </w:pBdr>
    </w:pPr>
    <w:r>
      <w:rPr>
        <w:rFonts w:ascii="Arial Unicode MS" w:hAnsi="Arial Unicode MS" w:eastAsia="Arial Unicode MS"/>
        <w:b/>
        <w:color w:val="667085"/>
        <w:sz w:val="17"/>
      </w:rPr>
      <w:t>STIM 项目  |  参考样机固件信息采集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参考样机固件信息采集与核对清单</dc:title>
  <dc:subject>低中频治疗仪参考样机固件输入提取</dc:subject>
  <dc:creator>STIM 项目组</dc:creator>
  <cp:keywords>参考样机, 固件, 低频, 中频, 波形, 安全, 核对清单</cp:keywords>
  <dc:description>V1.0 初版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