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160"/>
        <w:jc w:val="center"/>
      </w:pPr>
      <w:r>
        <w:rPr>
          <w:rFonts w:ascii="黑体" w:cs="黑体" w:eastAsia="黑体" w:hAnsi="黑体"/>
          <w:b/>
          <w:bCs/>
          <w:color w:val="1F3864"/>
          <w:sz w:val="52"/>
          <w:szCs w:val="52"/>
        </w:rPr>
        <w:t xml:space="preserve">对标产品报告</w:t>
      </w:r>
    </w:p>
    <w:p>
      <w:pPr>
        <w:spacing w:after="200"/>
        <w:jc w:val="center"/>
      </w:pPr>
      <w:r>
        <w:rPr>
          <w:rFonts w:ascii="黑体" w:cs="黑体" w:eastAsia="黑体" w:hAnsi="黑体"/>
          <w:color w:val="2E5496"/>
          <w:sz w:val="26"/>
          <w:szCs w:val="26"/>
        </w:rPr>
        <w:t xml:space="preserve">羿生® 智能无线低中频工作站(SY-BS24S / M / P)</w:t>
      </w:r>
    </w:p>
    <w:p>
      <w:pPr>
        <w:pBdr>
          <w:bottom w:val="single" w:color="1F3864" w:sz="10" w:space="1"/>
        </w:pBdr>
        <w:spacing w:after="140"/>
      </w:pPr>
    </w:p>
    <w:p>
      <w:pPr>
        <w:spacing w:after="70"/>
        <w:jc w:val="center"/>
      </w:pPr>
      <w:r>
        <w:rPr>
          <w:rFonts w:ascii="宋体" w:cs="宋体" w:eastAsia="宋体" w:hAnsi="宋体"/>
          <w:color w:val="595959"/>
          <w:sz w:val="20"/>
          <w:szCs w:val="20"/>
        </w:rPr>
        <w:t xml:space="preserve">对标对象:上海司羿智能 · 羿生®(Syrebo)</w:t>
      </w:r>
    </w:p>
    <w:p>
      <w:pPr>
        <w:spacing w:after="70"/>
        <w:jc w:val="center"/>
      </w:pPr>
      <w:r>
        <w:rPr>
          <w:rFonts w:ascii="宋体" w:cs="宋体" w:eastAsia="宋体" w:hAnsi="宋体"/>
          <w:color w:val="595959"/>
          <w:sz w:val="20"/>
          <w:szCs w:val="20"/>
        </w:rPr>
        <w:t xml:space="preserve">注册证号:湘械注准20232090291（中国 II 类医疗器械）</w:t>
      </w:r>
    </w:p>
    <w:p>
      <w:pPr>
        <w:spacing w:after="70"/>
        <w:jc w:val="center"/>
      </w:pPr>
      <w:r>
        <w:rPr>
          <w:rFonts w:ascii="宋体" w:cs="宋体" w:eastAsia="宋体" w:hAnsi="宋体"/>
          <w:color w:val="595959"/>
          <w:sz w:val="20"/>
          <w:szCs w:val="20"/>
        </w:rPr>
        <w:t xml:space="preserve">数据来源:官方产品彩页(2025-01-24 版) + 联网核实 + 专利情报互证</w:t>
      </w:r>
    </w:p>
    <w:p>
      <w:pPr>
        <w:spacing w:after="70"/>
        <w:jc w:val="center"/>
      </w:pPr>
      <w:r>
        <w:rPr>
          <w:rFonts w:ascii="宋体" w:cs="宋体" w:eastAsia="宋体" w:hAnsi="宋体"/>
          <w:color w:val="595959"/>
          <w:sz w:val="20"/>
          <w:szCs w:val="20"/>
        </w:rPr>
        <w:t xml:space="preserve">编制日期:2026-07-06</w:t>
      </w:r>
    </w:p>
    <w:p>
      <w:r>
        <w:br w:type="page"/>
      </w:r>
    </w:p>
    <w:p>
      <w:pPr>
        <w:pStyle w:val="Heading1"/>
        <w:spacing w:after="130" w:before="260"/>
      </w:pPr>
      <w:r>
        <w:rPr>
          <w:rFonts w:ascii="黑体" w:cs="黑体" w:eastAsia="黑体" w:hAnsi="黑体"/>
          <w:b/>
          <w:bCs/>
          <w:color w:val="1F3864"/>
          <w:sz w:val="30"/>
          <w:szCs w:val="30"/>
        </w:rPr>
        <w:t xml:space="preserve">一、产品概述</w:t>
      </w:r>
    </w:p>
    <w:p>
      <w:pPr>
        <w:spacing w:after="120" w:line="288"/>
      </w:pPr>
      <w:r>
        <w:rPr>
          <w:rFonts w:ascii="宋体" w:cs="宋体" w:eastAsia="宋体" w:hAnsi="宋体"/>
          <w:sz w:val="21"/>
          <w:szCs w:val="21"/>
        </w:rPr>
        <w:t xml:space="preserve">羿生® 智能无线低中频工作站(型号 SY-BS24S / SY-BS24M / SY-BS24P)是一款面向康复科 / 理疗科多床位并发治疗场景的「数字式中频 + 可穿戴无线低频」组合式电疗工作站,由上海司羿智能科技有限公司以「羿生®(Syrebo)」品牌推出,属中国 II 类医疗器械(注册证号 湘械注准20232090291)。</w:t>
      </w:r>
    </w:p>
    <w:p>
      <w:pPr>
        <w:spacing w:after="120" w:line="288"/>
      </w:pPr>
      <w:r>
        <w:rPr>
          <w:rFonts w:ascii="宋体" w:cs="宋体" w:eastAsia="宋体" w:hAnsi="宋体"/>
          <w:sz w:val="21"/>
          <w:szCs w:val="21"/>
        </w:rPr>
        <w:t xml:space="preserve">产品的三大核心卖点为: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① 高并发</w:t>
      </w:r>
      <w:r>
        <w:rPr>
          <w:rFonts w:ascii="宋体" w:cs="宋体" w:eastAsia="宋体" w:hAnsi="宋体"/>
          <w:sz w:val="21"/>
          <w:szCs w:val="21"/>
        </w:rPr>
        <w:t xml:space="preserve">(4 个中频通道 + 36 个无线低频通道,最多 40 人 / 部位同时治疗、时间到自动停止);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② 无线可穿戴</w:t>
      </w:r>
      <w:r>
        <w:rPr>
          <w:rFonts w:ascii="宋体" w:cs="宋体" w:eastAsia="宋体" w:hAnsi="宋体"/>
          <w:sz w:val="21"/>
          <w:szCs w:val="21"/>
        </w:rPr>
        <w:t xml:space="preserve">(低频模块六边形迷你机身、重量 &lt;30g,宣称可跨房间 / 楼层、低频可独立使用);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③ 科室运营效率</w:t>
      </w:r>
      <w:r>
        <w:rPr>
          <w:rFonts w:ascii="宋体" w:cs="宋体" w:eastAsia="宋体" w:hAnsi="宋体"/>
          <w:sz w:val="21"/>
          <w:szCs w:val="21"/>
        </w:rPr>
        <w:t xml:space="preserve">(内置 30+ 临床处方、一键配置、放回基座即充电,直接对应按部位计费的医保收入模型)。</w:t>
      </w:r>
    </w:p>
    <w:p>
      <w:pPr>
        <w:pStyle w:val="Heading1"/>
        <w:spacing w:after="130" w:before="260"/>
      </w:pPr>
      <w:r>
        <w:rPr>
          <w:rFonts w:ascii="黑体" w:cs="黑体" w:eastAsia="黑体" w:hAnsi="黑体"/>
          <w:b/>
          <w:bCs/>
          <w:color w:val="1F3864"/>
          <w:sz w:val="30"/>
          <w:szCs w:val="30"/>
        </w:rPr>
        <w:t xml:space="preserve">二、系统构成</w:t>
      </w:r>
    </w:p>
    <w:tbl>
      <w:tblPr>
        <w:tblW w:type="dxa" w:w="900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2000"/>
        <w:gridCol w:w="1400"/>
        <w:gridCol w:w="5600"/>
      </w:tblGrid>
      <w:tr>
        <w:trPr>
          <w:tblHeader/>
        </w:trPr>
        <w:tc>
          <w:tcPr>
            <w:tcW w:type="dxa" w:w="2000"/>
            <w:shd w:fill="D9E2F3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组成部分</w:t>
            </w:r>
          </w:p>
        </w:tc>
        <w:tc>
          <w:tcPr>
            <w:tcW w:type="dxa" w:w="1400"/>
            <w:shd w:fill="D9E2F3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数量(满配)</w:t>
            </w:r>
          </w:p>
        </w:tc>
        <w:tc>
          <w:tcPr>
            <w:tcW w:type="dxa" w:w="5600"/>
            <w:shd w:fill="D9E2F3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职责与关键要点</w:t>
            </w:r>
          </w:p>
        </w:tc>
      </w:tr>
      <w:tr>
        <w:tc>
          <w:tcPr>
            <w:tcW w:type="dxa" w:w="20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64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中频主机(含触摸屏)</w:t>
            </w:r>
          </w:p>
        </w:tc>
        <w:tc>
          <w:tcPr>
            <w:tcW w:type="dxa" w:w="14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64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1</w:t>
            </w:r>
          </w:p>
        </w:tc>
        <w:tc>
          <w:tcPr>
            <w:tcW w:type="dxa" w:w="56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64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系统中枢:处方库 / 参数管理、4 通道中频输出、36 个低频模块无线网关与状态监控、治疗计时与记录;UI 分「中频 / 低频」双页签。重量约 3kg 可手提</w:t>
            </w:r>
          </w:p>
        </w:tc>
      </w:tr>
      <w:tr>
        <w:tc>
          <w:tcPr>
            <w:tcW w:type="dxa" w:w="20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64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无线低频模块</w:t>
            </w:r>
          </w:p>
        </w:tc>
        <w:tc>
          <w:tcPr>
            <w:tcW w:type="dxa" w:w="14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64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36</w:t>
            </w:r>
          </w:p>
        </w:tc>
        <w:tc>
          <w:tcPr>
            <w:tcW w:type="dxa" w:w="56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64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可穿戴 TENS/NMES 刺激源,接收 / 缓存处方并本地生成低频脉冲;面板 3 键(强度±/启停)+ 小屏;本地计时到点自动停止。&lt;30g、续航约 4h、六边形外形</w:t>
            </w:r>
          </w:p>
        </w:tc>
      </w:tr>
      <w:tr>
        <w:tc>
          <w:tcPr>
            <w:tcW w:type="dxa" w:w="20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64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充电基座</w:t>
            </w:r>
          </w:p>
        </w:tc>
        <w:tc>
          <w:tcPr>
            <w:tcW w:type="dxa" w:w="14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64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3(约12模块/座)</w:t>
            </w:r>
          </w:p>
        </w:tc>
        <w:tc>
          <w:tcPr>
            <w:tcW w:type="dxa" w:w="56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64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模块收纳、触点充电、状态指示;放回即充,推荐兼作有线配对 / 处方下发 / 固件升级通道</w:t>
            </w:r>
          </w:p>
        </w:tc>
      </w:tr>
      <w:tr>
        <w:tc>
          <w:tcPr>
            <w:tcW w:type="dxa" w:w="20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64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铝合金专用台车</w:t>
            </w:r>
          </w:p>
        </w:tc>
        <w:tc>
          <w:tcPr>
            <w:tcW w:type="dxa" w:w="14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64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1(M/P)</w:t>
            </w:r>
          </w:p>
        </w:tc>
        <w:tc>
          <w:tcPr>
            <w:tcW w:type="dxa" w:w="56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64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承载主机 + 基座 + 附件,科室内 / 病房间移动;万向轮带刹车、理线</w:t>
            </w:r>
          </w:p>
        </w:tc>
      </w:tr>
      <w:tr>
        <w:tc>
          <w:tcPr>
            <w:tcW w:type="dxa" w:w="20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64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电极耗材</w:t>
            </w:r>
          </w:p>
        </w:tc>
        <w:tc>
          <w:tcPr>
            <w:tcW w:type="dxa" w:w="14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64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耗材</w:t>
            </w:r>
          </w:p>
        </w:tc>
        <w:tc>
          <w:tcPr>
            <w:tcW w:type="dxa" w:w="56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64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手足功能专用贴、吞咽专用贴片、通用电极套件(转接线 + 通用自粘贴片)、中频电极导线</w:t>
            </w:r>
          </w:p>
        </w:tc>
      </w:tr>
    </w:tbl>
    <w:p>
      <w:pPr>
        <w:pStyle w:val="Heading1"/>
        <w:spacing w:after="130" w:before="260"/>
      </w:pPr>
      <w:r>
        <w:rPr>
          <w:rFonts w:ascii="黑体" w:cs="黑体" w:eastAsia="黑体" w:hAnsi="黑体"/>
          <w:b/>
          <w:bCs/>
          <w:color w:val="1F3864"/>
          <w:sz w:val="30"/>
          <w:szCs w:val="30"/>
        </w:rPr>
        <w:t xml:space="preserve">三、关键规格指标</w:t>
      </w:r>
    </w:p>
    <w:tbl>
      <w:tblPr>
        <w:tblW w:type="dxa" w:w="900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D9E2F3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指标</w:t>
            </w:r>
          </w:p>
        </w:tc>
        <w:tc>
          <w:tcPr>
            <w:tcW w:type="dxa" w:w="6000"/>
            <w:shd w:fill="D9E2F3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参数(对标 SY-BS24 系列)</w:t>
            </w:r>
          </w:p>
        </w:tc>
      </w:tr>
      <w:tr>
        <w:tc>
          <w:tcPr>
            <w:tcW w:type="dxa" w:w="30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64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并发治疗人数 / 部位</w:t>
            </w:r>
          </w:p>
        </w:tc>
        <w:tc>
          <w:tcPr>
            <w:tcW w:type="dxa" w:w="60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64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最多 40(4 中频有线 + 36 无线低频)</w:t>
            </w:r>
          </w:p>
        </w:tc>
      </w:tr>
      <w:tr>
        <w:tc>
          <w:tcPr>
            <w:tcW w:type="dxa" w:w="30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64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中频 / 低频通道</w:t>
            </w:r>
          </w:p>
        </w:tc>
        <w:tc>
          <w:tcPr>
            <w:tcW w:type="dxa" w:w="60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64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4 个中频(A/B/C/D 有线) + 36 个无线低频(独立可穿戴模块)</w:t>
            </w:r>
          </w:p>
        </w:tc>
      </w:tr>
      <w:tr>
        <w:tc>
          <w:tcPr>
            <w:tcW w:type="dxa" w:w="30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64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内置处方</w:t>
            </w:r>
          </w:p>
        </w:tc>
        <w:tc>
          <w:tcPr>
            <w:tcW w:type="dxa" w:w="60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64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30+(NMES 手 / 腿 / 吞咽、TENS、促血循、促炎症消散),支持参数自定义</w:t>
            </w:r>
          </w:p>
        </w:tc>
      </w:tr>
      <w:tr>
        <w:tc>
          <w:tcPr>
            <w:tcW w:type="dxa" w:w="30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64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主机</w:t>
            </w:r>
          </w:p>
        </w:tc>
        <w:tc>
          <w:tcPr>
            <w:tcW w:type="dxa" w:w="60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64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约 3kg 可手提;触摸屏,中频 / 低频双页签 UI</w:t>
            </w:r>
          </w:p>
        </w:tc>
      </w:tr>
      <w:tr>
        <w:tc>
          <w:tcPr>
            <w:tcW w:type="dxa" w:w="30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64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低频模块</w:t>
            </w:r>
          </w:p>
        </w:tc>
        <w:tc>
          <w:tcPr>
            <w:tcW w:type="dxa" w:w="60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64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重量 &lt;30g;续航最长约 4h;3 键 + 小屏;放回基座即充</w:t>
            </w:r>
          </w:p>
        </w:tc>
      </w:tr>
      <w:tr>
        <w:tc>
          <w:tcPr>
            <w:tcW w:type="dxa" w:w="30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64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基座容量</w:t>
            </w:r>
          </w:p>
        </w:tc>
        <w:tc>
          <w:tcPr>
            <w:tcW w:type="dxa" w:w="60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64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约 12 模块 / 座 × 3,可叠放</w:t>
            </w:r>
          </w:p>
        </w:tc>
      </w:tr>
      <w:tr>
        <w:tc>
          <w:tcPr>
            <w:tcW w:type="dxa" w:w="30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64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通讯距离</w:t>
            </w:r>
          </w:p>
        </w:tc>
        <w:tc>
          <w:tcPr>
            <w:tcW w:type="dxa" w:w="60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64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宣称「不限」(跨房间 / 楼层 / 楼栋);工程实为模块下载处方后离线自主运行</w:t>
            </w:r>
          </w:p>
        </w:tc>
      </w:tr>
      <w:tr>
        <w:tc>
          <w:tcPr>
            <w:tcW w:type="dxa" w:w="30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64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电极兼容</w:t>
            </w:r>
          </w:p>
        </w:tc>
        <w:tc>
          <w:tcPr>
            <w:tcW w:type="dxa" w:w="60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64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手足专用贴、吞咽贴片、通用电极(转接线 + 通用贴片)</w:t>
            </w:r>
          </w:p>
        </w:tc>
      </w:tr>
      <w:tr>
        <w:tc>
          <w:tcPr>
            <w:tcW w:type="dxa" w:w="30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64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海外认证标识</w:t>
            </w:r>
          </w:p>
        </w:tc>
        <w:tc>
          <w:tcPr>
            <w:tcW w:type="dxa" w:w="60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64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彩页印有 CE / FDA 标识</w:t>
            </w:r>
          </w:p>
        </w:tc>
      </w:tr>
    </w:tbl>
    <w:p>
      <w:pPr>
        <w:pBdr>
          <w:left w:val="single" w:color="2E5496" w:sz="18" w:space="8"/>
        </w:pBdr>
        <w:shd w:fill="F2F2F2" w:color="auto" w:val="clear"/>
        <w:spacing w:after="120" w:before="60" w:line="264"/>
      </w:pPr>
      <w:r>
        <w:rPr>
          <w:rFonts w:ascii="宋体" w:cs="宋体" w:eastAsia="宋体" w:hAnsi="宋体"/>
          <w:i/>
          <w:iCs/>
          <w:color w:val="595959"/>
          <w:sz w:val="18"/>
          <w:szCs w:val="18"/>
        </w:rPr>
        <w:t xml:space="preserve">说明:「通讯不限距离」为业务层表述。任何 2.4GHz 短距无线电不可能物理上「不限距离」,唯一自洽的工程实现是——模块下载处方后离线自主运行,安全闭环(脉冲发生 / 限幅 / 计时停止)全在模块本地完成,无线链路仅用于配置下发与状态回传。此判断已由竞品专利(见《专利尽调报告》)印证。</w:t>
      </w:r>
    </w:p>
    <w:p>
      <w:pPr>
        <w:pStyle w:val="Heading1"/>
        <w:spacing w:after="130" w:before="260"/>
      </w:pPr>
      <w:r>
        <w:rPr>
          <w:rFonts w:ascii="黑体" w:cs="黑体" w:eastAsia="黑体" w:hAnsi="黑体"/>
          <w:b/>
          <w:bCs/>
          <w:color w:val="1F3864"/>
          <w:sz w:val="30"/>
          <w:szCs w:val="30"/>
        </w:rPr>
        <w:t xml:space="preserve">四、三型号差异化配置(S / M / P)</w:t>
      </w:r>
    </w:p>
    <w:p>
      <w:pPr>
        <w:spacing w:after="120" w:line="288"/>
      </w:pPr>
      <w:r>
        <w:rPr>
          <w:rFonts w:ascii="宋体" w:cs="宋体" w:eastAsia="宋体" w:hAnsi="宋体"/>
          <w:color w:val="595959"/>
          <w:sz w:val="19"/>
          <w:szCs w:val="19"/>
        </w:rPr>
        <w:t xml:space="preserve">彩页仅给出三型号渲染图,未披露配置差异。下表为基于渲染图与产品线逻辑的推断,供对标参考。</w:t>
      </w:r>
    </w:p>
    <w:tbl>
      <w:tblPr>
        <w:tblW w:type="dxa" w:w="900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3000"/>
        <w:gridCol w:w="2000"/>
        <w:gridCol w:w="2000"/>
        <w:gridCol w:w="2000"/>
      </w:tblGrid>
      <w:tr>
        <w:trPr>
          <w:tblHeader/>
        </w:trPr>
        <w:tc>
          <w:tcPr>
            <w:tcW w:type="dxa" w:w="3000"/>
            <w:shd w:fill="D9E2F3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配置项</w:t>
            </w:r>
          </w:p>
        </w:tc>
        <w:tc>
          <w:tcPr>
            <w:tcW w:type="dxa" w:w="2000"/>
            <w:shd w:fill="D9E2F3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S(标准台式)</w:t>
            </w:r>
          </w:p>
        </w:tc>
        <w:tc>
          <w:tcPr>
            <w:tcW w:type="dxa" w:w="2000"/>
            <w:shd w:fill="D9E2F3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M(移动台车)</w:t>
            </w:r>
          </w:p>
        </w:tc>
        <w:tc>
          <w:tcPr>
            <w:tcW w:type="dxa" w:w="2000"/>
            <w:shd w:fill="D9E2F3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P(Pro 满配)</w:t>
            </w:r>
          </w:p>
        </w:tc>
      </w:tr>
      <w:tr>
        <w:tc>
          <w:tcPr>
            <w:tcW w:type="dxa" w:w="30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64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无线低频模块</w:t>
            </w:r>
          </w:p>
        </w:tc>
        <w:tc>
          <w:tcPr>
            <w:tcW w:type="dxa" w:w="20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64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约 12(1 基座)</w:t>
            </w:r>
          </w:p>
        </w:tc>
        <w:tc>
          <w:tcPr>
            <w:tcW w:type="dxa" w:w="20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64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约 24(2 基座)</w:t>
            </w:r>
          </w:p>
        </w:tc>
        <w:tc>
          <w:tcPr>
            <w:tcW w:type="dxa" w:w="20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64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36(3 基座)</w:t>
            </w:r>
          </w:p>
        </w:tc>
      </w:tr>
      <w:tr>
        <w:tc>
          <w:tcPr>
            <w:tcW w:type="dxa" w:w="30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64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并发能力</w:t>
            </w:r>
          </w:p>
        </w:tc>
        <w:tc>
          <w:tcPr>
            <w:tcW w:type="dxa" w:w="20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64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约 16 人 / 部位</w:t>
            </w:r>
          </w:p>
        </w:tc>
        <w:tc>
          <w:tcPr>
            <w:tcW w:type="dxa" w:w="20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64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约 28 人 / 部位</w:t>
            </w:r>
          </w:p>
        </w:tc>
        <w:tc>
          <w:tcPr>
            <w:tcW w:type="dxa" w:w="20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64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40 人 / 部位</w:t>
            </w:r>
          </w:p>
        </w:tc>
      </w:tr>
      <w:tr>
        <w:tc>
          <w:tcPr>
            <w:tcW w:type="dxa" w:w="30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64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台车</w:t>
            </w:r>
          </w:p>
        </w:tc>
        <w:tc>
          <w:tcPr>
            <w:tcW w:type="dxa" w:w="20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64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无(台面摆放)</w:t>
            </w:r>
          </w:p>
        </w:tc>
        <w:tc>
          <w:tcPr>
            <w:tcW w:type="dxa" w:w="20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64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铝合金台车</w:t>
            </w:r>
          </w:p>
        </w:tc>
        <w:tc>
          <w:tcPr>
            <w:tcW w:type="dxa" w:w="20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64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台车 + 多层基座位</w:t>
            </w:r>
          </w:p>
        </w:tc>
      </w:tr>
      <w:tr>
        <w:tc>
          <w:tcPr>
            <w:tcW w:type="dxa" w:w="30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64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吞咽套件</w:t>
            </w:r>
          </w:p>
        </w:tc>
        <w:tc>
          <w:tcPr>
            <w:tcW w:type="dxa" w:w="20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64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选配</w:t>
            </w:r>
          </w:p>
        </w:tc>
        <w:tc>
          <w:tcPr>
            <w:tcW w:type="dxa" w:w="20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64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选配</w:t>
            </w:r>
          </w:p>
        </w:tc>
        <w:tc>
          <w:tcPr>
            <w:tcW w:type="dxa" w:w="20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64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标配</w:t>
            </w:r>
          </w:p>
        </w:tc>
      </w:tr>
      <w:tr>
        <w:tc>
          <w:tcPr>
            <w:tcW w:type="dxa" w:w="30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64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目标客户</w:t>
            </w:r>
          </w:p>
        </w:tc>
        <w:tc>
          <w:tcPr>
            <w:tcW w:type="dxa" w:w="20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64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社区 / 民营诊所</w:t>
            </w:r>
          </w:p>
        </w:tc>
        <w:tc>
          <w:tcPr>
            <w:tcW w:type="dxa" w:w="20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64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二级医院康复科</w:t>
            </w:r>
          </w:p>
        </w:tc>
        <w:tc>
          <w:tcPr>
            <w:tcW w:type="dxa" w:w="20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64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三级医院康复科 / 病房床旁</w:t>
            </w:r>
          </w:p>
        </w:tc>
      </w:tr>
    </w:tbl>
    <w:p>
      <w:pPr>
        <w:pStyle w:val="Heading1"/>
        <w:spacing w:after="130" w:before="260"/>
      </w:pPr>
      <w:r>
        <w:rPr>
          <w:rFonts w:ascii="黑体" w:cs="黑体" w:eastAsia="黑体" w:hAnsi="黑体"/>
          <w:b/>
          <w:bCs/>
          <w:color w:val="1F3864"/>
          <w:sz w:val="30"/>
          <w:szCs w:val="30"/>
        </w:rPr>
        <w:t xml:space="preserve">五、临床应用与处方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rPr>
          <w:rFonts w:ascii="宋体" w:cs="宋体" w:eastAsia="宋体" w:hAnsi="宋体"/>
          <w:sz w:val="21"/>
          <w:szCs w:val="21"/>
        </w:rPr>
        <w:t xml:space="preserve">适用人群:神经康复、骨科、疼痛、吞咽障碍等患者;坐位 / 卧位 / 可走动患者均可,治疗中可离开主机所在房间。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rPr>
          <w:rFonts w:ascii="宋体" w:cs="宋体" w:eastAsia="宋体" w:hAnsi="宋体"/>
          <w:sz w:val="21"/>
          <w:szCs w:val="21"/>
        </w:rPr>
        <w:t xml:space="preserve">处方类型:NMES(手 / 腿 / 吞咽功能电刺激)、TENS(经皮神经电刺激镇痛)、促进局部血液循环、促进炎症消散等,内置 30+ 并支持参数自定义。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rPr>
          <w:rFonts w:ascii="宋体" w:cs="宋体" w:eastAsia="宋体" w:hAnsi="宋体"/>
          <w:sz w:val="21"/>
          <w:szCs w:val="21"/>
        </w:rPr>
        <w:t xml:space="preserve">典型工作流:主机选处方 → 从基座取模块(取出即配对)→ 贴电极 → 一键启动 / 模块侧启停 → 患者可离开,模块离线运行 → 时间到自动停止 → 放回基座充电、记录回传。</w:t>
      </w:r>
    </w:p>
    <w:p>
      <w:pPr>
        <w:pStyle w:val="Heading1"/>
        <w:spacing w:after="130" w:before="260"/>
      </w:pPr>
      <w:r>
        <w:rPr>
          <w:rFonts w:ascii="黑体" w:cs="黑体" w:eastAsia="黑体" w:hAnsi="黑体"/>
          <w:b/>
          <w:bCs/>
          <w:color w:val="1F3864"/>
          <w:sz w:val="30"/>
          <w:szCs w:val="30"/>
        </w:rPr>
        <w:t xml:space="preserve">六、医保收费与运营模型</w:t>
      </w:r>
    </w:p>
    <w:p>
      <w:pPr>
        <w:spacing w:after="120" w:line="288"/>
      </w:pPr>
      <w:r>
        <w:rPr>
          <w:rFonts w:ascii="宋体" w:cs="宋体" w:eastAsia="宋体" w:hAnsi="宋体"/>
          <w:sz w:val="21"/>
          <w:szCs w:val="21"/>
        </w:rPr>
        <w:t xml:space="preserve">对标彩页给出的上海医保收费(直接决定通道数与周转率的商业价值):</w:t>
      </w:r>
    </w:p>
    <w:tbl>
      <w:tblPr>
        <w:tblW w:type="dxa" w:w="900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2600"/>
        <w:gridCol w:w="2200"/>
        <w:gridCol w:w="2200"/>
        <w:gridCol w:w="2000"/>
      </w:tblGrid>
      <w:tr>
        <w:trPr>
          <w:tblHeader/>
        </w:trPr>
        <w:tc>
          <w:tcPr>
            <w:tcW w:type="dxa" w:w="2600"/>
            <w:shd w:fill="D9E2F3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收费项目</w:t>
            </w:r>
          </w:p>
        </w:tc>
        <w:tc>
          <w:tcPr>
            <w:tcW w:type="dxa" w:w="2200"/>
            <w:shd w:fill="D9E2F3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收费编码</w:t>
            </w:r>
          </w:p>
        </w:tc>
        <w:tc>
          <w:tcPr>
            <w:tcW w:type="dxa" w:w="2200"/>
            <w:shd w:fill="D9E2F3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计价单位</w:t>
            </w:r>
          </w:p>
        </w:tc>
        <w:tc>
          <w:tcPr>
            <w:tcW w:type="dxa" w:w="2000"/>
            <w:shd w:fill="D9E2F3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标准(上海)</w:t>
            </w:r>
          </w:p>
        </w:tc>
      </w:tr>
      <w:tr>
        <w:tc>
          <w:tcPr>
            <w:tcW w:type="dxa" w:w="26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64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中频脉冲</w:t>
            </w:r>
          </w:p>
        </w:tc>
        <w:tc>
          <w:tcPr>
            <w:tcW w:type="dxa" w:w="22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64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340100010</w:t>
            </w:r>
          </w:p>
        </w:tc>
        <w:tc>
          <w:tcPr>
            <w:tcW w:type="dxa" w:w="22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64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部位</w:t>
            </w:r>
          </w:p>
        </w:tc>
        <w:tc>
          <w:tcPr>
            <w:tcW w:type="dxa" w:w="20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64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20 元</w:t>
            </w:r>
          </w:p>
        </w:tc>
      </w:tr>
      <w:tr>
        <w:tc>
          <w:tcPr>
            <w:tcW w:type="dxa" w:w="26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64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低频脉冲</w:t>
            </w:r>
          </w:p>
        </w:tc>
        <w:tc>
          <w:tcPr>
            <w:tcW w:type="dxa" w:w="22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64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340100009</w:t>
            </w:r>
          </w:p>
        </w:tc>
        <w:tc>
          <w:tcPr>
            <w:tcW w:type="dxa" w:w="22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64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部位</w:t>
            </w:r>
          </w:p>
        </w:tc>
        <w:tc>
          <w:tcPr>
            <w:tcW w:type="dxa" w:w="20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64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20 元</w:t>
            </w:r>
          </w:p>
        </w:tc>
      </w:tr>
      <w:tr>
        <w:tc>
          <w:tcPr>
            <w:tcW w:type="dxa" w:w="26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64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电按摩</w:t>
            </w:r>
          </w:p>
        </w:tc>
        <w:tc>
          <w:tcPr>
            <w:tcW w:type="dxa" w:w="22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64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340100026</w:t>
            </w:r>
          </w:p>
        </w:tc>
        <w:tc>
          <w:tcPr>
            <w:tcW w:type="dxa" w:w="22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64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次</w:t>
            </w:r>
          </w:p>
        </w:tc>
        <w:tc>
          <w:tcPr>
            <w:tcW w:type="dxa" w:w="20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64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6 元</w:t>
            </w:r>
          </w:p>
        </w:tc>
      </w:tr>
      <w:tr>
        <w:tc>
          <w:tcPr>
            <w:tcW w:type="dxa" w:w="26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64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吞咽功能障碍</w:t>
            </w:r>
          </w:p>
        </w:tc>
        <w:tc>
          <w:tcPr>
            <w:tcW w:type="dxa" w:w="22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64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340200037</w:t>
            </w:r>
          </w:p>
        </w:tc>
        <w:tc>
          <w:tcPr>
            <w:tcW w:type="dxa" w:w="22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64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20 分钟 / 次</w:t>
            </w:r>
          </w:p>
        </w:tc>
        <w:tc>
          <w:tcPr>
            <w:tcW w:type="dxa" w:w="20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64"/>
            </w:pPr>
            <w:r>
              <w:rPr>
                <w:rFonts w:ascii="宋体" w:cs="宋体" w:eastAsia="宋体" w:hAnsi="宋体"/>
                <w:sz w:val="18"/>
                <w:szCs w:val="18"/>
              </w:rPr>
              <w:t xml:space="preserve">30 元</w:t>
            </w:r>
          </w:p>
        </w:tc>
      </w:tr>
    </w:tbl>
    <w:p>
      <w:pPr>
        <w:spacing w:after="120" w:line="288"/>
      </w:pPr>
      <w:r>
        <w:rPr>
          <w:rFonts w:ascii="宋体" w:cs="宋体" w:eastAsia="宋体" w:hAnsi="宋体"/>
          <w:sz w:val="20"/>
          <w:szCs w:val="20"/>
        </w:rPr>
        <w:t xml:space="preserve">满配测算示例:40 部位 × 20 元 = 800 元 / 轮;按每部位 20 分钟治疗 + 10 分钟周转、每日有效运行 6 小时估,约 12 轮 / 日理论上限,按 50% 负荷取 6 轮 / 日 ≈ 4800 元 / 日。该模型推导出两条硬性设计输入:通道数不低于 4+36;单部位周转 ≤2 分钟。</w:t>
      </w:r>
    </w:p>
    <w:p>
      <w:pPr>
        <w:pStyle w:val="Heading1"/>
        <w:spacing w:after="130" w:before="260"/>
      </w:pPr>
      <w:r>
        <w:rPr>
          <w:rFonts w:ascii="黑体" w:cs="黑体" w:eastAsia="黑体" w:hAnsi="黑体"/>
          <w:b/>
          <w:bCs/>
          <w:color w:val="1F3864"/>
          <w:sz w:val="30"/>
          <w:szCs w:val="30"/>
        </w:rPr>
        <w:t xml:space="preserve">七、监管与合规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管理类别:</w:t>
      </w:r>
      <w:r>
        <w:rPr>
          <w:rFonts w:ascii="宋体" w:cs="宋体" w:eastAsia="宋体" w:hAnsi="宋体"/>
          <w:sz w:val="21"/>
          <w:szCs w:val="21"/>
        </w:rPr>
        <w:t xml:space="preserve">中国 II 类医疗器械;注册证 湘械注准20232090291;分类编码《医疗器械分类目录》09-01-03「低中频治疗设备」。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注册 / 生产主体:</w:t>
      </w:r>
      <w:r>
        <w:rPr>
          <w:rFonts w:ascii="宋体" w:cs="宋体" w:eastAsia="宋体" w:hAnsi="宋体"/>
          <w:sz w:val="21"/>
          <w:szCs w:val="21"/>
        </w:rPr>
        <w:t xml:space="preserve">「湘械」证注册人为湖南主体(生产许可 湘药监械生产许20210089号);上海司羿为研发 / 品牌方;上海聚慕医疗器械为经销 / 销售方(非注册人)。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适用标准(节选):</w:t>
      </w:r>
      <w:r>
        <w:rPr>
          <w:rFonts w:ascii="宋体" w:cs="宋体" w:eastAsia="宋体" w:hAnsi="宋体"/>
          <w:sz w:val="21"/>
          <w:szCs w:val="21"/>
        </w:rPr>
        <w:t xml:space="preserve">GB 9706.1-2020、YY 9706.210-2021(神经肌肉刺激器专用)、YY 9706.102-2021(EMC)、GB 31241-2022(锂电池)等。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海外:</w:t>
      </w:r>
      <w:r>
        <w:rPr>
          <w:rFonts w:ascii="宋体" w:cs="宋体" w:eastAsia="宋体" w:hAnsi="宋体"/>
          <w:sz w:val="21"/>
          <w:szCs w:val="21"/>
        </w:rPr>
        <w:t xml:space="preserve">彩页带 CE / FDA 标识,FDA 路径可参考 TENS(GZJ)/ NMES(IPF)predicate。</w:t>
      </w:r>
    </w:p>
    <w:p>
      <w:pPr>
        <w:pStyle w:val="Heading1"/>
        <w:spacing w:after="130" w:before="260"/>
      </w:pPr>
      <w:r>
        <w:rPr>
          <w:rFonts w:ascii="黑体" w:cs="黑体" w:eastAsia="黑体" w:hAnsi="黑体"/>
          <w:b/>
          <w:bCs/>
          <w:color w:val="1F3864"/>
          <w:sz w:val="30"/>
          <w:szCs w:val="30"/>
        </w:rPr>
        <w:t xml:space="preserve">八、技术架构要点(结合专利情报)</w:t>
      </w:r>
    </w:p>
    <w:p>
      <w:pPr>
        <w:spacing w:after="120" w:line="288"/>
      </w:pPr>
      <w:r>
        <w:rPr>
          <w:rFonts w:ascii="宋体" w:cs="宋体" w:eastAsia="宋体" w:hAnsi="宋体"/>
          <w:sz w:val="21"/>
          <w:szCs w:val="21"/>
        </w:rPr>
        <w:t xml:space="preserve">竞品专利披露的实现架构为:控制主机 ↔ 通信充电座(多机位阵列) ↔ 电刺激主机(即可穿戴低频模块);治疗处方(电刺激方案)经充电座机位「有线下发 / 按机位分配」给各电刺激主机。要点: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rPr>
          <w:rFonts w:ascii="宋体" w:cs="宋体" w:eastAsia="宋体" w:hAnsi="宋体"/>
          <w:sz w:val="21"/>
          <w:szCs w:val="21"/>
        </w:rPr>
        <w:t xml:space="preserve">安全闭环下沉到模块:限幅 / 停止 / 计时全部本地化,无线仅做「配置 + 可视化」——这是同时满足专用安全标准与「跨楼层」卖点的唯一自洽架构。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rPr>
          <w:rFonts w:ascii="宋体" w:cs="宋体" w:eastAsia="宋体" w:hAnsi="宋体"/>
          <w:sz w:val="21"/>
          <w:szCs w:val="21"/>
        </w:rPr>
        <w:t xml:space="preserve">处方经充电座触点有线下发,而非纯无线下发——规避了无线下发的可靠性与安全风险(与自研方案推荐路线一致)。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rPr>
          <w:rFonts w:ascii="宋体" w:cs="宋体" w:eastAsia="宋体" w:hAnsi="宋体"/>
          <w:sz w:val="21"/>
          <w:szCs w:val="21"/>
        </w:rPr>
        <w:t xml:space="preserve">推测器件:模块主控为低功耗 BLE SoC(如 nRF52833 级),主机为富 OS 交互 + 实时 MCU 双处理器分离(工程推测,彩页未披露)。</w:t>
      </w:r>
    </w:p>
    <w:p>
      <w:pPr>
        <w:pStyle w:val="Heading1"/>
        <w:spacing w:after="130" w:before="260"/>
      </w:pPr>
      <w:r>
        <w:rPr>
          <w:rFonts w:ascii="黑体" w:cs="黑体" w:eastAsia="黑体" w:hAnsi="黑体"/>
          <w:b/>
          <w:bCs/>
          <w:color w:val="1F3864"/>
          <w:sz w:val="30"/>
          <w:szCs w:val="30"/>
        </w:rPr>
        <w:t xml:space="preserve">九、竞品优劣与自研启示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优势:</w:t>
      </w:r>
      <w:r>
        <w:rPr>
          <w:rFonts w:ascii="宋体" w:cs="宋体" w:eastAsia="宋体" w:hAnsi="宋体"/>
          <w:sz w:val="21"/>
          <w:szCs w:val="21"/>
        </w:rPr>
        <w:t xml:space="preserve">高并发商业模型清晰(按部位计费)、无线可穿戴形态领先、耗材 / 模块可增购,已形成较完整的专利护城河(见专利报告)。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可挑战点:</w:t>
      </w:r>
      <w:r>
        <w:rPr>
          <w:rFonts w:ascii="宋体" w:cs="宋体" w:eastAsia="宋体" w:hAnsi="宋体"/>
          <w:sz w:val="21"/>
          <w:szCs w:val="21"/>
        </w:rPr>
        <w:t xml:space="preserve">「36 通道无线组网 / 多模块并发调度协议」这一层未检索到竞品专利,是自研差异化与抢先布局的机会点;「跨楼层不限距离」为业务表述,非射频硬指标。</w:t>
      </w:r>
    </w:p>
    <w:p>
      <w:pPr>
        <w:pBdr>
          <w:bottom w:val="single" w:color="1F3864" w:sz="6" w:space="1"/>
        </w:pBdr>
        <w:spacing w:after="140"/>
      </w:pPr>
    </w:p>
    <w:p>
      <w:pPr>
        <w:spacing w:after="120" w:line="288"/>
        <w:jc w:val="center"/>
      </w:pPr>
      <w:r>
        <w:rPr>
          <w:rFonts w:ascii="宋体" w:cs="宋体" w:eastAsia="宋体" w:hAnsi="宋体"/>
          <w:i/>
          <w:iCs/>
          <w:color w:val="595959"/>
          <w:sz w:val="18"/>
          <w:szCs w:val="18"/>
        </w:rPr>
        <w:t xml:space="preserve">— 本报告与《专利尽调报告》配套使用。产品事实以官方彩页为准,标注「推测 / 工程判断」处为对标分析。 —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1"/>
        <w:szCs w:val="21"/>
      </w:rPr>
    </w:rPrDefault>
    <w:pPrDefault>
      <w:pPr>
        <w:spacing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报告</dc:title>
  <dc:creator>对标尽调</dc:creator>
  <cp:lastModifiedBy>Un-named</cp:lastModifiedBy>
  <cp:revision>1</cp:revision>
  <dcterms:created xsi:type="dcterms:W3CDTF">2026-07-06T07:20:47.871Z</dcterms:created>
  <dcterms:modified xsi:type="dcterms:W3CDTF">2026-07-06T07:20:47.872Z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