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0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21"/>
          <w:lang w:val="zh-CN" w:eastAsia="zh-CN" w:bidi="ar-SA"/>
        </w:rPr>
        <w:t>PROJECT KICK-OFF</w:t>
      </w:r>
    </w:p>
    <w:p>
      <w:pPr>
        <w:keepNext w:val="0"/>
        <w:spacing w:before="0" w:after="100" w:line="24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0B2545"/>
          <w:sz w:val="56"/>
          <w:lang w:val="zh-CN" w:eastAsia="zh-CN" w:bidi="ar-SA"/>
        </w:rPr>
        <w:t>无线低/中频电刺激系统</w:t>
      </w:r>
    </w:p>
    <w:p>
      <w:pPr>
        <w:keepNext w:val="0"/>
        <w:spacing w:before="0" w:after="300" w:line="276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26"/>
          <w:lang w:val="zh-CN" w:eastAsia="zh-CN" w:bidi="ar-SA"/>
        </w:rPr>
        <w:t>首次跨团队决策文档：先收敛 MVP、输出技术路线、安全架构与验证闭环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FF8E8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E3D6A7"/>
              <w:start w:val="single" w:sz="5" w:color="E3D6A7"/>
              <w:bottom w:val="single" w:sz="5" w:color="E3D6A7"/>
              <w:end w:val="single" w:sz="5" w:color="E3D6A7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16"/>
                <w:lang w:val="zh-CN" w:eastAsia="zh-CN" w:bidi="ar-SA"/>
              </w:rPr>
              <w:t>时间盒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20"/>
                <w:lang w:val="zh-CN" w:eastAsia="zh-CN" w:bidi="ar-SA"/>
              </w:rPr>
              <w:t>90 分钟</w:t>
            </w:r>
          </w:p>
        </w:tc>
        <w:tc>
          <w:tcPr>
            <w:tcW w:type="dxa" w:w="2340"/>
            <w:shd w:fill="FFF8E8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E3D6A7"/>
              <w:start w:val="single" w:sz="5" w:color="E3D6A7"/>
              <w:bottom w:val="single" w:sz="5" w:color="E3D6A7"/>
              <w:end w:val="single" w:sz="5" w:color="E3D6A7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16"/>
                <w:lang w:val="zh-CN" w:eastAsia="zh-CN" w:bidi="ar-SA"/>
              </w:rPr>
              <w:t>核心决策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20"/>
                <w:lang w:val="zh-CN" w:eastAsia="zh-CN" w:bidi="ar-SA"/>
              </w:rPr>
              <w:t>6 项</w:t>
            </w:r>
          </w:p>
        </w:tc>
        <w:tc>
          <w:tcPr>
            <w:tcW w:type="dxa" w:w="2340"/>
            <w:shd w:fill="FFF8E8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E3D6A7"/>
              <w:start w:val="single" w:sz="5" w:color="E3D6A7"/>
              <w:bottom w:val="single" w:sz="5" w:color="E3D6A7"/>
              <w:end w:val="single" w:sz="5" w:color="E3D6A7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16"/>
                <w:lang w:val="zh-CN" w:eastAsia="zh-CN" w:bidi="ar-SA"/>
              </w:rPr>
              <w:t>首个里程碑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20"/>
                <w:lang w:val="zh-CN" w:eastAsia="zh-CN" w:bidi="ar-SA"/>
              </w:rPr>
              <w:t>台架安全闭环</w:t>
            </w:r>
          </w:p>
        </w:tc>
        <w:tc>
          <w:tcPr>
            <w:tcW w:type="dxa" w:w="2340"/>
            <w:shd w:fill="FFF8E8" w:val="clea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E3D6A7"/>
              <w:start w:val="single" w:sz="5" w:color="E3D6A7"/>
              <w:bottom w:val="single" w:sz="5" w:color="E3D6A7"/>
              <w:end w:val="single" w:sz="5" w:color="E3D6A7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16"/>
                <w:lang w:val="zh-CN" w:eastAsia="zh-CN" w:bidi="ar-SA"/>
              </w:rPr>
              <w:t>会议输出</w:t>
            </w:r>
          </w:p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20"/>
                <w:lang w:val="zh-CN" w:eastAsia="zh-CN" w:bidi="ar-SA"/>
              </w:rPr>
              <w:t>负责人 + 截止时间</w:t>
            </w:r>
          </w:p>
        </w:tc>
      </w:tr>
    </w:tbl>
    <w:p>
      <w:pPr>
        <w:spacing w:after="20"/>
      </w:pPr>
    </w:p>
    <w:p>
      <w:pPr>
        <w:keepNext w:val="0"/>
        <w:spacing w:before="0" w:after="240" w:line="30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667085"/>
          <w:sz w:val="18"/>
          <w:lang w:val="zh-CN" w:eastAsia="zh-CN" w:bidi="ar-SA"/>
        </w:rPr>
        <w:t>计划：2026 年 7 月 25–26 日（具体时段会前确认）  |  参会：产品、嵌入式、硬件、软件、测试/质量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DECEC" w:val="clear"/>
            <w:tcBorders>
              <w:top w:val="nil" w:sz="0" w:space="0" w:color="FDECEC"/>
              <w:start w:val="single" w:sz="18" w:space="0" w:color="9B1C1C"/>
              <w:bottom w:val="nil" w:sz="0" w:space="0" w:color="FDECEC"/>
              <w:end w:val="nil" w:sz="0" w:space="0" w:color="FDECEC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9B1C1C"/>
                <w:sz w:val="20"/>
                <w:lang w:val="zh-CN" w:eastAsia="zh-CN" w:bidi="ar-SA"/>
              </w:rPr>
              <w:t>会议底线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本次不讨论人体试验参数，不把开源参考设计等同于可用于人体的医疗器械方案。所有带载输出先在仿真负载、阻容模型和故障注入环境完成闭环验证。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会议结束时必须拿到什么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1"/>
          <w:lang w:val="zh-CN" w:eastAsia="zh-CN" w:bidi="ar-SA"/>
        </w:rPr>
        <w:t>一句话产品定义与 MVP 边界：做什么、暂时不做什么、面向谁使用。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1"/>
          <w:lang w:val="zh-CN" w:eastAsia="zh-CN" w:bidi="ar-SA"/>
        </w:rPr>
        <w:t>输出级技术路线：恒流/恒压、波形家族、通道拓扑及第一版参数边界。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1"/>
          <w:lang w:val="zh-CN" w:eastAsia="zh-CN" w:bidi="ar-SA"/>
        </w:rPr>
        <w:t>安全状态机：上电、连接、运行、暂停、通信丢失和故障时分别如何关断。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1"/>
          <w:lang w:val="zh-CN" w:eastAsia="zh-CN" w:bidi="ar-SA"/>
        </w:rPr>
        <w:t>无线与多通道责任边界：哪里负责实时性，哪里负责限值，患者回路如何隔离。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1"/>
          <w:lang w:val="zh-CN" w:eastAsia="zh-CN" w:bidi="ar-SA"/>
        </w:rPr>
        <w:t>台架验收矩阵、首轮仪器/夹具清单、两周内负责人和交付日期。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本次主动暂缓</w:t>
      </w:r>
    </w:p>
    <w:p>
      <w:pPr>
        <w:spacing w:before="0" w:after="60" w:line="300" w:lineRule="auto"/>
        <w:jc w:val="left"/>
      </w:pPr>
      <w:r>
        <w:rPr>
          <w:rFonts w:ascii="Arial Unicode MS" w:hAnsi="Arial Unicode MS" w:eastAsia="Arial Unicode MS" w:cs="Arial Unicode MS"/>
          <w:b/>
          <w:color w:val="7A5A00"/>
          <w:sz w:val="20"/>
          <w:lang w:val="zh-CN" w:eastAsia="zh-CN" w:bidi="ar-SA"/>
        </w:rPr>
        <w:t>暂缓：</w:t>
      </w: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完整注册申报材料、全部标准条款逐条符合性、临床处方库、工业设计、量产成本优化、自研电极材料与详细 UI。</w:t>
      </w: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1. 决策总览：本次只收敛这 6 件事</w:t>
      </w:r>
    </w:p>
    <w:p>
      <w:pPr>
        <w:keepNext w:val="0"/>
        <w:spacing w:before="0" w:after="140" w:line="300" w:lineRule="auto"/>
        <w:jc w:val="left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9"/>
          <w:lang w:val="zh-CN" w:eastAsia="zh-CN" w:bidi="ar-SA"/>
        </w:rPr>
        <w:t>表中“建议起点”是为了让团队有可讨论的基线，并非最终医疗参数；任何输出限值都必须由风险、负载、电极面积和验证结果共同收敛。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80"/>
        <w:gridCol w:w="2700"/>
        <w:gridCol w:w="3300"/>
        <w:gridCol w:w="1980"/>
      </w:tblGrid>
      <w:tr>
        <w:trPr>
          <w:tblHeader w:val="true"/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议题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本次必须决定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建议起点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主责 / 会后输出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1  产品 / MVP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首版是低频 TENS/NMES，还是同时承诺中频？面向单患者还是工作站？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先做单患者、低频、外接成熟水凝胶电极；系统架构预留多终端与中频扩展。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产品 / 全体</w:t>
              <w:br/>
              <w:t>输出：范围声明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2  输出引擎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恒流还是恒压？首个波形是什么？最大电流、顺应电压与负载范围如何确定？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恒流；对称、双相、矩形、主动电荷平衡；其余波形后置。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硬件 + 嵌入式</w:t>
              <w:br/>
              <w:t>输出：电气规格 v0.1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3  安全架构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默认输出、硬件关断链、过流/过压/开短路与恢复策略。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上电为零；软件门控 + 独立硬件关断；任何异常锁存并人工确认恢复。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硬件 + 嵌入式 + 测试</w:t>
              <w:br/>
              <w:t>输出：状态机 / FMEA 初稿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4  无线 / 多通道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网络延迟是否影响脉冲？通道能否共地/共回路？断链怎么办？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无线只传处方与状态；本地硬实时；患者回路浮地，通道级独立限流，断链安全停止。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软件 + 嵌入式 + 硬件</w:t>
              <w:br/>
              <w:t>输出：接口边界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5  验证 / 验收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哪些台架测试通过后才允许进入下一阶段？需要哪些仪器和夹具？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先验证输出精度、电荷平衡、故障保护、供电扰动、热与通信故障；不做人体调试。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测试牵头</w:t>
              <w:br/>
              <w:t>输出：DVP v0.1</w:t>
            </w:r>
          </w:p>
        </w:tc>
      </w:tr>
      <w:tr>
        <w:trPr>
          <w:cantSplit/>
        </w:trPr>
        <w:tc>
          <w:tcPr>
            <w:tcW w:type="dxa" w:w="13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6  计划 / 责任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两周内交什么？谁拍板？哪些问题会阻塞原理图和固件？</w:t>
            </w:r>
          </w:p>
        </w:tc>
        <w:tc>
          <w:tcPr>
            <w:tcW w:type="dxa" w:w="3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形成规格、架构、安全状态机、协议和台架夹具五个可评审件。</w:t>
            </w:r>
          </w:p>
        </w:tc>
        <w:tc>
          <w:tcPr>
            <w:tcW w:type="dxa" w:w="198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项目负责人</w:t>
              <w:br/>
              <w:t>输出：任务表 / 日期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8E8" w:val="clear"/>
            <w:tcBorders>
              <w:top w:val="nil" w:sz="0" w:space="0" w:color="FFF8E8"/>
              <w:start w:val="single" w:sz="18" w:space="0" w:color="7A5A00"/>
              <w:bottom w:val="nil" w:sz="0" w:space="0" w:color="FFF8E8"/>
              <w:end w:val="nil" w:sz="0" w:space="0" w:color="FFF8E8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20"/>
                <w:lang w:val="zh-CN" w:eastAsia="zh-CN" w:bidi="ar-SA"/>
              </w:rPr>
              <w:t>建议节奏（90 分钟）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目标与边界 10 min → 产品/MVP 15 min → 输出与安全 25 min → 无线/多通道 15 min → 验证/仪器 15 min → 负责人、风险与结论复述 10 min。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2. 产品边界与系统架构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2.1 建议的 MVP 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5F1" w:val="clear"/>
            <w:tcBorders>
              <w:top w:val="nil" w:sz="0" w:space="0" w:color="EAF5F1"/>
              <w:start w:val="single" w:sz="18" w:space="0" w:color="175C48"/>
              <w:bottom w:val="nil" w:sz="0" w:space="0" w:color="EAF5F1"/>
              <w:end w:val="nil" w:sz="0" w:space="0" w:color="EAF5F1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5C48"/>
                <w:sz w:val="20"/>
                <w:lang w:val="zh-CN" w:eastAsia="zh-CN" w:bidi="ar-SA"/>
              </w:rPr>
              <w:t>建议一句话定义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面向专业人员控制的、单患者多通道、无线低频经皮电刺激原型；采用外购成熟水凝胶电极，先完成可测量、可限值、可安全关断的台架闭环。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首版包含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8"/>
                <w:lang w:val="zh-CN" w:eastAsia="zh-CN" w:bidi="ar-SA"/>
              </w:rPr>
              <w:t>低频脉冲；恒流输出；双相电荷平衡；本地安全状态机；无线处方下发；状态/故障回传。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首版不承诺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8"/>
                <w:lang w:val="zh-CN" w:eastAsia="zh-CN" w:bidi="ar-SA"/>
              </w:rPr>
              <w:t>中频载波、多种任意波形、跨患者同时治疗、自研电极、人体疗效参数、完整临床处方库。</w:t>
            </w:r>
          </w:p>
        </w:tc>
      </w:tr>
      <w:tr>
        <w:trPr>
          <w:cantSplit/>
        </w:trPr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扩展预留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8"/>
                <w:lang w:val="zh-CN" w:eastAsia="zh-CN" w:bidi="ar-SA"/>
              </w:rPr>
              <w:t>多终端调度、中频波形引擎、更多通道、生产校准和日志追溯。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2.2 建议架构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37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m_kickoff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3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88" w:lineRule="auto"/>
        <w:jc w:val="left"/>
      </w:pPr>
      <w:r>
        <w:rPr>
          <w:rFonts w:ascii="Arial Unicode MS" w:hAnsi="Arial Unicode MS" w:eastAsia="Arial Unicode MS" w:cs="Arial Unicode MS"/>
          <w:b w:val="0"/>
          <w:i/>
          <w:color w:val="667085"/>
          <w:sz w:val="18"/>
          <w:lang w:val="zh-CN" w:eastAsia="zh-CN" w:bidi="ar-SA"/>
        </w:rPr>
        <w:t>架构图说明：每个输出必须形成完整的患者回路（至少一对电极/等效两端）。单个孤立电极没有闭合回路，正常设计下不应产生有效刺激；奇数个物理电极只有在拓扑明确形成回路时才有意义。</w:t>
      </w: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3. 输出技术路线：先把“能安全控制电流”做对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3.1 恒流还是恒压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5F1" w:val="clear"/>
            <w:tcBorders>
              <w:top w:val="nil" w:sz="0" w:space="0" w:color="EAF5F1"/>
              <w:start w:val="single" w:sz="18" w:space="0" w:color="175C48"/>
              <w:bottom w:val="nil" w:sz="0" w:space="0" w:color="EAF5F1"/>
              <w:end w:val="nil" w:sz="0" w:space="0" w:color="EAF5F1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175C48"/>
                <w:sz w:val="20"/>
                <w:lang w:val="zh-CN" w:eastAsia="zh-CN" w:bidi="ar-SA"/>
              </w:rPr>
              <w:t>建议：恒流作为 MVP 主输出模式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皮肤与电极阻抗会随接触、汗液和时间变化；恒流闭环更利于控制实际电流。代价是必须同时设计顺应电压、环路稳定性、过流/过压、开短路和器件耐压。恒压模式暂不进入首版。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3.2 建议的首个波形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8EEF5" w:val="clear"/>
            <w:tcBorders>
              <w:top w:val="nil" w:sz="0" w:space="0" w:color="E8EEF5"/>
              <w:start w:val="single" w:sz="18" w:space="0" w:color="2E74B5"/>
              <w:bottom w:val="nil" w:sz="0" w:space="0" w:color="E8EEF5"/>
              <w:end w:val="nil" w:sz="0" w:space="0" w:color="E8EEF5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2E74B5"/>
                <w:sz w:val="20"/>
                <w:lang w:val="zh-CN" w:eastAsia="zh-CN" w:bidi="ar-SA"/>
              </w:rPr>
              <w:t>推荐基线：对称双相矩形脉冲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正、负两相面积相等，配合主动放电/电荷平衡与可定义的相间隔。理由是参数可测、控制逻辑清晰，且有利于把净直流与电化学风险降到可验证范围。正弦、三角、中频调制和非对称波形均在基线闭环后再增加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3.3 Kick-off 要拍板的电气规格 v0.1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参数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会议决策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直接影响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输出模式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恒流；是否保留恒压模式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硬件拓扑与软件参数模型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波形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对称双相矩形；相序、相间隔、主动放电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净直流 / 电荷平衡测试方法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频率 / 相宽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依据目标用途定义；BS24S 的 1–150 Hz、20–410 μs 仅可对标，不能直接成为原理图规格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定时器分辨率与参数步进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输出电流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TBD；先由用途、电极面积、负载和风险共同倒推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不得把标准上限当设计目标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顺应电压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TBD；由最大电流 × 最大声明负载 + 闭环余量计算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升压、电源、器件耐压与开路保护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声明负载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必须包含 500 Ω 标准负载，并覆盖更高阻抗与阻容等效模型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稳定性、精度与降额边界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多通道</w:t>
            </w:r>
          </w:p>
        </w:tc>
        <w:tc>
          <w:tcPr>
            <w:tcW w:type="dxa" w:w="43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是否允许同步、错相、共享回路；默认独立输出</w:t>
            </w:r>
          </w:p>
        </w:tc>
        <w:tc>
          <w:tcPr>
            <w:tcW w:type="dxa" w:w="3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电源预算、串扰、每回路独立限值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4. 安全架构：任何异常都要先落到“无输出”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4.1 标准边界（不是设计目标）</w:t>
      </w:r>
    </w:p>
    <w:p>
      <w:pPr>
        <w:keepNext w:val="0"/>
        <w:spacing w:before="0" w:after="140" w:line="300" w:lineRule="auto"/>
        <w:jc w:val="left"/>
      </w:pPr>
      <w:r>
        <w:rPr>
          <w:rFonts w:ascii="Arial Unicode MS" w:hAnsi="Arial Unicode MS" w:eastAsia="Arial Unicode MS" w:cs="Arial Unicode MS"/>
          <w:b/>
          <w:i w:val="0"/>
          <w:color w:val="9B1C1C"/>
          <w:sz w:val="19"/>
          <w:lang w:val="zh-CN" w:eastAsia="zh-CN" w:bidi="ar-SA"/>
        </w:rPr>
        <w:t>以下数字仅作风险与验收边界，不能当作人体刺激目标；最终限值由适应证、电极面积和风险管理确定。开发板禁止接人体，人体研究另行审批。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rPr>
          <w:cantSplit/>
        </w:trPr>
        <w:tc>
          <w:tcPr>
            <w:tcW w:type="dxa" w:w="17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  <w:lang w:val="zh-CN" w:eastAsia="zh-CN" w:bidi="ar-SA"/>
              </w:rPr>
              <w:t>应用部分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患者输出按 BF 或 CF 型浮地设计；不得把保护地/USB 地当患者回路。</w:t>
            </w:r>
          </w:p>
        </w:tc>
      </w:tr>
      <w:tr>
        <w:trPr>
          <w:cantSplit/>
        </w:trPr>
        <w:tc>
          <w:tcPr>
            <w:tcW w:type="dxa" w:w="17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  <w:lang w:val="zh-CN" w:eastAsia="zh-CN" w:bidi="ar-SA"/>
              </w:rPr>
              <w:t>风险触发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 &gt;10 mA 或电流密度 &gt;2 mA/cm²时重点管理；脉宽 &lt;0.1 s 时单脉冲能量 ≤300 mJ，开路峰值 ≤500 V。</w:t>
            </w:r>
          </w:p>
        </w:tc>
      </w:tr>
      <w:tr>
        <w:trPr>
          <w:cantSplit/>
        </w:trPr>
        <w:tc>
          <w:tcPr>
            <w:tcW w:type="dxa" w:w="17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  <w:lang w:val="zh-CN" w:eastAsia="zh-CN" w:bidi="ar-SA"/>
              </w:rPr>
              <w:t>500 Ω 电流上限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直流 80 mA；≤400 Hz 为 50 mA；&gt;400–1500 Hz 为 80 mA；&gt;1500 Hz 为 100 mA；每个患者回路分别适用。</w:t>
            </w:r>
          </w:p>
        </w:tc>
      </w:tr>
      <w:tr>
        <w:trPr>
          <w:cantSplit/>
        </w:trPr>
        <w:tc>
          <w:tcPr>
            <w:tcW w:type="dxa" w:w="17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  <w:lang w:val="zh-CN" w:eastAsia="zh-CN" w:bidi="ar-SA"/>
              </w:rPr>
              <w:t>调节 / 启动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幅值连续可调或步进 ≤1 mA / 1 V；最小设置输出 ≤最大值 2%；高输出能力设备启动时需处于最小输出。</w:t>
            </w:r>
          </w:p>
        </w:tc>
      </w:tr>
      <w:tr>
        <w:trPr>
          <w:cantSplit/>
        </w:trPr>
        <w:tc>
          <w:tcPr>
            <w:tcW w:type="dxa" w:w="1701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  <w:lang w:val="zh-CN" w:eastAsia="zh-CN" w:bidi="ar-SA"/>
              </w:rPr>
              <w:t>稳健性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4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最大设置开路 10 min、随后短路 5 min；供电 ±10% 变化时输出幅值/脉宽/频率变化应在规定范围内。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4.2 必须是硬件 + 固件共同实现的关断链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1"/>
        <w:gridCol w:w="7659"/>
      </w:tblGrid>
      <w:tr>
        <w:trPr>
          <w:tblHeader w:val="true"/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状态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最低行为要求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上电 / 复位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 DAC/PWM 为零；门控关闭；升压关闭；参数校验通过后才可进入 READY。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启动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本地确认电极回路、参数白名单、校准数据和硬件自检；从零缓升。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运行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独立硬件限流/比较器 + MCU 监督；持续检查开路、短路、过流、过压、温度与电源。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暂停 / 断链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立即进入安全斜降或硬关断；无线恢复不自动续治，需重新确认。</w:t>
            </w:r>
          </w:p>
        </w:tc>
      </w:tr>
      <w:tr>
        <w:trPr>
          <w:cantSplit/>
        </w:trPr>
        <w:tc>
          <w:tcPr>
            <w:tcW w:type="dxa" w:w="1701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故障</w:t>
            </w:r>
          </w:p>
        </w:tc>
        <w:tc>
          <w:tcPr>
            <w:tcW w:type="dxa" w:w="7659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硬件门控锁存关闭并记录原因；只有明确的人工动作和自检通过才允许复位。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5. 台架验证与必要仪器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5.1 MVP 验收矩阵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4960"/>
      </w:tblGrid>
      <w:tr>
        <w:trPr>
          <w:tblHeader w:val="true"/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项目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条件 / 注入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核心判据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输出准确度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500 Ω + 声明负载范围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幅值、频率、相宽、相间隔、波形；仪器误差纳入预算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电荷 / 直流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纯电阻与 RC 模型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逐相电荷、净直流、主动放电后残余电压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负载变化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低/中/高阻值阶跃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恒流稳定性、顺应饱和行为、无振荡/过冲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开短路故障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开路 10 min → 短路 5 min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保护动作、器件温升、故障锁存及恢复逻辑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电源扰动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输入电压 ±10%、掉电/复电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输出变化、复位后保持零输出、不自动续治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无线 / 软件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丢包、乱序、重放、断链、App 崩溃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本地波形不被网络抖动改变；超时安全停止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多通道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同时满载、异步输出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每回路限值、串扰、电源压降、热与 EMC 风险</w:t>
            </w:r>
          </w:p>
        </w:tc>
      </w:tr>
      <w:tr>
        <w:trPr>
          <w:cantSplit/>
        </w:trPr>
        <w:tc>
          <w:tcPr>
            <w:tcW w:type="dxa" w:w="1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持续运行</w:t>
            </w:r>
          </w:p>
        </w:tc>
        <w:tc>
          <w:tcPr>
            <w:tcW w:type="dxa" w:w="27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最大代表性负载至少 4 h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漂移、温升、电池/电源降额、日志完整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5.2 首轮必须准备的仪器 / 夹具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900"/>
        <w:gridCol w:w="4960"/>
      </w:tblGrid>
      <w:tr>
        <w:trPr>
          <w:tblHeader w:val="true"/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用途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最低配置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为什么需要</w:t>
            </w:r>
          </w:p>
        </w:tc>
      </w:tr>
      <w:tr>
        <w:trPr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隔离测量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示波器 + 合适带宽的高压差分探头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普通接地探头的地夹可能短接浮地患者输出；差分探头测两点之差，并承受共模电压。</w:t>
            </w:r>
          </w:p>
        </w:tc>
      </w:tr>
      <w:tr>
        <w:trPr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电流 / 负载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精密无感电阻组（含 500 Ω）、可切换负载、RC 电极模型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通过分流电阻差分测量电流；覆盖开路、短路与负载阶跃。</w:t>
            </w:r>
          </w:p>
        </w:tc>
      </w:tr>
      <w:tr>
        <w:trPr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基础计量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校准数字万用表、台式电源/电池模拟、函数发生器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核对直流、供电扰动、前端/采样链和保护阈值。</w:t>
            </w:r>
          </w:p>
        </w:tc>
      </w:tr>
      <w:tr>
        <w:trPr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热 / 长稳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热像仪或多路温度记录、数据采集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持续运行与满载时捕获热点、漂移和电源降额。</w:t>
            </w:r>
          </w:p>
        </w:tc>
      </w:tr>
      <w:tr>
        <w:trPr>
          <w:cantSplit/>
        </w:trPr>
        <w:tc>
          <w:tcPr>
            <w:tcW w:type="dxa" w:w="1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后续合规</w:t>
            </w:r>
          </w:p>
        </w:tc>
        <w:tc>
          <w:tcPr>
            <w:tcW w:type="dxa" w:w="29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电气安全分析仪、耐压/绝缘测试、EMC 预扫资源</w:t>
            </w:r>
          </w:p>
        </w:tc>
        <w:tc>
          <w:tcPr>
            <w:tcW w:type="dxa" w:w="49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进入工程样机后补齐；不替代早期浮地、漏电与隔离设计。</w:t>
            </w:r>
          </w:p>
        </w:tc>
      </w:tr>
    </w:tbl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6. 会后两周：从“讨论”变成可评审件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200"/>
        <w:gridCol w:w="1100"/>
        <w:gridCol w:w="2460"/>
      </w:tblGrid>
      <w:tr>
        <w:trPr>
          <w:tblHeader w:val="true"/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角色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首轮任务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建议截止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可评审交付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产品 / 临床接口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MVP 用途、用户、禁忌边界；低频/中频范围决策；首版处方参数集合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D+3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范围声明 v0.1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硬件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恒流拓扑候选、顺应电压/负载预算、隔离与硬件关断链、通道电源预算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D+7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框图 + 关键计算 + 风险清单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嵌入式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波形引擎、定时器/DMA 方案、安全状态机、看门狗/断链策略、校准数据结构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D+7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固件架构与接口 v0.1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软件 / 无线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处方模型、命令幂等/序号/超时、状态同步、日志与权限边界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D+7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协议草案 + 异常时序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测试 / 质量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负载夹具、仪器连接图、DVP、测量不确定度与故障注入清单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D+10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DVP v0.1 + 夹具方案</w:t>
            </w:r>
          </w:p>
        </w:tc>
      </w:tr>
      <w:tr>
        <w:trPr>
          <w:cantSplit/>
        </w:trPr>
        <w:tc>
          <w:tcPr>
            <w:tcW w:type="dxa" w:w="16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项目负责人</w:t>
            </w:r>
          </w:p>
        </w:tc>
        <w:tc>
          <w:tcPr>
            <w:tcW w:type="dxa" w:w="42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确认决策人、依赖、冻结点和评审节奏</w:t>
            </w:r>
          </w:p>
        </w:tc>
        <w:tc>
          <w:tcPr>
            <w:tcW w:type="dxa" w:w="11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D+1</w:t>
            </w:r>
          </w:p>
        </w:tc>
        <w:tc>
          <w:tcPr>
            <w:tcW w:type="dxa" w:w="24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7"/>
                <w:lang w:val="zh-CN" w:eastAsia="zh-CN" w:bidi="ar-SA"/>
              </w:rPr>
              <w:t>任务板 + 评审日历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6.1 第一里程碑的退出条件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所有输出参数都有单位、范围、步进、默认值、非法值处理和校准方式。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至少一条完整链路在仿真负载上运行：处方下发 → 本地输出 → 测量回读 → 断链/故障关断。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恒流环路在声明负载范围内稳定；超出顺应范围时行为明确且可检测。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开路、短路、过流、复位、掉电/复电和通信丢失测试均得到预期的无输出状态。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20"/>
          <w:lang w:val="zh-CN" w:eastAsia="zh-CN" w:bidi="ar-SA"/>
        </w:rPr>
        <w:t>评审记录明确：哪些限值来自标准边界，哪些是项目选择，哪些仍为 TBD。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8E8" w:val="clear"/>
            <w:tcBorders>
              <w:top w:val="nil" w:sz="0" w:space="0" w:color="FFF8E8"/>
              <w:start w:val="single" w:sz="18" w:space="0" w:color="7A5A00"/>
              <w:bottom w:val="nil" w:sz="0" w:space="0" w:color="FFF8E8"/>
              <w:end w:val="nil" w:sz="0" w:space="0" w:color="FFF8E8"/>
            </w:tcBorders>
          </w:tcPr>
          <w:p>
            <w:pPr>
              <w:spacing w:after="6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7A5A00"/>
                <w:sz w:val="20"/>
                <w:lang w:val="zh-CN" w:eastAsia="zh-CN" w:bidi="ar-SA"/>
              </w:rPr>
              <w:t>会议纪要要求</w:t>
            </w:r>
          </w:p>
          <w:p>
            <w:pPr>
              <w:spacing w:after="0" w:line="288" w:lineRule="auto"/>
            </w:pPr>
            <w:r>
              <w:rPr>
                <w:rFonts w:ascii="Arial Unicode MS" w:hAnsi="Arial Unicode MS" w:eastAsia="Arial Unicode MS" w:cs="Arial Unicode MS"/>
                <w:color w:val="20262E"/>
                <w:sz w:val="19"/>
                <w:lang w:val="zh-CN" w:eastAsia="zh-CN" w:bidi="ar-SA"/>
              </w:rPr>
              <w:t>6 项决策逐项记录“结论、决策人、负责人、截止时间”；未关闭的 TBD 必须写明需要的证据和关闭日期。</w:t>
            </w:r>
          </w:p>
        </w:tc>
      </w:tr>
    </w:tbl>
    <w:p>
      <w:pPr>
        <w:spacing w:after="0"/>
      </w:pPr>
    </w:p>
    <w:p>
      <w:pPr>
        <w:pageBreakBefore/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附录 A｜资料依据与借鉴边界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500"/>
        <w:gridCol w:w="4360"/>
      </w:tblGrid>
      <w:tr>
        <w:trPr>
          <w:tblHeader w:val="true"/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资料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主要价值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shd w:fill="E8EEF5" w:val="clea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  <w:lang w:val="zh-CN" w:eastAsia="zh-CN" w:bidi="ar-SA"/>
              </w:rPr>
              <w:t>Kick-off 中怎么用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YY 9706.210-2021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专用安全与基本性能要求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浮地应用部分、输出限值、启动互锁、指示、开短路、供电扰动等作为安全边界。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YY/T 0696-2021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神经和肌肉刺激器输出特性的测量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用于建立 RMS、电流密度、脉冲能量、相宽/频率、直流分量和测试负载方法。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YY/T 0868-2021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神经和肌肉刺激器用电极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电极阻抗、粘附、柔性、线缆寿命和生物相容性；支持 MVP 先外购成熟电极。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中频电疗产品注册审查指导原则（2025）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1–100 kHz 中频产品审查思路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载波/调制参数、恒流稳定性、4 h 连续运行、软件与网络安全；若中频进入 MVP 则必须前置。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低频电疗仪注册技术审查指导原则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低频方案历史审查思路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恒流反馈、双相波形及电荷不平衡风险可作概念参考；引用标准需按现行版本复核。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BS24S / Wisebot H7 / 对标报告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商业产品功能与参数对标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可用于范围和交互对标；缺少真实输出电流、顺应电压、负载与净直流等关键工程参数。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OpenXstim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开源研究刺激器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Howland 恒流泵、高压运放、双相波形可作电路研究参考；研究项目，不是合规证据。</w:t>
            </w:r>
          </w:p>
        </w:tc>
      </w:tr>
      <w:tr>
        <w:trPr>
          <w:cantSplit/>
        </w:trPr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NeuroStimDuino</w:t>
            </w:r>
          </w:p>
        </w:tc>
        <w:tc>
          <w:tcPr>
            <w:tcW w:type="dxa" w:w="250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开源双通道刺激器</w:t>
            </w:r>
          </w:p>
        </w:tc>
        <w:tc>
          <w:tcPr>
            <w:tcW w:type="dxa" w:w="4360"/>
            <w:tcMar>
              <w:top w:w="72" w:type="dxa"/>
              <w:start w:w="110" w:type="dxa"/>
              <w:bottom w:w="72" w:type="dxa"/>
              <w:end w:w="110" w:type="dxa"/>
            </w:tcMar>
            <w:vAlign w:val="center"/>
            <w:tcBorders>
              <w:top w:val="single" w:sz="5" w:space="0" w:color="C9D2DE"/>
              <w:start w:val="single" w:sz="5" w:space="0" w:color="C9D2DE"/>
              <w:bottom w:val="single" w:sz="5" w:space="0" w:color="C9D2DE"/>
              <w:end w:val="single" w:sz="5" w:space="0" w:color="C9D2DE"/>
            </w:tcBorders>
          </w:tcPr>
          <w:p>
            <w:pPr>
              <w:spacing w:before="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0262E"/>
                <w:sz w:val="16"/>
                <w:lang w:val="zh-CN" w:eastAsia="zh-CN" w:bidi="ar-SA"/>
              </w:rPr>
              <w:t>恒流、双相电荷平衡、隔离与顺应电压可作架构参考；软件定时与安全机制需重新论证。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zh-CN" w:eastAsia="zh-CN" w:bidi="ar-SA"/>
        </w:rPr>
        <w:t>暂缓项清单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19"/>
          <w:lang w:val="zh-CN" w:eastAsia="zh-CN" w:bidi="ar-SA"/>
        </w:rPr>
        <w:t>完整适用标准清单与注册路径逐条确认。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19"/>
          <w:lang w:val="zh-CN" w:eastAsia="zh-CN" w:bidi="ar-SA"/>
        </w:rPr>
        <w:t>临床处方、疗效论证、人体研究与伦理审批。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19"/>
          <w:lang w:val="zh-CN" w:eastAsia="zh-CN" w:bidi="ar-SA"/>
        </w:rPr>
        <w:t>自研电极配方、皮肤接触材料与生物相容性验证。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19"/>
          <w:lang w:val="zh-CN" w:eastAsia="zh-CN" w:bidi="ar-SA"/>
        </w:rPr>
        <w:t>中频载波/调制、多种波形、共享回流等扩展方案。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color w:val="20262E"/>
          <w:sz w:val="19"/>
          <w:lang w:val="zh-CN" w:eastAsia="zh-CN" w:bidi="ar-SA"/>
        </w:rPr>
        <w:t>工业设计、制造测试、成本、供应链与量产校准。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 Unicode MS" w:hAnsi="Arial Unicode MS" w:eastAsia="Arial Unicode MS" w:cs="Arial Unicode MS"/>
        <w:color w:val="667085"/>
        <w:sz w:val="18"/>
        <w:lang w:val="zh-CN" w:eastAsia="zh-CN" w:bidi="ar-SA"/>
      </w:rPr>
      <w:t xml:space="preserve">第 </w:t>
    </w:r>
    <w:r>
      <w:rPr>
        <w:rFonts w:ascii="Arial Unicode MS" w:hAnsi="Arial Unicode MS" w:eastAsia="Arial Unicode MS" w:cs="Arial Unicode MS"/>
        <w:color w:val="667085"/>
        <w:sz w:val="18"/>
        <w:lang w:val="zh-CN" w:eastAsia="zh-CN" w:bidi="ar-SA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085"/>
        <w:sz w:val="18"/>
        <w:lang w:val="zh-CN" w:eastAsia="zh-CN" w:bidi="ar-SA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 Unicode MS" w:hAnsi="Arial Unicode MS" w:eastAsia="Arial Unicode MS" w:cs="Arial Unicode MS"/>
        <w:b/>
        <w:color w:val="667085"/>
        <w:sz w:val="17"/>
        <w:lang w:val="zh-CN" w:eastAsia="zh-CN" w:bidi="ar-SA"/>
      </w:rPr>
      <w:t>STIM  |  项目 Kick-off</w:t>
    </w:r>
    <w:r>
      <w:tab/>
    </w:r>
    <w:r>
      <w:rPr>
        <w:rFonts w:ascii="Arial Unicode MS" w:hAnsi="Arial Unicode MS" w:eastAsia="Arial Unicode MS" w:cs="Arial Unicode MS"/>
        <w:color w:val="667085"/>
        <w:sz w:val="17"/>
        <w:lang w:val="zh-CN" w:eastAsia="zh-CN" w:bidi="ar-SA"/>
      </w:rPr>
      <w:t>内部工作稿  ·  2026-07-24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6D"/>
    <w:multiLevelType w:val="singleLevel"/>
    <w:tmpl w:val="000000D1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 w:eastAsia="Arial Unicode MS"/>
        <w:lang w:val="zh-CN" w:eastAsia="zh-CN"/>
      </w:rPr>
    </w:lvl>
  </w:abstractNum>
  <w:num w:numId="10">
    <w:abstractNumId w:val="9"/>
  </w:num>
  <w:abstractNum w:abstractNumId="10">
    <w:nsid w:val="0000006E"/>
    <w:multiLevelType w:val="singleLevel"/>
    <w:tmpl w:val="000000D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 Unicode MS" w:hAnsi="Arial Unicode MS" w:eastAsia="Arial Unicode MS"/>
        <w:lang w:val="zh-CN" w:eastAsia="zh-CN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0262E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STIM 项目 Kick-off 会议文档</dc:title>
  <dc:subject>无线低/中频电刺激系统：MVP、输出技术路线、安全架构与验证闭环</dc:subject>
  <dc:creator>STIM 项目组</dc:creator>
  <cp:keywords>电刺激, Kick-off, 恒流源, 双相波形, 安全, 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