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both"/>
        <w:rPr>
          <w:rFonts w:hint="eastAsia"/>
          <w:sz w:val="52"/>
          <w:szCs w:val="52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智能平台工作区域配置及任务规划模块</w:t>
      </w: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52"/>
          <w:szCs w:val="52"/>
          <w:lang w:val="en-US" w:eastAsia="zh-CN"/>
        </w:rPr>
        <w:t>价格文件</w:t>
      </w: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default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科奇软件开发股份有限公司</w:t>
      </w: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2024年3月</w:t>
      </w: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default"/>
          <w:b w:val="0"/>
          <w:bCs/>
          <w:sz w:val="52"/>
          <w:szCs w:val="52"/>
          <w:lang w:val="en-US" w:eastAsia="zh-CN"/>
        </w:rPr>
      </w:pPr>
    </w:p>
    <w:p>
      <w:pPr>
        <w:pageBreakBefore w:val="0"/>
        <w:kinsoku/>
        <w:overflowPunct/>
        <w:topLinePunct w:val="0"/>
        <w:bidi w:val="0"/>
        <w:spacing w:line="300" w:lineRule="auto"/>
        <w:jc w:val="center"/>
        <w:rPr>
          <w:rFonts w:hint="eastAsia"/>
          <w:b w:val="0"/>
          <w:bCs/>
          <w:sz w:val="52"/>
          <w:szCs w:val="52"/>
          <w:lang w:val="en-US" w:eastAsia="zh-CN"/>
        </w:rPr>
      </w:pPr>
      <w:r>
        <w:rPr>
          <w:rFonts w:hint="eastAsia"/>
          <w:b w:val="0"/>
          <w:bCs/>
          <w:sz w:val="52"/>
          <w:szCs w:val="52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47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sdtEndPr>
      <w:sdtContent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t>目录</w:t>
          </w:r>
        </w:p>
        <w:p>
          <w:pPr>
            <w:pStyle w:val="9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instrText xml:space="preserve"> HYPERLINK \l _Toc25336 </w:instrText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1.开标一览表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_Toc25336 \h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3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instrText xml:space="preserve"> HYPERLINK \l _Toc7896 </w:instrText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2.价格构成表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_Toc7896 \h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5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instrText xml:space="preserve"> HYPERLINK \l _Toc4299 </w:instrText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3.其他与价格有关的资料、文件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_Toc4299 \h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5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5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instrText xml:space="preserve"> HYPERLINK \l _Toc32428 </w:instrText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t>3.1 支付条款与条件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_Toc32428 \h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7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5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instrText xml:space="preserve"> HYPERLINK \l _Toc27657 </w:instrText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t>3.2 报价合理性说明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_Toc27657 \h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9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2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rFonts w:hint="eastAsia" w:ascii="Arial" w:hAnsi="Arial" w:eastAsia="黑体" w:cstheme="minorBidi"/>
              <w:b/>
              <w:kern w:val="2"/>
              <w:sz w:val="32"/>
              <w:szCs w:val="22"/>
              <w:lang w:val="en-US" w:eastAsia="zh-CN" w:bidi="ar-S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25336"/>
      <w:bookmarkStart w:id="1" w:name="_Toc10475"/>
      <w:r>
        <w:rPr>
          <w:rFonts w:hint="eastAsia"/>
        </w:rPr>
        <w:t>1.开标一览表</w:t>
      </w:r>
      <w:bookmarkEnd w:id="0"/>
      <w:bookmarkEnd w:id="1"/>
    </w:p>
    <w:p>
      <w:pPr>
        <w:spacing w:line="540" w:lineRule="exact"/>
        <w:jc w:val="center"/>
        <w:rPr>
          <w:rFonts w:ascii="黑体" w:hAnsi="黑体" w:eastAsia="黑体" w:cs="黑体"/>
          <w:bCs/>
          <w:sz w:val="36"/>
          <w:szCs w:val="36"/>
        </w:rPr>
      </w:pPr>
      <w:bookmarkStart w:id="2" w:name="_Toc24577"/>
      <w:r>
        <w:rPr>
          <w:rFonts w:hint="eastAsia" w:ascii="黑体" w:hAnsi="黑体" w:eastAsia="黑体" w:cs="黑体"/>
          <w:bCs/>
          <w:sz w:val="36"/>
          <w:szCs w:val="36"/>
        </w:rPr>
        <w:t>开标一览表</w:t>
      </w:r>
      <w:bookmarkEnd w:id="2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投标人全称：</w:t>
      </w:r>
      <w:r>
        <w:rPr>
          <w:rFonts w:hint="eastAsia"/>
          <w:sz w:val="28"/>
          <w:szCs w:val="28"/>
          <w:lang w:val="en-US" w:eastAsia="zh-CN"/>
        </w:rPr>
        <w:t>科奇软件开发股份有限公司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项目名称：</w:t>
      </w:r>
      <w:r>
        <w:rPr>
          <w:rFonts w:hint="eastAsia"/>
          <w:sz w:val="28"/>
          <w:szCs w:val="28"/>
        </w:rPr>
        <w:t xml:space="preserve"> 智能平台工作区域配置及任务规划模块     </w:t>
      </w:r>
      <w:r>
        <w:rPr>
          <w:sz w:val="28"/>
          <w:szCs w:val="28"/>
        </w:rPr>
        <w:t>项目编号：</w:t>
      </w:r>
      <w:r>
        <w:rPr>
          <w:rFonts w:hint="eastAsia"/>
          <w:sz w:val="28"/>
          <w:szCs w:val="28"/>
        </w:rPr>
        <w:t xml:space="preserve">  2021ZNPT                  </w:t>
      </w:r>
      <w:r>
        <w:rPr>
          <w:sz w:val="28"/>
          <w:szCs w:val="28"/>
        </w:rPr>
        <w:t>金额单位：元</w:t>
      </w:r>
    </w:p>
    <w:tbl>
      <w:tblPr>
        <w:tblStyle w:val="10"/>
        <w:tblW w:w="141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2410"/>
        <w:gridCol w:w="1414"/>
        <w:gridCol w:w="1279"/>
        <w:gridCol w:w="992"/>
        <w:gridCol w:w="1669"/>
        <w:gridCol w:w="1620"/>
        <w:gridCol w:w="1164"/>
        <w:gridCol w:w="1217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atLeast"/>
          <w:jc w:val="center"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名称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规格型号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计量</w:t>
            </w:r>
          </w:p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数量</w:t>
            </w:r>
          </w:p>
        </w:tc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单价</w:t>
            </w:r>
          </w:p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（含税）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金额</w:t>
            </w:r>
          </w:p>
          <w:p>
            <w:pPr>
              <w:jc w:val="center"/>
              <w:rPr>
                <w:rFonts w:ascii="宋体" w:hAnsi="宋体" w:eastAsia="宋体"/>
                <w:bCs/>
                <w:spacing w:val="-4"/>
              </w:rPr>
            </w:pPr>
            <w:r>
              <w:rPr>
                <w:rFonts w:hint="eastAsia" w:ascii="宋体" w:hAnsi="宋体" w:eastAsia="宋体"/>
              </w:rPr>
              <w:t>（含税）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交货时间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交货地点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  <w:r>
              <w:rPr>
                <w:rFonts w:ascii="宋体" w:hAnsi="宋体" w:eastAsia="宋体"/>
              </w:rPr>
              <w:t>/</w:t>
            </w:r>
            <w:r>
              <w:rPr>
                <w:rFonts w:hint="eastAsia" w:ascii="宋体" w:hAnsi="宋体" w:eastAsia="宋体"/>
              </w:rPr>
              <w:t>投标声明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</w:rPr>
              <w:t>智能平台工作区域配置及任务规划模块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/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napToGrid w:val="0"/>
              </w:rPr>
              <w:t>套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napToGrid w:val="0"/>
              </w:rPr>
              <w:t>1</w:t>
            </w:r>
          </w:p>
        </w:tc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rPr>
                <w:rFonts w:hint="default" w:eastAsia="宋体"/>
                <w:lang w:val="en-US" w:eastAsia="zh-CN"/>
              </w:rPr>
            </w:pPr>
            <w:bookmarkStart w:id="3" w:name="_Toc31096"/>
            <w:bookmarkStart w:id="4" w:name="_Toc17627"/>
            <w:r>
              <w:rPr>
                <w:rFonts w:hint="eastAsia" w:ascii="宋体" w:hAnsi="宋体" w:eastAsia="宋体" w:cs="Times New Roman"/>
                <w:b w:val="0"/>
                <w:bCs/>
                <w:spacing w:val="-4"/>
                <w:sz w:val="24"/>
                <w:szCs w:val="24"/>
                <w:lang w:val="en-US" w:eastAsia="zh-CN" w:bidi="ar-SA"/>
              </w:rPr>
              <w:t>523,75</w:t>
            </w:r>
            <w:bookmarkEnd w:id="3"/>
            <w:bookmarkEnd w:id="4"/>
            <w:r>
              <w:rPr>
                <w:rFonts w:hint="eastAsia" w:ascii="宋体" w:hAnsi="宋体" w:eastAsia="宋体" w:cs="Times New Roman"/>
                <w:b w:val="0"/>
                <w:bCs/>
                <w:spacing w:val="-4"/>
                <w:sz w:val="24"/>
                <w:szCs w:val="24"/>
                <w:lang w:val="en-US" w:eastAsia="zh-CN" w:bidi="ar-SA"/>
              </w:rPr>
              <w:t>5.00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lang w:val="en-US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pacing w:val="-4"/>
                <w:sz w:val="24"/>
                <w:szCs w:val="24"/>
                <w:lang w:val="en-US" w:eastAsia="zh-CN" w:bidi="ar-SA"/>
              </w:rPr>
              <w:t>523,755.00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/>
              </w:rPr>
              <w:t>采购合同正式签订后120个自然日内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bCs/>
                <w:spacing w:val="-4"/>
              </w:rPr>
            </w:pPr>
            <w:r>
              <w:rPr>
                <w:rFonts w:hint="eastAsia" w:ascii="宋体" w:hAnsi="宋体" w:eastAsia="宋体"/>
                <w:bCs/>
                <w:spacing w:val="-4"/>
              </w:rPr>
              <w:t>甲方指定地点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pacing w:val="-4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pacing w:val="-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pacing w:val="-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3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</w:rPr>
              <w:t>合计</w:t>
            </w:r>
          </w:p>
        </w:tc>
        <w:tc>
          <w:tcPr>
            <w:tcW w:w="1080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Cs/>
                <w:spacing w:val="-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pacing w:val="-4"/>
              </w:rPr>
              <w:t>投标总价（人民币大写）：人民币伍拾贰万叁仟柒佰伍拾伍元整</w:t>
            </w:r>
          </w:p>
          <w:p>
            <w:pPr>
              <w:rPr>
                <w:rFonts w:hint="default" w:ascii="宋体" w:hAnsi="宋体" w:eastAsia="宋体"/>
                <w:b/>
                <w:lang w:val="en-US"/>
              </w:rPr>
            </w:pPr>
            <w:r>
              <w:rPr>
                <w:rFonts w:hint="eastAsia" w:ascii="宋体" w:hAnsi="宋体" w:eastAsia="宋体"/>
                <w:bCs/>
                <w:spacing w:val="-4"/>
              </w:rPr>
              <w:t>（小写）：</w:t>
            </w:r>
            <w:r>
              <w:rPr>
                <w:rFonts w:ascii="宋体" w:hAnsi="宋体" w:eastAsia="宋体"/>
                <w:bCs/>
                <w:spacing w:val="-4"/>
              </w:rPr>
              <w:t>¥</w:t>
            </w:r>
            <w:r>
              <w:rPr>
                <w:rFonts w:hint="eastAsia" w:ascii="宋体" w:hAnsi="宋体"/>
                <w:bCs/>
                <w:spacing w:val="-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 w:val="0"/>
                <w:bCs/>
                <w:spacing w:val="-4"/>
                <w:sz w:val="24"/>
                <w:szCs w:val="24"/>
                <w:lang w:val="en-US" w:eastAsia="zh-CN" w:bidi="ar-SA"/>
              </w:rPr>
              <w:t>523,755.00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3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投标保证金</w:t>
            </w:r>
          </w:p>
        </w:tc>
        <w:tc>
          <w:tcPr>
            <w:tcW w:w="1080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eastAsia="宋体"/>
                <w:bCs/>
                <w:spacing w:val="-4"/>
              </w:rPr>
            </w:pPr>
            <w:r>
              <w:rPr>
                <w:rFonts w:hint="eastAsia" w:ascii="宋体" w:hAnsi="宋体" w:eastAsia="宋体"/>
                <w:bCs/>
                <w:spacing w:val="-4"/>
              </w:rPr>
              <w:t>（人民币大写）：</w:t>
            </w:r>
            <w:r>
              <w:rPr>
                <w:rFonts w:hint="eastAsia" w:ascii="宋体" w:hAnsi="宋体"/>
                <w:bCs/>
                <w:spacing w:val="-4"/>
                <w:lang w:val="en-US" w:eastAsia="zh-CN"/>
              </w:rPr>
              <w:t>人民币</w:t>
            </w:r>
            <w:r>
              <w:rPr>
                <w:rFonts w:hint="eastAsia" w:ascii="宋体" w:hAnsi="宋体" w:eastAsia="宋体"/>
                <w:bCs/>
                <w:spacing w:val="-4"/>
              </w:rPr>
              <w:t>壹万贰仟元整</w:t>
            </w:r>
          </w:p>
          <w:p>
            <w:pPr>
              <w:rPr>
                <w:rFonts w:hint="default" w:ascii="宋体" w:hAnsi="宋体" w:eastAsia="宋体"/>
                <w:bCs/>
                <w:spacing w:val="-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pacing w:val="-4"/>
              </w:rPr>
              <w:t>（小写）：</w:t>
            </w:r>
            <w:r>
              <w:rPr>
                <w:rFonts w:ascii="宋体" w:hAnsi="宋体" w:eastAsia="宋体"/>
                <w:bCs/>
                <w:spacing w:val="-4"/>
              </w:rPr>
              <w:t>¥</w:t>
            </w:r>
            <w:r>
              <w:rPr>
                <w:rFonts w:hint="eastAsia" w:ascii="宋体" w:hAnsi="宋体" w:eastAsia="宋体"/>
                <w:bCs/>
                <w:spacing w:val="-4"/>
              </w:rPr>
              <w:t>12,000</w:t>
            </w:r>
            <w:r>
              <w:rPr>
                <w:rFonts w:hint="eastAsia" w:ascii="宋体" w:hAnsi="宋体" w:eastAsia="宋体"/>
                <w:bCs/>
                <w:spacing w:val="-4"/>
                <w:lang w:val="en-US" w:eastAsia="zh-CN"/>
              </w:rPr>
              <w:t>.00</w:t>
            </w:r>
          </w:p>
        </w:tc>
      </w:tr>
    </w:tbl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说明：1.金额=单价×数量，投标总价=金额。</w:t>
      </w:r>
    </w:p>
    <w:p>
      <w:pPr>
        <w:ind w:firstLine="1050" w:firstLineChars="500"/>
        <w:rPr>
          <w:rFonts w:ascii="宋体" w:hAnsi="宋体" w:eastAsia="宋体" w:cs="宋体"/>
        </w:rPr>
      </w:pPr>
      <w:bookmarkStart w:id="5" w:name="_Toc19865"/>
      <w:r>
        <w:rPr>
          <w:rFonts w:hint="eastAsia" w:ascii="宋体" w:hAnsi="宋体" w:eastAsia="宋体" w:cs="宋体"/>
        </w:rPr>
        <w:t>2.投标总价为投标人对本包内所有服务内容包含所有费用的投标报价。</w:t>
      </w:r>
      <w:bookmarkEnd w:id="5"/>
    </w:p>
    <w:p>
      <w:pPr>
        <w:ind w:firstLine="1050" w:firstLine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投标人须按此表格式进行填写，否则可能导致其投标被拒绝。</w:t>
      </w:r>
    </w:p>
    <w:p>
      <w:pPr>
        <w:ind w:firstLine="1050" w:firstLine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zh-CN"/>
        </w:rPr>
        <w:t>报价时以元为单位，至多保留小数点后2位。</w:t>
      </w:r>
    </w:p>
    <w:p>
      <w:pPr>
        <w:ind w:firstLine="1054" w:firstLineChars="500"/>
        <w:rPr>
          <w:rFonts w:ascii="宋体" w:hAnsi="宋体" w:eastAsia="宋体" w:cs="宋体"/>
          <w:b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7126605</wp:posOffset>
            </wp:positionH>
            <wp:positionV relativeFrom="paragraph">
              <wp:posOffset>-158115</wp:posOffset>
            </wp:positionV>
            <wp:extent cx="775335" cy="603885"/>
            <wp:effectExtent l="0" t="0" r="1905" b="4445"/>
            <wp:wrapNone/>
            <wp:docPr id="3" name="图片 2" descr="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2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2291080</wp:posOffset>
            </wp:positionH>
            <wp:positionV relativeFrom="paragraph">
              <wp:posOffset>-593725</wp:posOffset>
            </wp:positionV>
            <wp:extent cx="1514475" cy="1514475"/>
            <wp:effectExtent l="0" t="0" r="9525" b="9525"/>
            <wp:wrapNone/>
            <wp:docPr id="2" name="图片 1" descr="fd9e67fd9876f40db88ca467668d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d9e67fd9876f40db88ca467668d5d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投标人全称：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科奇软件开发股份有限公司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（盖章） </w:t>
      </w:r>
      <w:r>
        <w:rPr>
          <w:rFonts w:hint="eastAsia" w:ascii="宋体" w:hAnsi="宋体" w:cs="宋体"/>
          <w:lang w:val="en-US" w:eastAsia="zh-CN"/>
        </w:rPr>
        <w:t xml:space="preserve"> 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法定代表人（或授权代表</w:t>
      </w:r>
      <w:r>
        <w:rPr>
          <w:rFonts w:hint="eastAsia" w:ascii="宋体" w:hAnsi="宋体" w:eastAsia="宋体" w:cs="宋体"/>
        </w:rPr>
        <w:t>）：</w:t>
      </w:r>
      <w:r>
        <w:rPr>
          <w:rFonts w:hint="eastAsia" w:ascii="宋体" w:hAnsi="宋体" w:eastAsia="宋体" w:cs="宋体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签字）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t xml:space="preserve">                          </w:t>
      </w:r>
      <w:bookmarkStart w:id="6" w:name="_Toc25817"/>
      <w:r>
        <w:rPr>
          <w:rFonts w:hint="eastAsia" w:ascii="宋体" w:hAnsi="宋体" w:cs="宋体"/>
          <w:lang w:val="en-US" w:eastAsia="zh-CN"/>
        </w:rPr>
        <w:t xml:space="preserve">                                                      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2024 年  3月 6  日</w:t>
      </w:r>
      <w:bookmarkEnd w:id="6"/>
    </w:p>
    <w:p/>
    <w:p>
      <w:pPr>
        <w:rPr>
          <w:rFonts w:hint="eastAsia"/>
        </w:rPr>
        <w:sectPr>
          <w:pgSz w:w="16838" w:h="11906" w:orient="landscape"/>
          <w:pgMar w:top="1800" w:right="1440" w:bottom="1800" w:left="144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</w:rPr>
      </w:pPr>
      <w:bookmarkStart w:id="7" w:name="_Toc18359"/>
      <w:bookmarkStart w:id="8" w:name="_Toc7896"/>
      <w:r>
        <w:rPr>
          <w:rFonts w:hint="eastAsia"/>
        </w:rPr>
        <w:t>2.价格构成表</w:t>
      </w:r>
      <w:bookmarkEnd w:id="7"/>
      <w:bookmarkEnd w:id="8"/>
    </w:p>
    <w:p>
      <w:pPr>
        <w:spacing w:line="540" w:lineRule="exact"/>
        <w:jc w:val="center"/>
        <w:rPr>
          <w:rFonts w:ascii="黑体" w:hAnsi="黑体" w:eastAsia="黑体" w:cs="黑体"/>
          <w:bCs/>
          <w:sz w:val="36"/>
          <w:szCs w:val="36"/>
        </w:rPr>
      </w:pPr>
      <w:bookmarkStart w:id="9" w:name="_Toc19313"/>
      <w:bookmarkStart w:id="10" w:name="_Toc4299"/>
      <w:bookmarkStart w:id="11" w:name="_Toc3343"/>
      <w:r>
        <w:rPr>
          <w:rFonts w:hint="eastAsia" w:ascii="黑体" w:hAnsi="黑体" w:eastAsia="黑体" w:cs="黑体"/>
          <w:bCs/>
          <w:sz w:val="36"/>
          <w:szCs w:val="36"/>
        </w:rPr>
        <w:t>价格构成表</w:t>
      </w:r>
      <w:bookmarkEnd w:id="9"/>
    </w:p>
    <w:p>
      <w:pPr>
        <w:autoSpaceDE w:val="0"/>
        <w:autoSpaceDN w:val="0"/>
        <w:adjustRightInd w:val="0"/>
        <w:spacing w:line="560" w:lineRule="exact"/>
        <w:ind w:left="-105" w:leftChars="-50"/>
        <w:rPr>
          <w:rFonts w:hint="default" w:ascii="宋体" w:hAnsi="宋体" w:cs="宋体"/>
          <w:snapToGrid w:val="0"/>
          <w:lang w:val="en-US" w:eastAsia="zh-CN"/>
        </w:rPr>
      </w:pPr>
      <w:r>
        <w:rPr>
          <w:rFonts w:hint="eastAsia" w:ascii="宋体" w:hAnsi="宋体" w:cs="宋体"/>
          <w:snapToGrid w:val="0"/>
        </w:rPr>
        <w:t xml:space="preserve">项目名称： 智能平台工作区域配置及任务规划模块                 项目编号： </w:t>
      </w:r>
      <w:r>
        <w:rPr>
          <w:rFonts w:hint="eastAsia"/>
          <w:sz w:val="24"/>
          <w:szCs w:val="24"/>
        </w:rPr>
        <w:t xml:space="preserve"> 2021ZNPT </w:t>
      </w:r>
      <w:r>
        <w:rPr>
          <w:rFonts w:hint="eastAsia" w:ascii="宋体" w:hAnsi="宋体" w:cs="宋体"/>
          <w:snapToGrid w:val="0"/>
        </w:rPr>
        <w:t xml:space="preserve">             金额单位：</w:t>
      </w:r>
      <w:r>
        <w:rPr>
          <w:rFonts w:hint="eastAsia" w:ascii="宋体" w:hAnsi="宋体" w:cs="宋体"/>
          <w:snapToGrid w:val="0"/>
          <w:lang w:val="en-US" w:eastAsia="zh-CN"/>
        </w:rPr>
        <w:t xml:space="preserve"> 元</w:t>
      </w:r>
    </w:p>
    <w:tbl>
      <w:tblPr>
        <w:tblStyle w:val="10"/>
        <w:tblW w:w="162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6"/>
        <w:gridCol w:w="774"/>
        <w:gridCol w:w="644"/>
        <w:gridCol w:w="428"/>
        <w:gridCol w:w="1165"/>
        <w:gridCol w:w="1159"/>
        <w:gridCol w:w="1134"/>
        <w:gridCol w:w="1178"/>
        <w:gridCol w:w="1059"/>
        <w:gridCol w:w="1069"/>
        <w:gridCol w:w="916"/>
        <w:gridCol w:w="753"/>
        <w:gridCol w:w="660"/>
        <w:gridCol w:w="698"/>
        <w:gridCol w:w="742"/>
        <w:gridCol w:w="840"/>
        <w:gridCol w:w="775"/>
        <w:gridCol w:w="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atLeast"/>
          <w:tblHeader/>
          <w:jc w:val="center"/>
        </w:trPr>
        <w:tc>
          <w:tcPr>
            <w:tcW w:w="1416" w:type="dxa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货  物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名  称</w:t>
            </w:r>
          </w:p>
        </w:tc>
        <w:tc>
          <w:tcPr>
            <w:tcW w:w="774" w:type="dxa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规格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型号</w:t>
            </w:r>
          </w:p>
        </w:tc>
        <w:tc>
          <w:tcPr>
            <w:tcW w:w="644" w:type="dxa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计量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单位</w:t>
            </w:r>
          </w:p>
        </w:tc>
        <w:tc>
          <w:tcPr>
            <w:tcW w:w="428" w:type="dxa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数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量</w:t>
            </w:r>
          </w:p>
        </w:tc>
        <w:tc>
          <w:tcPr>
            <w:tcW w:w="1165" w:type="dxa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总价</w:t>
            </w:r>
          </w:p>
        </w:tc>
        <w:tc>
          <w:tcPr>
            <w:tcW w:w="1159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单价</w:t>
            </w:r>
          </w:p>
        </w:tc>
        <w:tc>
          <w:tcPr>
            <w:tcW w:w="10614" w:type="dxa"/>
            <w:gridSpan w:val="12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价   格  构  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atLeast"/>
          <w:tblHeader/>
          <w:jc w:val="center"/>
        </w:trPr>
        <w:tc>
          <w:tcPr>
            <w:tcW w:w="1416" w:type="dxa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</w:p>
        </w:tc>
        <w:tc>
          <w:tcPr>
            <w:tcW w:w="774" w:type="dxa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</w:p>
        </w:tc>
        <w:tc>
          <w:tcPr>
            <w:tcW w:w="644" w:type="dxa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</w:p>
        </w:tc>
        <w:tc>
          <w:tcPr>
            <w:tcW w:w="428" w:type="dxa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</w:p>
        </w:tc>
        <w:tc>
          <w:tcPr>
            <w:tcW w:w="1165" w:type="dxa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</w:p>
        </w:tc>
        <w:tc>
          <w:tcPr>
            <w:tcW w:w="1159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</w:p>
        </w:tc>
        <w:tc>
          <w:tcPr>
            <w:tcW w:w="1134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直接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材料费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外购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成件费</w:t>
            </w:r>
          </w:p>
        </w:tc>
        <w:tc>
          <w:tcPr>
            <w:tcW w:w="1059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燃料及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动力费</w:t>
            </w:r>
          </w:p>
        </w:tc>
        <w:tc>
          <w:tcPr>
            <w:tcW w:w="1069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直接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人工费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废品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损失费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管理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费用</w:t>
            </w:r>
          </w:p>
        </w:tc>
        <w:tc>
          <w:tcPr>
            <w:tcW w:w="66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利润</w:t>
            </w:r>
          </w:p>
        </w:tc>
        <w:tc>
          <w:tcPr>
            <w:tcW w:w="698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税金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备件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工具费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安装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调试费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技术</w:t>
            </w: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服务费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运杂费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57" w:hRule="atLeast"/>
          <w:jc w:val="center"/>
        </w:trPr>
        <w:tc>
          <w:tcPr>
            <w:tcW w:w="141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napToGrid w:val="0"/>
                <w:szCs w:val="21"/>
              </w:rPr>
            </w:pPr>
            <w:r>
              <w:rPr>
                <w:rFonts w:hint="eastAsia" w:ascii="宋体" w:hAnsi="宋体" w:cs="宋体"/>
                <w:snapToGrid w:val="0"/>
                <w:szCs w:val="21"/>
              </w:rPr>
              <w:t>智能平台工作区域分析与配置子模块</w:t>
            </w:r>
          </w:p>
        </w:tc>
        <w:tc>
          <w:tcPr>
            <w:tcW w:w="77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snapToGrid w:val="0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/>
              </w:rPr>
              <w:t>/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套</w:t>
            </w:r>
          </w:p>
        </w:tc>
        <w:tc>
          <w:tcPr>
            <w:tcW w:w="42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</w:t>
            </w:r>
          </w:p>
        </w:tc>
        <w:tc>
          <w:tcPr>
            <w:tcW w:w="116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119,875.00</w:t>
            </w:r>
          </w:p>
        </w:tc>
        <w:tc>
          <w:tcPr>
            <w:tcW w:w="115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119,875.00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13,184.00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14,384.00</w:t>
            </w:r>
          </w:p>
        </w:tc>
        <w:tc>
          <w:tcPr>
            <w:tcW w:w="105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7,191.00</w:t>
            </w:r>
          </w:p>
        </w:tc>
        <w:tc>
          <w:tcPr>
            <w:tcW w:w="106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16,781.00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2,391.00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15,582.00</w:t>
            </w:r>
          </w:p>
        </w:tc>
        <w:tc>
          <w:tcPr>
            <w:tcW w:w="66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11,981.00</w:t>
            </w:r>
          </w:p>
        </w:tc>
        <w:tc>
          <w:tcPr>
            <w:tcW w:w="69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4,791.00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19,172.00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5,991.00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6,101.00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2,326.00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atLeast"/>
          <w:jc w:val="center"/>
        </w:trPr>
        <w:tc>
          <w:tcPr>
            <w:tcW w:w="141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napToGrid w:val="0"/>
                <w:szCs w:val="21"/>
              </w:rPr>
            </w:pPr>
            <w:r>
              <w:rPr>
                <w:rFonts w:hint="eastAsia" w:ascii="宋体" w:hAnsi="宋体" w:cs="宋体"/>
                <w:snapToGrid w:val="0"/>
                <w:szCs w:val="21"/>
              </w:rPr>
              <w:t>智能平台任务分配子模块</w:t>
            </w:r>
          </w:p>
        </w:tc>
        <w:tc>
          <w:tcPr>
            <w:tcW w:w="77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snapToGrid w:val="0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/>
              </w:rPr>
              <w:t>/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套</w:t>
            </w:r>
          </w:p>
        </w:tc>
        <w:tc>
          <w:tcPr>
            <w:tcW w:w="42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</w:t>
            </w:r>
          </w:p>
        </w:tc>
        <w:tc>
          <w:tcPr>
            <w:tcW w:w="116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137,864.00</w:t>
            </w:r>
          </w:p>
        </w:tc>
        <w:tc>
          <w:tcPr>
            <w:tcW w:w="115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137,864.00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15,167.00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16,545.00</w:t>
            </w:r>
          </w:p>
        </w:tc>
        <w:tc>
          <w:tcPr>
            <w:tcW w:w="105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8,271.00</w:t>
            </w:r>
          </w:p>
        </w:tc>
        <w:tc>
          <w:tcPr>
            <w:tcW w:w="106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19,302.00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2,751.00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17,921.00</w:t>
            </w:r>
          </w:p>
        </w:tc>
        <w:tc>
          <w:tcPr>
            <w:tcW w:w="66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13,771.00</w:t>
            </w:r>
          </w:p>
        </w:tc>
        <w:tc>
          <w:tcPr>
            <w:tcW w:w="69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5,510.00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22,051.00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6,704.00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5,811.00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4,060.00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atLeast"/>
          <w:jc w:val="center"/>
        </w:trPr>
        <w:tc>
          <w:tcPr>
            <w:tcW w:w="141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napToGrid w:val="0"/>
                <w:szCs w:val="21"/>
              </w:rPr>
            </w:pPr>
            <w:r>
              <w:rPr>
                <w:rFonts w:hint="eastAsia" w:ascii="宋体" w:hAnsi="宋体" w:cs="宋体"/>
                <w:snapToGrid w:val="0"/>
                <w:szCs w:val="21"/>
              </w:rPr>
              <w:t>地面智能平台路径规划子模块</w:t>
            </w:r>
          </w:p>
        </w:tc>
        <w:tc>
          <w:tcPr>
            <w:tcW w:w="77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snapToGrid w:val="0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/>
              </w:rPr>
              <w:t>/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套</w:t>
            </w:r>
          </w:p>
        </w:tc>
        <w:tc>
          <w:tcPr>
            <w:tcW w:w="42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</w:t>
            </w:r>
          </w:p>
        </w:tc>
        <w:tc>
          <w:tcPr>
            <w:tcW w:w="116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141,563.00</w:t>
            </w:r>
          </w:p>
        </w:tc>
        <w:tc>
          <w:tcPr>
            <w:tcW w:w="115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141,563.00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15,576.00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16,494.00</w:t>
            </w:r>
          </w:p>
        </w:tc>
        <w:tc>
          <w:tcPr>
            <w:tcW w:w="105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2,735.00</w:t>
            </w:r>
          </w:p>
        </w:tc>
        <w:tc>
          <w:tcPr>
            <w:tcW w:w="106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22,853.00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2,562.00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19,721.00</w:t>
            </w:r>
          </w:p>
        </w:tc>
        <w:tc>
          <w:tcPr>
            <w:tcW w:w="66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12,641.00</w:t>
            </w:r>
          </w:p>
        </w:tc>
        <w:tc>
          <w:tcPr>
            <w:tcW w:w="69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4,851.00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23,546.00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6,341.00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8,534.00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5,709.00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atLeast"/>
          <w:jc w:val="center"/>
        </w:trPr>
        <w:tc>
          <w:tcPr>
            <w:tcW w:w="141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cs="宋体"/>
                <w:snapToGrid w:val="0"/>
                <w:szCs w:val="21"/>
              </w:rPr>
            </w:pPr>
            <w:r>
              <w:rPr>
                <w:rFonts w:hint="eastAsia" w:ascii="宋体" w:hAnsi="宋体" w:cs="宋体"/>
                <w:snapToGrid w:val="0"/>
                <w:szCs w:val="21"/>
              </w:rPr>
              <w:t>空中智能平台航迹规划子模块</w:t>
            </w:r>
          </w:p>
        </w:tc>
        <w:tc>
          <w:tcPr>
            <w:tcW w:w="77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snapToGrid w:val="0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/>
              </w:rPr>
              <w:t>/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套</w:t>
            </w:r>
          </w:p>
        </w:tc>
        <w:tc>
          <w:tcPr>
            <w:tcW w:w="42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</w:t>
            </w:r>
          </w:p>
        </w:tc>
        <w:tc>
          <w:tcPr>
            <w:tcW w:w="116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124,453.00</w:t>
            </w:r>
          </w:p>
        </w:tc>
        <w:tc>
          <w:tcPr>
            <w:tcW w:w="115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124,453.00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16,501.00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15741.00</w:t>
            </w:r>
          </w:p>
        </w:tc>
        <w:tc>
          <w:tcPr>
            <w:tcW w:w="105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6,502.00</w:t>
            </w:r>
          </w:p>
        </w:tc>
        <w:tc>
          <w:tcPr>
            <w:tcW w:w="106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15,782.00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3,151.00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14,512.00</w:t>
            </w:r>
          </w:p>
        </w:tc>
        <w:tc>
          <w:tcPr>
            <w:tcW w:w="66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13,654.00</w:t>
            </w:r>
          </w:p>
        </w:tc>
        <w:tc>
          <w:tcPr>
            <w:tcW w:w="69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5,120.00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15,411.00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6,741.00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7,121.00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napToGrid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Cs w:val="21"/>
                <w:lang w:val="en-US" w:eastAsia="zh-CN"/>
              </w:rPr>
              <w:t>4,217.00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atLeast"/>
          <w:jc w:val="center"/>
        </w:trPr>
        <w:tc>
          <w:tcPr>
            <w:tcW w:w="16200" w:type="dxa"/>
            <w:gridSpan w:val="18"/>
            <w:noWrap w:val="0"/>
            <w:vAlign w:val="center"/>
          </w:tcPr>
          <w:p>
            <w:pPr>
              <w:spacing w:line="400" w:lineRule="exact"/>
              <w:rPr>
                <w:rFonts w:hint="eastAsia" w:ascii="宋体" w:hAnsi="宋体" w:cs="宋体"/>
                <w:snapToGrid w:val="0"/>
              </w:rPr>
            </w:pPr>
            <w:r>
              <w:rPr>
                <w:rFonts w:hint="eastAsia" w:ascii="宋体" w:hAnsi="宋体" w:cs="宋体"/>
                <w:snapToGrid w:val="0"/>
              </w:rPr>
              <w:t>货物总金额（大写人民币）：</w:t>
            </w:r>
            <w:r>
              <w:rPr>
                <w:rFonts w:hint="eastAsia" w:ascii="宋体" w:hAnsi="宋体" w:eastAsia="宋体"/>
                <w:bCs/>
                <w:spacing w:val="-4"/>
              </w:rPr>
              <w:t>人民币伍拾贰万叁仟柒佰伍拾伍元整</w:t>
            </w:r>
            <w:r>
              <w:rPr>
                <w:rFonts w:hint="eastAsia" w:ascii="宋体" w:hAnsi="宋体" w:cs="宋体"/>
                <w:snapToGrid w:val="0"/>
              </w:rPr>
              <w:t>（￥）</w:t>
            </w:r>
          </w:p>
        </w:tc>
      </w:tr>
    </w:tbl>
    <w:p>
      <w:pPr>
        <w:autoSpaceDE w:val="0"/>
        <w:autoSpaceDN w:val="0"/>
        <w:spacing w:line="560" w:lineRule="exact"/>
        <w:rPr>
          <w:rFonts w:ascii="宋体" w:hAnsi="宋体" w:cs="宋体"/>
          <w:snapToGrid w:val="0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7753350</wp:posOffset>
            </wp:positionH>
            <wp:positionV relativeFrom="paragraph">
              <wp:posOffset>121285</wp:posOffset>
            </wp:positionV>
            <wp:extent cx="1420495" cy="1420495"/>
            <wp:effectExtent l="0" t="0" r="12065" b="12065"/>
            <wp:wrapNone/>
            <wp:docPr id="5" name="图片 3" descr="fd9e67fd9876f40db88ca467668d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fd9e67fd9876f40db88ca467668d5d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snapToGrid w:val="0"/>
        </w:rPr>
        <w:t>说明：</w:t>
      </w:r>
      <w:r>
        <w:rPr>
          <w:rFonts w:hint="eastAsia" w:ascii="宋体" w:hAnsi="宋体" w:cs="宋体"/>
          <w:snapToGrid w:val="0"/>
        </w:rPr>
        <w:t>1.总价=单价×数量</w:t>
      </w:r>
    </w:p>
    <w:p>
      <w:pPr>
        <w:autoSpaceDE w:val="0"/>
        <w:autoSpaceDN w:val="0"/>
        <w:spacing w:line="560" w:lineRule="exact"/>
        <w:ind w:firstLine="630" w:firstLineChars="3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bookmarkStart w:id="12" w:name="_Toc27987"/>
      <w:r>
        <w:rPr>
          <w:rFonts w:hint="eastAsia" w:ascii="宋体" w:hAnsi="宋体" w:cs="宋体"/>
          <w:snapToGrid w:val="0"/>
        </w:rPr>
        <w:t>2.单价=“价格构成”栏中各项之和</w:t>
      </w:r>
      <w:bookmarkEnd w:id="12"/>
      <w:r>
        <w:rPr>
          <w:rFonts w:hint="eastAsia" w:hAnsi="宋体" w:cs="宋体"/>
          <w:snapToGrid w:val="0"/>
          <w:kern w:val="0"/>
          <w:szCs w:val="28"/>
          <w:lang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ab/>
      </w:r>
    </w:p>
    <w:p>
      <w:pPr>
        <w:pStyle w:val="6"/>
        <w:keepNext w:val="0"/>
        <w:keepLines w:val="0"/>
        <w:pageBreakBefore w:val="0"/>
        <w:widowControl w:val="0"/>
        <w:tabs>
          <w:tab w:val="left" w:pos="5580"/>
          <w:tab w:val="center" w:pos="7144"/>
          <w:tab w:val="right" w:pos="14409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right"/>
        <w:textAlignment w:val="auto"/>
        <w:rPr>
          <w:rFonts w:hAnsi="宋体" w:cs="宋体"/>
          <w:snapToGrid w:val="0"/>
          <w:kern w:val="0"/>
          <w:szCs w:val="2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投标人全称：</w:t>
      </w:r>
      <w:r>
        <w:rPr>
          <w:rFonts w:hint="eastAsia" w:hAnsi="宋体" w:cs="宋体"/>
          <w:kern w:val="0"/>
          <w:sz w:val="24"/>
          <w:szCs w:val="24"/>
          <w:lang w:val="en-US" w:eastAsia="zh-CN" w:bidi="ar-SA"/>
        </w:rPr>
        <w:t xml:space="preserve"> 科奇软件开发股份有限公司</w:t>
      </w:r>
      <w:r>
        <w:rPr>
          <w:rFonts w:hint="eastAsia" w:hAnsi="宋体" w:cs="宋体"/>
          <w:snapToGrid w:val="0"/>
          <w:kern w:val="0"/>
          <w:sz w:val="24"/>
          <w:szCs w:val="24"/>
        </w:rPr>
        <w:t>（盖章）</w:t>
      </w:r>
    </w:p>
    <w:p>
      <w:pPr>
        <w:pStyle w:val="6"/>
        <w:keepNext w:val="0"/>
        <w:keepLines w:val="0"/>
        <w:pageBreakBefore w:val="0"/>
        <w:widowControl w:val="0"/>
        <w:tabs>
          <w:tab w:val="left" w:pos="53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2520" w:firstLineChars="1200"/>
        <w:jc w:val="right"/>
        <w:textAlignment w:val="auto"/>
        <w:rPr>
          <w:rFonts w:hint="eastAsia" w:hAnsi="宋体" w:cs="宋体"/>
          <w:snapToGrid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7790180</wp:posOffset>
            </wp:positionH>
            <wp:positionV relativeFrom="paragraph">
              <wp:posOffset>102870</wp:posOffset>
            </wp:positionV>
            <wp:extent cx="775335" cy="603885"/>
            <wp:effectExtent l="0" t="0" r="1905" b="4445"/>
            <wp:wrapNone/>
            <wp:docPr id="4" name="图片 4" descr="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pageBreakBefore w:val="0"/>
        <w:widowControl w:val="0"/>
        <w:tabs>
          <w:tab w:val="left" w:pos="53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ind w:firstLine="2880" w:firstLineChars="1200"/>
        <w:jc w:val="right"/>
        <w:textAlignment w:val="auto"/>
        <w:rPr>
          <w:rFonts w:ascii="宋体" w:hAnsi="宋体" w:cs="宋体"/>
          <w:sz w:val="24"/>
          <w:szCs w:val="24"/>
        </w:rPr>
      </w:pPr>
      <w:r>
        <w:rPr>
          <w:rFonts w:hint="eastAsia" w:hAnsi="宋体" w:cs="宋体"/>
          <w:snapToGrid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napToGrid w:val="0"/>
          <w:kern w:val="0"/>
          <w:sz w:val="24"/>
          <w:szCs w:val="24"/>
          <w:lang w:val="zh-CN"/>
        </w:rPr>
        <w:t>法定代表人（或授权代表）</w:t>
      </w:r>
      <w:r>
        <w:rPr>
          <w:rFonts w:hint="eastAsia" w:hAnsi="宋体" w:cs="宋体"/>
          <w:snapToGrid w:val="0"/>
          <w:kern w:val="0"/>
          <w:sz w:val="24"/>
          <w:szCs w:val="24"/>
        </w:rPr>
        <w:t>：     （签字）</w:t>
      </w:r>
    </w:p>
    <w:p>
      <w:pPr>
        <w:bidi w:val="0"/>
        <w:ind w:left="117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6838" w:h="11906" w:orient="landscape"/>
          <w:pgMar w:top="1411" w:right="1411" w:bottom="1138" w:left="1138" w:header="850" w:footer="994" w:gutter="0"/>
          <w:pgNumType w:fmt="numberInDash"/>
          <w:cols w:space="720" w:num="1"/>
          <w:docGrid w:type="linesAndChars" w:linePitch="381" w:charSpace="0"/>
        </w:sect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2024年3月6日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3.其他与价格有关的资料、文件</w:t>
      </w:r>
      <w:bookmarkEnd w:id="10"/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32428"/>
      <w:bookmarkStart w:id="14" w:name="_Toc7535"/>
      <w:r>
        <w:rPr>
          <w:rFonts w:hint="eastAsia"/>
          <w:lang w:val="en-US" w:eastAsia="zh-CN"/>
        </w:rPr>
        <w:t>3.1 支付条款与条件</w:t>
      </w:r>
      <w:bookmarkEnd w:id="13"/>
      <w:bookmarkEnd w:id="14"/>
    </w:p>
    <w:p>
      <w:pPr>
        <w:spacing w:after="160" w:line="259" w:lineRule="auto"/>
        <w:jc w:val="center"/>
        <w:rPr>
          <w:rFonts w:hint="eastAsia" w:ascii="黑体" w:hAnsi="黑体" w:eastAsia="黑体"/>
          <w:sz w:val="36"/>
          <w:szCs w:val="36"/>
        </w:rPr>
      </w:pPr>
      <w:bookmarkStart w:id="15" w:name="_Hlk160613194"/>
      <w:r>
        <w:rPr>
          <w:rFonts w:hint="eastAsia" w:ascii="黑体" w:hAnsi="黑体" w:eastAsia="黑体"/>
          <w:sz w:val="36"/>
          <w:szCs w:val="36"/>
        </w:rPr>
        <w:t>支付条款与条件</w:t>
      </w:r>
    </w:p>
    <w:p>
      <w:pPr>
        <w:spacing w:line="420" w:lineRule="exac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一、付款方式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1.合同签订后，由需求方的财务部门向乙方支付45%合同款；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2.安装验收完成后，凭需求方签章的安装验收报告和采购方的采购档案齐全证明，由需求方的财务部门向乙方支付50%合同款；</w:t>
      </w:r>
    </w:p>
    <w:p>
      <w:pPr>
        <w:spacing w:line="420" w:lineRule="exact"/>
        <w:ind w:firstLine="420" w:firstLineChars="0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3.质保期后，凭需求方签章的同意付款证明，由需求方的财务部门向乙方支付5%尾款。</w:t>
      </w:r>
    </w:p>
    <w:p>
      <w:pPr>
        <w:spacing w:line="420" w:lineRule="exac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二、支付条件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1、卖方需按照合同规定的时间节点完成相应的项目阶段任务，并提供相应的证明文件。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2、买方有权在收到卖方提供的阶段任务完成证明文件后进行审核，确认无误后进行相应款项的支付。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3</w:t>
      </w:r>
      <w:r>
        <w:rPr>
          <w:rFonts w:hint="eastAsia" w:asciiTheme="minorEastAsia" w:hAnsiTheme="minorEastAsia" w:eastAsiaTheme="minorEastAsia"/>
          <w:sz w:val="28"/>
          <w:szCs w:val="28"/>
        </w:rPr>
        <w:t>、若卖方未能按照合同规定的时间节点完成相应的项目阶段任务，买方有权暂停支付相应的进度款，直至卖方完成该阶段任务。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4、若卖方在项目执行过程中存在质量问题或违约行为，买方有权要求卖方进行整改或赔偿，并暂停支付相应的款项。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5、本合同项下的所有款项均以人民币结算，并应通过银行转账方式支付至卖方指定的银行账户。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6.不论投标结果如何，投标人自行承担与投标有关的全部费用。</w:t>
      </w:r>
    </w:p>
    <w:p>
      <w:pPr>
        <w:spacing w:line="420" w:lineRule="exac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三、其他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1、双方应妥善保管与本合同有关的支付凭证和单据，以备查验。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2、若因不可抗力因素导致买方无法按时支付款项，买方应及时通知卖方，并在情况允许的情况下尽快完成支付。</w:t>
      </w:r>
    </w:p>
    <w:p>
      <w:pPr>
        <w:spacing w:line="420" w:lineRule="exact"/>
        <w:ind w:firstLine="42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3</w:t>
      </w:r>
      <w:r>
        <w:rPr>
          <w:rFonts w:hint="eastAsia" w:asciiTheme="minorEastAsia" w:hAnsiTheme="minorEastAsia" w:eastAsiaTheme="minorEastAsia"/>
          <w:sz w:val="28"/>
          <w:szCs w:val="28"/>
        </w:rPr>
        <w:t>、本合同中的支付条款与条件构成双方之间的有效约定，双方应严</w:t>
      </w:r>
      <w:r>
        <w:rPr>
          <w:rFonts w:cs="宋体" w:asciiTheme="minorEastAsia" w:hAnsiTheme="minorEastAsia" w:eastAsiaTheme="minorEastAsia"/>
          <w:kern w:val="2"/>
          <w:sz w:val="28"/>
          <w:szCs w:val="28"/>
          <w:lang w:val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3794125</wp:posOffset>
            </wp:positionH>
            <wp:positionV relativeFrom="paragraph">
              <wp:posOffset>229235</wp:posOffset>
            </wp:positionV>
            <wp:extent cx="1518920" cy="1518920"/>
            <wp:effectExtent l="0" t="0" r="5080" b="5080"/>
            <wp:wrapNone/>
            <wp:docPr id="1686518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8064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699" cy="151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 w:val="28"/>
          <w:szCs w:val="28"/>
        </w:rPr>
        <w:t>格遵守并执行。如有任何争议，应首先通过友好协商解决；协商不成的，任何一方均有权向有管辖权的人民法院提起诉讼</w:t>
      </w:r>
      <w:bookmarkEnd w:id="15"/>
      <w:r>
        <w:rPr>
          <w:rFonts w:hint="eastAsia" w:asciiTheme="minorEastAsia" w:hAnsiTheme="minorEastAsia" w:eastAsiaTheme="minorEastAsia"/>
          <w:sz w:val="28"/>
          <w:szCs w:val="28"/>
        </w:rPr>
        <w:t>。</w:t>
      </w:r>
    </w:p>
    <w:p>
      <w:pPr>
        <w:autoSpaceDE w:val="0"/>
        <w:autoSpaceDN w:val="0"/>
        <w:adjustRightInd w:val="0"/>
        <w:spacing w:line="420" w:lineRule="exact"/>
        <w:ind w:left="2310" w:leftChars="1100"/>
        <w:jc w:val="right"/>
        <w:rPr>
          <w:rFonts w:cs="宋体" w:asciiTheme="minorEastAsia" w:hAnsiTheme="minorEastAsia" w:eastAsiaTheme="minorEastAsia"/>
          <w:kern w:val="2"/>
          <w:sz w:val="28"/>
          <w:szCs w:val="28"/>
          <w:lang w:val="zh-CN"/>
        </w:rPr>
      </w:pPr>
      <w:r>
        <w:rPr>
          <w:rFonts w:hint="eastAsia" w:cs="宋体" w:asciiTheme="minorEastAsia" w:hAnsiTheme="minorEastAsia" w:eastAsiaTheme="minorEastAsia"/>
          <w:snapToGrid w:val="0"/>
          <w:sz w:val="28"/>
          <w:szCs w:val="28"/>
        </w:rPr>
        <w:t>投标人全称：科奇软件开发股份有限公司 （盖章）         法定代表人（或授权代表）：</w:t>
      </w:r>
      <w:r>
        <w:rPr>
          <w:rFonts w:cs="宋体" w:asciiTheme="minorEastAsia" w:hAnsiTheme="minorEastAsia" w:eastAsiaTheme="minorEastAsia"/>
          <w:snapToGrid w:val="0"/>
          <w:sz w:val="28"/>
          <w:szCs w:val="28"/>
        </w:rPr>
        <w:drawing>
          <wp:inline distT="0" distB="0" distL="114300" distR="114300">
            <wp:extent cx="444500" cy="287020"/>
            <wp:effectExtent l="0" t="0" r="12700" b="0"/>
            <wp:docPr id="1071691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91972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8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cs="宋体" w:asciiTheme="minorEastAsia" w:hAnsiTheme="minorEastAsia" w:eastAsiaTheme="minorEastAsia"/>
          <w:snapToGrid w:val="0"/>
          <w:sz w:val="28"/>
          <w:szCs w:val="28"/>
        </w:rPr>
        <w:t xml:space="preserve"> （签字） </w:t>
      </w:r>
      <w:r>
        <w:rPr>
          <w:rFonts w:cs="宋体" w:asciiTheme="minorEastAsia" w:hAnsiTheme="minorEastAsia" w:eastAsiaTheme="minorEastAsia"/>
          <w:snapToGrid w:val="0"/>
          <w:sz w:val="28"/>
          <w:szCs w:val="28"/>
        </w:rPr>
        <w:t xml:space="preserve">     </w:t>
      </w:r>
    </w:p>
    <w:p>
      <w:pPr>
        <w:pStyle w:val="6"/>
        <w:tabs>
          <w:tab w:val="left" w:pos="5580"/>
        </w:tabs>
        <w:adjustRightInd w:val="0"/>
        <w:snapToGrid w:val="0"/>
        <w:spacing w:line="420" w:lineRule="exact"/>
        <w:ind w:right="1120"/>
        <w:jc w:val="right"/>
        <w:rPr>
          <w:rFonts w:cs="宋体" w:asciiTheme="minorEastAsia" w:hAnsiTheme="minorEastAsia" w:eastAsiaTheme="minorEastAsia"/>
          <w:snapToGrid w:val="0"/>
          <w:kern w:val="0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snapToGrid w:val="0"/>
          <w:kern w:val="0"/>
          <w:sz w:val="28"/>
          <w:szCs w:val="28"/>
        </w:rPr>
        <w:t>2</w:t>
      </w:r>
      <w:r>
        <w:rPr>
          <w:rFonts w:cs="宋体" w:asciiTheme="minorEastAsia" w:hAnsiTheme="minorEastAsia" w:eastAsiaTheme="minorEastAsia"/>
          <w:snapToGrid w:val="0"/>
          <w:kern w:val="0"/>
          <w:sz w:val="28"/>
          <w:szCs w:val="28"/>
        </w:rPr>
        <w:t>024</w:t>
      </w:r>
      <w:r>
        <w:rPr>
          <w:rFonts w:hint="eastAsia" w:cs="宋体" w:asciiTheme="minorEastAsia" w:hAnsiTheme="minorEastAsia" w:eastAsiaTheme="minorEastAsia"/>
          <w:snapToGrid w:val="0"/>
          <w:kern w:val="0"/>
          <w:sz w:val="28"/>
          <w:szCs w:val="28"/>
        </w:rPr>
        <w:t xml:space="preserve">年 </w:t>
      </w:r>
      <w:r>
        <w:rPr>
          <w:rFonts w:cs="宋体" w:asciiTheme="minorEastAsia" w:hAnsiTheme="minorEastAsia" w:eastAsiaTheme="minorEastAsia"/>
          <w:snapToGrid w:val="0"/>
          <w:kern w:val="0"/>
          <w:sz w:val="28"/>
          <w:szCs w:val="28"/>
        </w:rPr>
        <w:t>3</w:t>
      </w:r>
      <w:r>
        <w:rPr>
          <w:rFonts w:hint="eastAsia" w:cs="宋体" w:asciiTheme="minorEastAsia" w:hAnsiTheme="minorEastAsia" w:eastAsiaTheme="minorEastAsia"/>
          <w:snapToGrid w:val="0"/>
          <w:kern w:val="0"/>
          <w:sz w:val="28"/>
          <w:szCs w:val="28"/>
        </w:rPr>
        <w:t xml:space="preserve"> 月 </w:t>
      </w:r>
      <w:r>
        <w:rPr>
          <w:rFonts w:hint="eastAsia" w:cs="宋体" w:asciiTheme="minorEastAsia" w:hAnsiTheme="minorEastAsia"/>
          <w:snapToGrid w:val="0"/>
          <w:kern w:val="0"/>
          <w:sz w:val="28"/>
          <w:szCs w:val="28"/>
          <w:lang w:val="en-US" w:eastAsia="zh-CN"/>
        </w:rPr>
        <w:t>6</w:t>
      </w:r>
      <w:r>
        <w:rPr>
          <w:rFonts w:hint="eastAsia" w:cs="宋体" w:asciiTheme="minorEastAsia" w:hAnsiTheme="minorEastAsia" w:eastAsiaTheme="minorEastAsia"/>
          <w:snapToGrid w:val="0"/>
          <w:kern w:val="0"/>
          <w:sz w:val="28"/>
          <w:szCs w:val="28"/>
        </w:rPr>
        <w:t xml:space="preserve"> 日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27657"/>
      <w:bookmarkStart w:id="17" w:name="_Toc11394"/>
      <w:r>
        <w:rPr>
          <w:rFonts w:hint="eastAsia"/>
          <w:lang w:val="en-US" w:eastAsia="zh-CN"/>
        </w:rPr>
        <w:t>3.2 报价合理性说明</w:t>
      </w:r>
      <w:bookmarkEnd w:id="16"/>
      <w:bookmarkEnd w:id="17"/>
    </w:p>
    <w:p>
      <w:pPr>
        <w:spacing w:line="420" w:lineRule="exact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zh-CN"/>
        </w:rPr>
        <w:t>报价合理性说明</w:t>
      </w:r>
    </w:p>
    <w:p>
      <w:pPr>
        <w:widowControl/>
        <w:shd w:val="clear" w:color="auto" w:fill="FDFDFE"/>
        <w:spacing w:line="420" w:lineRule="exact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一、成本分析</w:t>
      </w:r>
    </w:p>
    <w:p>
      <w:pPr>
        <w:widowControl/>
        <w:shd w:val="clear" w:color="auto" w:fill="FDFDFE"/>
        <w:spacing w:before="210" w:line="420" w:lineRule="exact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在制定本项目的价格策略时，我们充分考虑了各个方面的成本因素，包括但不限于以下几个方面：</w:t>
      </w:r>
    </w:p>
    <w:p>
      <w:pPr>
        <w:widowControl/>
        <w:numPr>
          <w:ilvl w:val="0"/>
          <w:numId w:val="1"/>
        </w:numPr>
        <w:shd w:val="clear" w:color="auto" w:fill="FDFDFE"/>
        <w:spacing w:line="420" w:lineRule="exact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研发成本：本项目的核心模块——智能平台工作区域配置及任务规划模块，涉及到高级算法开发、界面设计、系统集成等多项复杂工作，需要投入大量的人力、物力和时间资源。我们在定价时已经充分考虑了这些研发成本。</w:t>
      </w:r>
    </w:p>
    <w:p>
      <w:pPr>
        <w:widowControl/>
        <w:numPr>
          <w:ilvl w:val="0"/>
          <w:numId w:val="1"/>
        </w:numPr>
        <w:shd w:val="clear" w:color="auto" w:fill="FDFDFE"/>
        <w:spacing w:line="420" w:lineRule="exact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硬件设备成本：为了保证项目的顺利执行和高质量交付，我们需要采购高性能的服务器、存储设备、网络设备等硬件设备。这些设备的成本也是定价的重要考虑因素之一。</w:t>
      </w:r>
    </w:p>
    <w:p>
      <w:pPr>
        <w:widowControl/>
        <w:numPr>
          <w:ilvl w:val="0"/>
          <w:numId w:val="1"/>
        </w:numPr>
        <w:shd w:val="clear" w:color="auto" w:fill="FDFDFE"/>
        <w:spacing w:line="420" w:lineRule="exact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培训与支持成本：在项目交付后，我们还需要为客户提供必要的培训和技术支持服务。这些服务同样需要投入大量的人力和时间资源，因此也在定价中得到了体现。</w:t>
      </w:r>
    </w:p>
    <w:p>
      <w:pPr>
        <w:widowControl/>
        <w:shd w:val="clear" w:color="auto" w:fill="FDFDFE"/>
        <w:spacing w:line="420" w:lineRule="exact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二、市场比较</w:t>
      </w:r>
    </w:p>
    <w:p>
      <w:pPr>
        <w:widowControl/>
        <w:shd w:val="clear" w:color="auto" w:fill="FDFDFE"/>
        <w:spacing w:before="210" w:line="420" w:lineRule="exact"/>
        <w:ind w:firstLine="420" w:firstLineChars="0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在制定价格时，我们还参考了市场上的同类产品和服务的价格水平。通过对比分析，我们认为本项目的定价在合理范围内，既能够体现出我们的技术实力和服务质量，又不会给客户带来过大的经济负担。</w:t>
      </w:r>
    </w:p>
    <w:p>
      <w:pPr>
        <w:widowControl/>
        <w:shd w:val="clear" w:color="auto" w:fill="FDFDFE"/>
        <w:spacing w:line="420" w:lineRule="exact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三、价值体现</w:t>
      </w:r>
    </w:p>
    <w:p>
      <w:pPr>
        <w:widowControl/>
        <w:shd w:val="clear" w:color="auto" w:fill="FDFDFE"/>
        <w:spacing w:before="210" w:line="420" w:lineRule="exact"/>
        <w:ind w:firstLine="420" w:firstLineChars="0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Segoe UI" w:asciiTheme="minorEastAsia" w:hAnsiTheme="minorEastAsia" w:eastAsiaTheme="minorEastAsia"/>
          <w:sz w:val="28"/>
          <w:szCs w:val="28"/>
        </w:rPr>
        <w:t>本项目的核心模块——智能平台工作区域配置及任务规划模块，能够大大提高企业的工作效率和管理水平，降低运营成本，从而实现企业的可持续发展。因此，从价值角度来看，本项目的定价是合理且具有竞争力的。</w:t>
      </w:r>
    </w:p>
    <w:p>
      <w:pPr>
        <w:widowControl/>
        <w:shd w:val="clear" w:color="auto" w:fill="FDFDFE"/>
        <w:spacing w:before="210" w:line="420" w:lineRule="exact"/>
        <w:ind w:firstLine="420" w:firstLineChars="0"/>
        <w:rPr>
          <w:rFonts w:cs="Segoe UI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napToGrid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576580</wp:posOffset>
            </wp:positionV>
            <wp:extent cx="1489710" cy="1489710"/>
            <wp:effectExtent l="0" t="0" r="3810" b="3810"/>
            <wp:wrapNone/>
            <wp:docPr id="7477487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48712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Segoe UI" w:asciiTheme="minorEastAsia" w:hAnsiTheme="minorEastAsia" w:eastAsiaTheme="minorEastAsia"/>
          <w:sz w:val="28"/>
          <w:szCs w:val="28"/>
        </w:rPr>
        <w:t>综上所述，我们认为本项目的定价是合理且符合市场规律的。我们将以高质量的产品和服务赢得客户的信任和支持，实现双方的共赢</w:t>
      </w:r>
      <w:r>
        <w:rPr>
          <w:rFonts w:hint="eastAsia" w:cs="Segoe UI" w:asciiTheme="minorEastAsia" w:hAnsiTheme="minorEastAsia" w:eastAsiaTheme="minorEastAsia"/>
          <w:sz w:val="28"/>
          <w:szCs w:val="28"/>
        </w:rPr>
        <w:t>。</w:t>
      </w:r>
    </w:p>
    <w:p>
      <w:pPr>
        <w:widowControl/>
        <w:shd w:val="clear" w:color="auto" w:fill="FDFDFE"/>
        <w:spacing w:before="210" w:line="420" w:lineRule="exact"/>
        <w:ind w:firstLine="420" w:firstLineChars="0"/>
        <w:rPr>
          <w:rFonts w:hint="eastAsia" w:cs="Segoe UI" w:asciiTheme="minorEastAsia" w:hAnsiTheme="minorEastAsia" w:eastAsiaTheme="minorEastAsia"/>
          <w:sz w:val="28"/>
          <w:szCs w:val="28"/>
        </w:rPr>
      </w:pPr>
      <w:bookmarkStart w:id="18" w:name="_GoBack"/>
      <w:bookmarkEnd w:id="18"/>
      <w:r>
        <w:rPr>
          <w:rFonts w:hint="eastAsia" w:cs="Segoe UI" w:asciiTheme="minorEastAsia" w:hAnsiTheme="minorEastAsia" w:eastAsiaTheme="minorEastAsia"/>
          <w:sz w:val="28"/>
          <w:szCs w:val="28"/>
        </w:rPr>
        <w:t>特此说明。</w:t>
      </w:r>
    </w:p>
    <w:p>
      <w:pPr>
        <w:autoSpaceDE w:val="0"/>
        <w:autoSpaceDN w:val="0"/>
        <w:adjustRightInd w:val="0"/>
        <w:spacing w:line="420" w:lineRule="exact"/>
        <w:ind w:left="2310" w:leftChars="1100"/>
        <w:rPr>
          <w:rFonts w:cs="宋体" w:asciiTheme="minorEastAsia" w:hAnsiTheme="minorEastAsia" w:eastAsiaTheme="minorEastAsia"/>
          <w:kern w:val="2"/>
          <w:sz w:val="28"/>
          <w:szCs w:val="28"/>
          <w:lang w:val="zh-CN"/>
        </w:rPr>
      </w:pPr>
      <w:r>
        <w:rPr>
          <w:rFonts w:cs="宋体" w:asciiTheme="minorEastAsia" w:hAnsiTheme="minorEastAsia" w:eastAsiaTheme="minorEastAsia"/>
          <w:snapToGrid w:val="0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3925570</wp:posOffset>
            </wp:positionH>
            <wp:positionV relativeFrom="paragraph">
              <wp:posOffset>130175</wp:posOffset>
            </wp:positionV>
            <wp:extent cx="879475" cy="568325"/>
            <wp:effectExtent l="0" t="0" r="4445" b="12065"/>
            <wp:wrapNone/>
            <wp:docPr id="1696444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44445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9696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 w:eastAsiaTheme="minorEastAsia"/>
          <w:snapToGrid w:val="0"/>
          <w:sz w:val="28"/>
          <w:szCs w:val="28"/>
        </w:rPr>
        <w:t xml:space="preserve">投标人全称：科奇软件开发股份有限公司 （盖章）         法定代表人（或授权代表）：  </w:t>
      </w:r>
      <w:r>
        <w:rPr>
          <w:rFonts w:cs="宋体" w:asciiTheme="minorEastAsia" w:hAnsiTheme="minorEastAsia" w:eastAsiaTheme="minorEastAsia"/>
          <w:snapToGrid w:val="0"/>
          <w:sz w:val="28"/>
          <w:szCs w:val="28"/>
        </w:rPr>
        <w:t xml:space="preserve">       </w:t>
      </w:r>
      <w:r>
        <w:rPr>
          <w:rFonts w:hint="eastAsia" w:cs="宋体" w:asciiTheme="minorEastAsia" w:hAnsiTheme="minorEastAsia" w:eastAsiaTheme="minorEastAsia"/>
          <w:snapToGrid w:val="0"/>
          <w:sz w:val="28"/>
          <w:szCs w:val="28"/>
        </w:rPr>
        <w:t xml:space="preserve">（签字） </w:t>
      </w:r>
      <w:r>
        <w:rPr>
          <w:rFonts w:cs="宋体" w:asciiTheme="minorEastAsia" w:hAnsiTheme="minorEastAsia" w:eastAsiaTheme="minorEastAsia"/>
          <w:snapToGrid w:val="0"/>
          <w:sz w:val="28"/>
          <w:szCs w:val="28"/>
        </w:rPr>
        <w:t xml:space="preserve">     </w:t>
      </w:r>
    </w:p>
    <w:p>
      <w:pPr>
        <w:pStyle w:val="6"/>
        <w:tabs>
          <w:tab w:val="left" w:pos="5580"/>
        </w:tabs>
        <w:adjustRightInd w:val="0"/>
        <w:snapToGrid w:val="0"/>
        <w:spacing w:line="420" w:lineRule="exact"/>
        <w:ind w:right="1120"/>
        <w:jc w:val="right"/>
        <w:rPr>
          <w:rFonts w:cs="宋体" w:asciiTheme="minorEastAsia" w:hAnsiTheme="minorEastAsia" w:eastAsiaTheme="minorEastAsia"/>
          <w:snapToGrid w:val="0"/>
          <w:kern w:val="0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snapToGrid w:val="0"/>
          <w:kern w:val="0"/>
          <w:sz w:val="28"/>
          <w:szCs w:val="28"/>
        </w:rPr>
        <w:t>2</w:t>
      </w:r>
      <w:r>
        <w:rPr>
          <w:rFonts w:cs="宋体" w:asciiTheme="minorEastAsia" w:hAnsiTheme="minorEastAsia" w:eastAsiaTheme="minorEastAsia"/>
          <w:snapToGrid w:val="0"/>
          <w:kern w:val="0"/>
          <w:sz w:val="28"/>
          <w:szCs w:val="28"/>
        </w:rPr>
        <w:t>024</w:t>
      </w:r>
      <w:r>
        <w:rPr>
          <w:rFonts w:hint="eastAsia" w:cs="宋体" w:asciiTheme="minorEastAsia" w:hAnsiTheme="minorEastAsia" w:eastAsiaTheme="minorEastAsia"/>
          <w:snapToGrid w:val="0"/>
          <w:kern w:val="0"/>
          <w:sz w:val="28"/>
          <w:szCs w:val="28"/>
        </w:rPr>
        <w:t xml:space="preserve">年 </w:t>
      </w:r>
      <w:r>
        <w:rPr>
          <w:rFonts w:cs="宋体" w:asciiTheme="minorEastAsia" w:hAnsiTheme="minorEastAsia" w:eastAsiaTheme="minorEastAsia"/>
          <w:snapToGrid w:val="0"/>
          <w:kern w:val="0"/>
          <w:sz w:val="28"/>
          <w:szCs w:val="28"/>
        </w:rPr>
        <w:t>03</w:t>
      </w:r>
      <w:r>
        <w:rPr>
          <w:rFonts w:hint="eastAsia" w:cs="宋体" w:asciiTheme="minorEastAsia" w:hAnsiTheme="minorEastAsia" w:eastAsiaTheme="minorEastAsia"/>
          <w:snapToGrid w:val="0"/>
          <w:kern w:val="0"/>
          <w:sz w:val="28"/>
          <w:szCs w:val="28"/>
        </w:rPr>
        <w:t xml:space="preserve"> 月 </w:t>
      </w:r>
      <w:r>
        <w:rPr>
          <w:rFonts w:cs="宋体" w:asciiTheme="minorEastAsia" w:hAnsiTheme="minorEastAsia" w:eastAsiaTheme="minorEastAsia"/>
          <w:snapToGrid w:val="0"/>
          <w:kern w:val="0"/>
          <w:sz w:val="28"/>
          <w:szCs w:val="28"/>
        </w:rPr>
        <w:t>05</w:t>
      </w:r>
      <w:r>
        <w:rPr>
          <w:rFonts w:hint="eastAsia" w:cs="宋体" w:asciiTheme="minorEastAsia" w:hAnsiTheme="minorEastAsia" w:eastAsiaTheme="minorEastAsia"/>
          <w:snapToGrid w:val="0"/>
          <w:kern w:val="0"/>
          <w:sz w:val="28"/>
          <w:szCs w:val="28"/>
        </w:rPr>
        <w:t xml:space="preserve"> 日</w:t>
      </w:r>
    </w:p>
    <w:p>
      <w:pPr>
        <w:spacing w:line="520" w:lineRule="exact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sz w:val="30"/>
                              <w:szCs w:val="30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sz w:val="30"/>
                        <w:szCs w:val="30"/>
                      </w:rPr>
                      <w:instrText xml:space="preserve"> PAGE  \* MERGEFORMAT </w:instrText>
                    </w:r>
                    <w:r>
                      <w:rPr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sz w:val="30"/>
                        <w:szCs w:val="30"/>
                      </w:rPr>
                      <w:t>1</w:t>
                    </w:r>
                    <w:r>
                      <w:rPr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left" w:pos="801"/>
        <w:tab w:val="center" w:pos="4213"/>
      </w:tabs>
      <w:spacing w:line="240" w:lineRule="auto"/>
      <w:jc w:val="center"/>
      <w:outlineLvl w:val="9"/>
      <w:rPr>
        <w:rFonts w:hint="eastAsia" w:eastAsiaTheme="minorEastAsia"/>
        <w:lang w:val="en-US" w:eastAsia="zh-CN"/>
      </w:rPr>
    </w:pPr>
    <w:r>
      <w:rPr>
        <w:rFonts w:hint="eastAsia" w:ascii="楷体_GB2312" w:eastAsia="楷体_GB2312"/>
        <w:sz w:val="21"/>
        <w:szCs w:val="21"/>
        <w:lang w:val="en-US" w:eastAsia="zh-CN"/>
      </w:rPr>
      <w:t>价格文件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C90556"/>
    <w:multiLevelType w:val="multilevel"/>
    <w:tmpl w:val="48C90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3YjE3M2MyNmZiYjk2Y2IzZDY0ZjJkZDFkMjU1ZGMifQ=="/>
  </w:docVars>
  <w:rsids>
    <w:rsidRoot w:val="610914D7"/>
    <w:rsid w:val="03232CF9"/>
    <w:rsid w:val="04A13588"/>
    <w:rsid w:val="0520689E"/>
    <w:rsid w:val="063D4CBA"/>
    <w:rsid w:val="070457D8"/>
    <w:rsid w:val="0774450A"/>
    <w:rsid w:val="0B071D3B"/>
    <w:rsid w:val="0BA53A2D"/>
    <w:rsid w:val="0BE6281C"/>
    <w:rsid w:val="0C781676"/>
    <w:rsid w:val="11845E93"/>
    <w:rsid w:val="12A85BB1"/>
    <w:rsid w:val="14074B59"/>
    <w:rsid w:val="14DE65DC"/>
    <w:rsid w:val="15B91E83"/>
    <w:rsid w:val="1C7E1710"/>
    <w:rsid w:val="1E6B5203"/>
    <w:rsid w:val="20E911C5"/>
    <w:rsid w:val="21676534"/>
    <w:rsid w:val="238C0BD7"/>
    <w:rsid w:val="267A740D"/>
    <w:rsid w:val="2B691D96"/>
    <w:rsid w:val="2D7C1CBC"/>
    <w:rsid w:val="2E153D76"/>
    <w:rsid w:val="2F967065"/>
    <w:rsid w:val="2F9F686C"/>
    <w:rsid w:val="35B85062"/>
    <w:rsid w:val="3CAF1767"/>
    <w:rsid w:val="41594397"/>
    <w:rsid w:val="42380450"/>
    <w:rsid w:val="4488608D"/>
    <w:rsid w:val="452458D4"/>
    <w:rsid w:val="4907292A"/>
    <w:rsid w:val="49B6241D"/>
    <w:rsid w:val="51CB0999"/>
    <w:rsid w:val="52F263F9"/>
    <w:rsid w:val="53BF053A"/>
    <w:rsid w:val="54814CC2"/>
    <w:rsid w:val="5697292D"/>
    <w:rsid w:val="575925A3"/>
    <w:rsid w:val="5BB029AE"/>
    <w:rsid w:val="5E0A2849"/>
    <w:rsid w:val="5ED15115"/>
    <w:rsid w:val="60191726"/>
    <w:rsid w:val="610914D7"/>
    <w:rsid w:val="65960E66"/>
    <w:rsid w:val="675608AD"/>
    <w:rsid w:val="681C5D18"/>
    <w:rsid w:val="68391019"/>
    <w:rsid w:val="69917D90"/>
    <w:rsid w:val="69CE0BCF"/>
    <w:rsid w:val="6B5477F9"/>
    <w:rsid w:val="6D855A48"/>
    <w:rsid w:val="6E7F4B8D"/>
    <w:rsid w:val="6FF869A5"/>
    <w:rsid w:val="7258372B"/>
    <w:rsid w:val="73245D03"/>
    <w:rsid w:val="76986A7D"/>
    <w:rsid w:val="76AD4C20"/>
    <w:rsid w:val="790C1713"/>
    <w:rsid w:val="7AC22AE9"/>
    <w:rsid w:val="7C727ADF"/>
    <w:rsid w:val="7E6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qFormat/>
    <w:uiPriority w:val="0"/>
    <w:pPr>
      <w:ind w:left="840" w:leftChars="400"/>
    </w:pPr>
  </w:style>
  <w:style w:type="paragraph" w:styleId="6">
    <w:name w:val="Plain Text"/>
    <w:basedOn w:val="1"/>
    <w:autoRedefine/>
    <w:qFormat/>
    <w:uiPriority w:val="0"/>
    <w:rPr>
      <w:rFonts w:ascii="宋体" w:hAnsi="Courier New" w:cs="Courier New"/>
      <w:kern w:val="2"/>
      <w:szCs w:val="21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2"/>
    <w:basedOn w:val="1"/>
    <w:next w:val="1"/>
    <w:autoRedefine/>
    <w:qFormat/>
    <w:uiPriority w:val="0"/>
    <w:pPr>
      <w:ind w:left="420" w:leftChars="200"/>
    </w:p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2024-03-04T04:55:00Z</dcterms:created>
  <dc:creator>jyj</dc:creator>
  <cp:lastModifiedBy>jyj</cp:lastModifiedBy>
  <dcterms:modified xsi:type="dcterms:W3CDTF">2024-03-07T13:49:00Z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1D0D9CD802E3492FA707AC0DF758B4E6_11</vt:lpwstr>
  </property>
</Properties>
</file>