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C2AF6">
      <w:pPr>
        <w:widowControl/>
        <w:autoSpaceDE w:val="0"/>
        <w:autoSpaceDN w:val="0"/>
        <w:adjustRightInd w:val="0"/>
        <w:spacing w:after="0" w:line="240" w:lineRule="auto"/>
        <w:jc w:val="center"/>
        <w:rPr>
          <w:rFonts w:ascii="Arial" w:hAnsi="Arial" w:eastAsia="Calibri" w:cs="Arial"/>
          <w:b/>
          <w:bCs/>
          <w:kern w:val="0"/>
          <w:sz w:val="40"/>
          <w:szCs w:val="40"/>
          <w:lang w:val="en-ZA" w:eastAsia="en-ZA"/>
        </w:rPr>
      </w:pPr>
      <w:bookmarkStart w:id="0" w:name="construction-methodology-statement"/>
    </w:p>
    <w:p w14:paraId="17C1DE1B">
      <w:pPr>
        <w:widowControl/>
        <w:autoSpaceDE w:val="0"/>
        <w:autoSpaceDN w:val="0"/>
        <w:adjustRightInd w:val="0"/>
        <w:spacing w:after="0" w:line="240" w:lineRule="auto"/>
        <w:jc w:val="center"/>
        <w:rPr>
          <w:rFonts w:ascii="Arial" w:hAnsi="Arial" w:eastAsia="Calibri" w:cs="Arial"/>
          <w:b/>
          <w:bCs/>
          <w:kern w:val="0"/>
          <w:sz w:val="40"/>
          <w:szCs w:val="40"/>
          <w:lang w:val="en-ZA" w:eastAsia="en-ZA"/>
        </w:rPr>
      </w:pPr>
    </w:p>
    <w:p w14:paraId="14135C6B">
      <w:pPr>
        <w:widowControl/>
        <w:autoSpaceDE w:val="0"/>
        <w:autoSpaceDN w:val="0"/>
        <w:adjustRightInd w:val="0"/>
        <w:spacing w:after="0" w:line="240" w:lineRule="auto"/>
        <w:jc w:val="center"/>
        <w:rPr>
          <w:rFonts w:ascii="Arial" w:hAnsi="Arial" w:eastAsia="Calibri" w:cs="Arial"/>
          <w:b/>
          <w:bCs/>
          <w:kern w:val="0"/>
          <w:sz w:val="40"/>
          <w:szCs w:val="40"/>
          <w:lang w:val="en-ZA" w:eastAsia="en-ZA"/>
        </w:rPr>
      </w:pPr>
      <w:r>
        <w:rPr>
          <w:rFonts w:ascii="Arial" w:hAnsi="Arial" w:eastAsia="Calibri" w:cs="Arial"/>
          <w:b/>
          <w:bCs/>
          <w:kern w:val="0"/>
          <w:sz w:val="40"/>
          <w:szCs w:val="40"/>
          <w:lang w:val="en-ZA" w:eastAsia="en-ZA"/>
        </w:rPr>
        <w:t>THE SOUTH AFRICAN NATIONAL</w:t>
      </w:r>
    </w:p>
    <w:p w14:paraId="45CD4292">
      <w:pPr>
        <w:widowControl/>
        <w:autoSpaceDE w:val="0"/>
        <w:autoSpaceDN w:val="0"/>
        <w:adjustRightInd w:val="0"/>
        <w:spacing w:after="0" w:line="240" w:lineRule="auto"/>
        <w:jc w:val="center"/>
        <w:rPr>
          <w:rFonts w:ascii="Arial" w:hAnsi="Arial" w:eastAsia="Calibri" w:cs="Arial"/>
          <w:b/>
          <w:bCs/>
          <w:kern w:val="0"/>
          <w:sz w:val="40"/>
          <w:szCs w:val="40"/>
          <w:lang w:val="en-ZA" w:eastAsia="en-ZA"/>
        </w:rPr>
      </w:pPr>
      <w:r>
        <w:rPr>
          <w:rFonts w:ascii="Arial" w:hAnsi="Arial" w:eastAsia="Calibri" w:cs="Arial"/>
          <w:b/>
          <w:bCs/>
          <w:kern w:val="0"/>
          <w:sz w:val="40"/>
          <w:szCs w:val="40"/>
          <w:lang w:val="en-ZA" w:eastAsia="en-ZA"/>
        </w:rPr>
        <w:t>ROADS AGENCY SOC LIMITED</w:t>
      </w:r>
    </w:p>
    <w:p w14:paraId="3085B27E">
      <w:pPr>
        <w:widowControl/>
        <w:autoSpaceDE w:val="0"/>
        <w:autoSpaceDN w:val="0"/>
        <w:adjustRightInd w:val="0"/>
        <w:spacing w:after="0" w:line="240" w:lineRule="auto"/>
        <w:jc w:val="center"/>
        <w:rPr>
          <w:rFonts w:hint="eastAsia" w:ascii="New times roman" w:hAnsi="New times roman" w:eastAsia="Calibri" w:cs="Arial"/>
          <w:color w:val="000000"/>
          <w:kern w:val="0"/>
          <w:sz w:val="44"/>
          <w:szCs w:val="44"/>
          <w:lang w:val="en-ZA" w:eastAsia="en-ZA"/>
        </w:rPr>
      </w:pPr>
      <w:r>
        <w:rPr>
          <w:rFonts w:hint="eastAsia" w:ascii="New times roman" w:hAnsi="New times roman" w:eastAsia="Calibri" w:cs="Arial"/>
          <w:color w:val="000000"/>
          <w:kern w:val="0"/>
          <w:sz w:val="44"/>
          <w:szCs w:val="44"/>
          <w:lang w:val="en-ZA" w:eastAsia="en-ZA"/>
        </w:rPr>
        <w:t>NRA 2025/0069</w:t>
      </w:r>
    </w:p>
    <w:p w14:paraId="6294DD20">
      <w:pPr>
        <w:widowControl/>
        <w:autoSpaceDE w:val="0"/>
        <w:autoSpaceDN w:val="0"/>
        <w:adjustRightInd w:val="0"/>
        <w:spacing w:after="0" w:line="240" w:lineRule="auto"/>
        <w:jc w:val="center"/>
        <w:rPr>
          <w:rFonts w:hint="eastAsia" w:ascii="New times roman" w:hAnsi="New times roman" w:eastAsia="Calibri" w:cs="Arial"/>
          <w:color w:val="000000"/>
          <w:kern w:val="0"/>
          <w:sz w:val="44"/>
          <w:szCs w:val="44"/>
          <w:lang w:val="en-ZA" w:eastAsia="en-ZA"/>
        </w:rPr>
      </w:pPr>
    </w:p>
    <w:p w14:paraId="38A61E4D">
      <w:pPr>
        <w:widowControl/>
        <w:autoSpaceDE w:val="0"/>
        <w:autoSpaceDN w:val="0"/>
        <w:adjustRightInd w:val="0"/>
        <w:spacing w:after="0" w:line="240" w:lineRule="auto"/>
        <w:jc w:val="center"/>
        <w:rPr>
          <w:rFonts w:ascii="New times roman" w:hAnsi="New times roman" w:eastAsia="Calibri" w:cs="Arial"/>
          <w:color w:val="000000"/>
          <w:kern w:val="0"/>
          <w:sz w:val="44"/>
          <w:szCs w:val="44"/>
          <w:lang w:val="en-ZA" w:eastAsia="en-ZA"/>
        </w:rPr>
      </w:pPr>
      <w:r>
        <w:rPr>
          <w:rFonts w:ascii="New times roman" w:hAnsi="New times roman" w:eastAsia="Calibri" w:cs="Arial"/>
          <w:color w:val="000000"/>
          <w:kern w:val="0"/>
          <w:sz w:val="44"/>
          <w:szCs w:val="44"/>
          <w:lang w:val="en-ZA" w:eastAsia="en-ZA"/>
        </w:rPr>
        <w:t>CONTRACT SANRAL N.002-180-2018/1</w:t>
      </w:r>
    </w:p>
    <w:p w14:paraId="57E533DB">
      <w:pPr>
        <w:widowControl/>
        <w:autoSpaceDE w:val="0"/>
        <w:autoSpaceDN w:val="0"/>
        <w:adjustRightInd w:val="0"/>
        <w:spacing w:after="0" w:line="240" w:lineRule="auto"/>
        <w:jc w:val="center"/>
        <w:rPr>
          <w:rFonts w:ascii="New times roman" w:hAnsi="New times roman" w:eastAsia="Calibri" w:cs="Arial"/>
          <w:color w:val="000000"/>
          <w:kern w:val="0"/>
          <w:sz w:val="44"/>
          <w:szCs w:val="44"/>
          <w:lang w:val="en-ZA" w:eastAsia="en-ZA"/>
        </w:rPr>
      </w:pPr>
      <w:r>
        <w:rPr>
          <w:rFonts w:ascii="New times roman" w:hAnsi="New times roman" w:eastAsia="Calibri" w:cs="Arial"/>
          <w:color w:val="000000"/>
          <w:kern w:val="0"/>
          <w:sz w:val="44"/>
          <w:szCs w:val="44"/>
          <w:lang w:val="en-ZA" w:eastAsia="en-ZA"/>
        </w:rPr>
        <w:t>UPGRADE ON NATIONAL ROUTE N2 SECTION</w:t>
      </w:r>
    </w:p>
    <w:p w14:paraId="0F034821">
      <w:pPr>
        <w:widowControl/>
        <w:autoSpaceDE w:val="0"/>
        <w:autoSpaceDN w:val="0"/>
        <w:adjustRightInd w:val="0"/>
        <w:spacing w:after="0" w:line="240" w:lineRule="auto"/>
        <w:jc w:val="center"/>
        <w:rPr>
          <w:rFonts w:ascii="New times roman" w:hAnsi="New times roman" w:eastAsia="Calibri" w:cs="Arial"/>
          <w:color w:val="000000"/>
          <w:kern w:val="0"/>
          <w:sz w:val="44"/>
          <w:szCs w:val="44"/>
          <w:lang w:val="en-ZA" w:eastAsia="en-ZA"/>
        </w:rPr>
      </w:pPr>
      <w:r>
        <w:rPr>
          <w:rFonts w:ascii="New times roman" w:hAnsi="New times roman" w:eastAsia="Calibri" w:cs="Arial"/>
          <w:color w:val="000000"/>
          <w:kern w:val="0"/>
          <w:sz w:val="44"/>
          <w:szCs w:val="44"/>
          <w:lang w:val="en-ZA" w:eastAsia="en-ZA"/>
        </w:rPr>
        <w:t>18 BETWEEN VIEDGESVILLE (KM 65.6) AND</w:t>
      </w:r>
    </w:p>
    <w:p w14:paraId="721BBEC4">
      <w:pPr>
        <w:widowControl/>
        <w:autoSpaceDE w:val="0"/>
        <w:autoSpaceDN w:val="0"/>
        <w:adjustRightInd w:val="0"/>
        <w:spacing w:after="0" w:line="240" w:lineRule="auto"/>
        <w:jc w:val="center"/>
        <w:rPr>
          <w:rFonts w:ascii="New times roman" w:hAnsi="New times roman" w:eastAsia="Calibri" w:cs="Arial"/>
          <w:color w:val="000000"/>
          <w:kern w:val="0"/>
          <w:sz w:val="44"/>
          <w:szCs w:val="44"/>
          <w:lang w:val="en-ZA" w:eastAsia="en-ZA"/>
        </w:rPr>
      </w:pPr>
      <w:r>
        <w:rPr>
          <w:rFonts w:ascii="New times roman" w:hAnsi="New times roman" w:eastAsia="Calibri" w:cs="Arial"/>
          <w:color w:val="000000"/>
          <w:kern w:val="0"/>
          <w:sz w:val="44"/>
          <w:szCs w:val="44"/>
          <w:lang w:val="en-ZA" w:eastAsia="en-ZA"/>
        </w:rPr>
        <w:t>MTHATHA (KM 85.0)</w:t>
      </w:r>
    </w:p>
    <w:p w14:paraId="53745933">
      <w:pPr>
        <w:widowControl/>
        <w:autoSpaceDE w:val="0"/>
        <w:autoSpaceDN w:val="0"/>
        <w:adjustRightInd w:val="0"/>
        <w:spacing w:after="0" w:line="240" w:lineRule="auto"/>
        <w:jc w:val="center"/>
        <w:rPr>
          <w:rFonts w:ascii="New times roman" w:hAnsi="New times roman" w:eastAsia="Calibri" w:cs="Arial"/>
          <w:color w:val="000000"/>
          <w:kern w:val="0"/>
          <w:sz w:val="44"/>
          <w:szCs w:val="44"/>
          <w:lang w:val="en-ZA" w:eastAsia="en-ZA"/>
        </w:rPr>
      </w:pPr>
    </w:p>
    <w:p w14:paraId="5AE21AD2">
      <w:pPr>
        <w:widowControl/>
        <w:autoSpaceDE w:val="0"/>
        <w:autoSpaceDN w:val="0"/>
        <w:adjustRightInd w:val="0"/>
        <w:spacing w:after="0" w:line="240" w:lineRule="auto"/>
        <w:jc w:val="center"/>
        <w:rPr>
          <w:rFonts w:ascii="New times roman" w:hAnsi="New times roman" w:eastAsia="Calibri" w:cs="Arial"/>
          <w:color w:val="000000"/>
          <w:kern w:val="0"/>
          <w:sz w:val="44"/>
          <w:szCs w:val="44"/>
          <w:lang w:val="en-ZA" w:eastAsia="en-ZA"/>
        </w:rPr>
      </w:pPr>
    </w:p>
    <w:p w14:paraId="2EFB6293">
      <w:pPr>
        <w:pStyle w:val="16"/>
        <w:jc w:val="center"/>
        <w:rPr>
          <w:rFonts w:ascii="New times roman" w:hAnsi="New times roman" w:eastAsia="Calibri" w:cs="Arial"/>
          <w:b/>
          <w:bCs w:val="0"/>
          <w:color w:val="000000"/>
          <w:kern w:val="0"/>
          <w:sz w:val="44"/>
          <w:szCs w:val="44"/>
          <w:lang w:val="en-ZA" w:eastAsia="en-ZA" w:bidi="ar-SA"/>
        </w:rPr>
      </w:pPr>
      <w:r>
        <w:rPr>
          <w:rFonts w:hint="eastAsia" w:ascii="Calibri Light" w:hAnsi="Calibri Light" w:eastAsia="Calibri Light"/>
          <w:b/>
          <w:bCs w:val="0"/>
          <w:color w:val="1B3A5C"/>
          <w:sz w:val="56"/>
        </w:rPr>
        <w:t>WORK PLAN AND PROPOSED METHODOLOGY</w:t>
      </w:r>
    </w:p>
    <w:p w14:paraId="3E1F2E3A">
      <w:pPr>
        <w:pStyle w:val="16"/>
        <w:jc w:val="center"/>
        <w:rPr>
          <w:rFonts w:ascii="New times roman" w:hAnsi="New times roman" w:eastAsia="Calibri" w:cs="Arial"/>
          <w:color w:val="000000"/>
          <w:kern w:val="0"/>
          <w:sz w:val="44"/>
          <w:szCs w:val="44"/>
          <w:lang w:val="en-ZA" w:eastAsia="en-ZA" w:bidi="ar-SA"/>
        </w:rPr>
      </w:pPr>
    </w:p>
    <w:p w14:paraId="08B8CE85">
      <w:pPr>
        <w:pStyle w:val="16"/>
        <w:jc w:val="center"/>
        <w:rPr>
          <w:rFonts w:ascii="New times roman" w:hAnsi="New times roman" w:eastAsia="Calibri" w:cs="Arial"/>
          <w:color w:val="000000"/>
          <w:kern w:val="0"/>
          <w:sz w:val="44"/>
          <w:szCs w:val="44"/>
          <w:lang w:val="en-ZA" w:eastAsia="en-ZA" w:bidi="ar-SA"/>
        </w:rPr>
      </w:pPr>
    </w:p>
    <w:p w14:paraId="457D60D7">
      <w:pPr>
        <w:pStyle w:val="16"/>
        <w:jc w:val="center"/>
        <w:rPr>
          <w:rFonts w:ascii="New times roman" w:hAnsi="New times roman" w:eastAsia="Calibri" w:cs="Arial"/>
          <w:color w:val="000000"/>
          <w:kern w:val="0"/>
          <w:sz w:val="44"/>
          <w:szCs w:val="44"/>
          <w:lang w:val="en-ZA" w:eastAsia="en-ZA" w:bidi="ar-SA"/>
        </w:rPr>
      </w:pPr>
    </w:p>
    <w:p w14:paraId="5795D181">
      <w:pPr>
        <w:pStyle w:val="16"/>
        <w:jc w:val="center"/>
        <w:rPr>
          <w:rFonts w:ascii="New times roman" w:hAnsi="New times roman" w:eastAsia="Calibri" w:cs="Arial"/>
          <w:color w:val="000000"/>
          <w:kern w:val="0"/>
          <w:sz w:val="44"/>
          <w:szCs w:val="44"/>
          <w:lang w:val="en-ZA" w:eastAsia="en-ZA" w:bidi="ar-SA"/>
        </w:rPr>
      </w:pPr>
    </w:p>
    <w:p w14:paraId="31A55677">
      <w:pPr>
        <w:pStyle w:val="16"/>
        <w:jc w:val="center"/>
        <w:rPr>
          <w:rFonts w:ascii="New times roman" w:hAnsi="New times roman" w:eastAsia="Calibri" w:cs="Arial"/>
          <w:color w:val="000000"/>
          <w:kern w:val="0"/>
          <w:sz w:val="44"/>
          <w:szCs w:val="44"/>
          <w:lang w:val="en-ZA" w:eastAsia="en-ZA" w:bidi="ar-SA"/>
        </w:rPr>
      </w:pPr>
      <w:r>
        <w:rPr>
          <w:rFonts w:ascii="New times roman" w:hAnsi="New times roman" w:eastAsia="Calibri" w:cs="Arial"/>
          <w:color w:val="000000"/>
          <w:kern w:val="0"/>
          <w:sz w:val="44"/>
          <w:szCs w:val="44"/>
          <w:lang w:val="en-ZA" w:eastAsia="en-ZA" w:bidi="ar-SA"/>
        </w:rPr>
        <w:t>June 2026</w:t>
      </w:r>
    </w:p>
    <w:p w14:paraId="473AA90F">
      <w:pPr>
        <w:pStyle w:val="2"/>
        <w:keepNext/>
        <w:keepLines/>
        <w:pageBreakBefore/>
        <w:widowControl/>
        <w:kinsoku/>
        <w:wordWrap/>
        <w:overflowPunct/>
        <w:topLinePunct w:val="0"/>
        <w:autoSpaceDE/>
        <w:autoSpaceDN/>
        <w:bidi w:val="0"/>
        <w:adjustRightInd/>
        <w:snapToGrid/>
        <w:spacing w:before="120" w:after="0"/>
        <w:jc w:val="center"/>
        <w:textAlignment w:val="auto"/>
      </w:pPr>
      <w:bookmarkStart w:id="1" w:name="_Toc13106"/>
      <w:bookmarkStart w:id="2" w:name="_Toc7794"/>
      <w:bookmarkStart w:id="3" w:name="_Toc12886"/>
      <w:r>
        <w:rPr>
          <w:rFonts w:ascii="Calibri Light" w:hAnsi="Calibri Light" w:eastAsia="Calibri Light"/>
          <w:b/>
          <w:color w:val="1B3A5C"/>
          <w:sz w:val="40"/>
        </w:rPr>
        <w:t>Table of Contents</w:t>
      </w:r>
      <w:bookmarkEnd w:id="1"/>
      <w:bookmarkEnd w:id="2"/>
      <w:bookmarkEnd w:id="3"/>
    </w:p>
    <w:sdt>
      <w:sdtPr>
        <w:rPr>
          <w:rFonts w:ascii="宋体" w:hAnsi="宋体" w:eastAsia="Calibri" w:cstheme="minorBidi"/>
          <w:color w:val="333333"/>
          <w:sz w:val="21"/>
          <w:szCs w:val="24"/>
          <w:lang w:val="en-US" w:eastAsia="en-ZA" w:bidi="ar-SA"/>
        </w:rPr>
        <w:id w:val="147460678"/>
        <w15:color w:val="DBDBDB"/>
        <w:docPartObj>
          <w:docPartGallery w:val="Table of Contents"/>
          <w:docPartUnique/>
        </w:docPartObj>
      </w:sdtPr>
      <w:sdtEndPr>
        <w:rPr>
          <w:rFonts w:ascii="Calibri" w:hAnsi="Calibri" w:eastAsia="Calibri" w:cstheme="majorBidi"/>
          <w:b/>
          <w:color w:val="1B3A5C"/>
          <w:sz w:val="32"/>
          <w:szCs w:val="32"/>
          <w:lang w:val="en-US" w:eastAsia="en-ZA" w:bidi="ar-SA"/>
        </w:rPr>
      </w:sdtEndPr>
      <w:sdtContent>
        <w:p w14:paraId="70A41A87">
          <w:pPr>
            <w:rPr>
              <w:rFonts w:ascii="Calibri" w:hAnsi="Calibri" w:eastAsia="Calibri" w:cstheme="minorBidi"/>
              <w:color w:val="333333"/>
              <w:sz w:val="22"/>
              <w:szCs w:val="24"/>
              <w:lang w:val="en-US" w:eastAsia="zh-CN" w:bidi="ar-SA"/>
            </w:rPr>
          </w:pPr>
          <w:bookmarkStart w:id="4" w:name="introduction"/>
          <w:bookmarkStart w:id="63" w:name="_GoBack"/>
          <w:bookmarkEnd w:id="63"/>
          <w:r>
            <w:rPr>
              <w:rFonts w:ascii="Calibri" w:hAnsi="Calibri" w:eastAsia="Calibri"/>
            </w:rPr>
            <w:fldChar w:fldCharType="begin"/>
          </w:r>
          <w:r>
            <w:rPr>
              <w:rFonts w:ascii="Calibri" w:hAnsi="Calibri" w:eastAsia="Calibri"/>
            </w:rPr>
            <w:instrText xml:space="preserve">TOC \o "1-3" \h \u </w:instrText>
          </w:r>
          <w:r>
            <w:rPr>
              <w:rFonts w:ascii="Calibri" w:hAnsi="Calibri" w:eastAsia="Calibri"/>
            </w:rPr>
            <w:fldChar w:fldCharType="separate"/>
          </w:r>
        </w:p>
        <w:p w14:paraId="6AA4B4C9">
          <w:pPr>
            <w:pStyle w:val="18"/>
            <w:tabs>
              <w:tab w:val="right" w:leader="dot" w:pos="9355"/>
            </w:tabs>
          </w:pPr>
          <w:r>
            <w:rPr>
              <w:rFonts w:ascii="Calibri" w:hAnsi="Calibri" w:eastAsia="Calibri"/>
            </w:rPr>
            <w:fldChar w:fldCharType="begin"/>
          </w:r>
          <w:r>
            <w:rPr>
              <w:rFonts w:ascii="Calibri" w:hAnsi="Calibri" w:eastAsia="Calibri"/>
            </w:rPr>
            <w:instrText xml:space="preserve"> HYPERLINK \l _Toc12886 </w:instrText>
          </w:r>
          <w:r>
            <w:rPr>
              <w:rFonts w:ascii="Calibri" w:hAnsi="Calibri" w:eastAsia="Calibri"/>
            </w:rPr>
            <w:fldChar w:fldCharType="separate"/>
          </w:r>
          <w:r>
            <w:rPr>
              <w:rFonts w:ascii="Calibri Light" w:hAnsi="Calibri Light" w:eastAsia="Calibri Light"/>
            </w:rPr>
            <w:t>Table of Contents</w:t>
          </w:r>
          <w:r>
            <w:tab/>
          </w:r>
          <w:r>
            <w:fldChar w:fldCharType="begin"/>
          </w:r>
          <w:r>
            <w:instrText xml:space="preserve"> PAGEREF _Toc12886 \h </w:instrText>
          </w:r>
          <w:r>
            <w:fldChar w:fldCharType="separate"/>
          </w:r>
          <w:r>
            <w:t>2</w:t>
          </w:r>
          <w:r>
            <w:fldChar w:fldCharType="end"/>
          </w:r>
          <w:r>
            <w:rPr>
              <w:rFonts w:ascii="Calibri" w:hAnsi="Calibri" w:eastAsia="Calibri"/>
            </w:rPr>
            <w:fldChar w:fldCharType="end"/>
          </w:r>
        </w:p>
        <w:p w14:paraId="7EA502FD">
          <w:pPr>
            <w:pStyle w:val="18"/>
            <w:tabs>
              <w:tab w:val="right" w:leader="dot" w:pos="9355"/>
            </w:tabs>
          </w:pPr>
          <w:r>
            <w:rPr>
              <w:rFonts w:ascii="Calibri" w:hAnsi="Calibri" w:eastAsia="Calibri"/>
            </w:rPr>
            <w:fldChar w:fldCharType="begin"/>
          </w:r>
          <w:r>
            <w:rPr>
              <w:rFonts w:ascii="Calibri" w:hAnsi="Calibri" w:eastAsia="Calibri"/>
            </w:rPr>
            <w:instrText xml:space="preserve"> HYPERLINK \l _Toc19782 </w:instrText>
          </w:r>
          <w:r>
            <w:rPr>
              <w:rFonts w:ascii="Calibri" w:hAnsi="Calibri" w:eastAsia="Calibri"/>
            </w:rPr>
            <w:fldChar w:fldCharType="separate"/>
          </w:r>
          <w:r>
            <w:t>1. Project Understanding</w:t>
          </w:r>
          <w:r>
            <w:tab/>
          </w:r>
          <w:r>
            <w:fldChar w:fldCharType="begin"/>
          </w:r>
          <w:r>
            <w:instrText xml:space="preserve"> PAGEREF _Toc19782 \h </w:instrText>
          </w:r>
          <w:r>
            <w:fldChar w:fldCharType="separate"/>
          </w:r>
          <w:r>
            <w:t>4</w:t>
          </w:r>
          <w:r>
            <w:fldChar w:fldCharType="end"/>
          </w:r>
          <w:r>
            <w:rPr>
              <w:rFonts w:ascii="Calibri" w:hAnsi="Calibri" w:eastAsia="Calibri"/>
            </w:rPr>
            <w:fldChar w:fldCharType="end"/>
          </w:r>
        </w:p>
        <w:p w14:paraId="0DFF4A56">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_Toc19412 </w:instrText>
          </w:r>
          <w:r>
            <w:rPr>
              <w:rFonts w:ascii="Calibri" w:hAnsi="Calibri" w:eastAsia="Calibri"/>
            </w:rPr>
            <w:fldChar w:fldCharType="separate"/>
          </w:r>
          <w:r>
            <w:t>1.1 Understanding of the Scope of Works</w:t>
          </w:r>
          <w:r>
            <w:tab/>
          </w:r>
          <w:r>
            <w:fldChar w:fldCharType="begin"/>
          </w:r>
          <w:r>
            <w:instrText xml:space="preserve"> PAGEREF _Toc19412 \h </w:instrText>
          </w:r>
          <w:r>
            <w:fldChar w:fldCharType="separate"/>
          </w:r>
          <w:r>
            <w:t>4</w:t>
          </w:r>
          <w:r>
            <w:fldChar w:fldCharType="end"/>
          </w:r>
          <w:r>
            <w:rPr>
              <w:rFonts w:ascii="Calibri" w:hAnsi="Calibri" w:eastAsia="Calibri"/>
            </w:rPr>
            <w:fldChar w:fldCharType="end"/>
          </w:r>
        </w:p>
        <w:p w14:paraId="709EB872">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_Toc1663 </w:instrText>
          </w:r>
          <w:r>
            <w:rPr>
              <w:rFonts w:ascii="Calibri" w:hAnsi="Calibri" w:eastAsia="Calibri"/>
            </w:rPr>
            <w:fldChar w:fldCharType="separate"/>
          </w:r>
          <w:r>
            <w:t>1.2 Site Conditions and Constraints</w:t>
          </w:r>
          <w:r>
            <w:tab/>
          </w:r>
          <w:r>
            <w:fldChar w:fldCharType="begin"/>
          </w:r>
          <w:r>
            <w:instrText xml:space="preserve"> PAGEREF _Toc1663 \h </w:instrText>
          </w:r>
          <w:r>
            <w:fldChar w:fldCharType="separate"/>
          </w:r>
          <w:r>
            <w:t>7</w:t>
          </w:r>
          <w:r>
            <w:fldChar w:fldCharType="end"/>
          </w:r>
          <w:r>
            <w:rPr>
              <w:rFonts w:ascii="Calibri" w:hAnsi="Calibri" w:eastAsia="Calibri"/>
            </w:rPr>
            <w:fldChar w:fldCharType="end"/>
          </w:r>
        </w:p>
        <w:p w14:paraId="5EB19ACA">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_Toc1582 </w:instrText>
          </w:r>
          <w:r>
            <w:rPr>
              <w:rFonts w:ascii="Calibri" w:hAnsi="Calibri" w:eastAsia="Calibri"/>
            </w:rPr>
            <w:fldChar w:fldCharType="separate"/>
          </w:r>
          <w:r>
            <w:t>1.3 Employer's Objectives and Critical Success Factors</w:t>
          </w:r>
          <w:r>
            <w:tab/>
          </w:r>
          <w:r>
            <w:fldChar w:fldCharType="begin"/>
          </w:r>
          <w:r>
            <w:instrText xml:space="preserve"> PAGEREF _Toc1582 \h </w:instrText>
          </w:r>
          <w:r>
            <w:fldChar w:fldCharType="separate"/>
          </w:r>
          <w:r>
            <w:t>10</w:t>
          </w:r>
          <w:r>
            <w:fldChar w:fldCharType="end"/>
          </w:r>
          <w:r>
            <w:rPr>
              <w:rFonts w:ascii="Calibri" w:hAnsi="Calibri" w:eastAsia="Calibri"/>
            </w:rPr>
            <w:fldChar w:fldCharType="end"/>
          </w:r>
        </w:p>
        <w:p w14:paraId="01557314">
          <w:pPr>
            <w:pStyle w:val="18"/>
            <w:tabs>
              <w:tab w:val="right" w:leader="dot" w:pos="9355"/>
            </w:tabs>
          </w:pPr>
          <w:r>
            <w:rPr>
              <w:rFonts w:ascii="Calibri" w:hAnsi="Calibri" w:eastAsia="Calibri"/>
            </w:rPr>
            <w:fldChar w:fldCharType="begin"/>
          </w:r>
          <w:r>
            <w:rPr>
              <w:rFonts w:ascii="Calibri" w:hAnsi="Calibri" w:eastAsia="Calibri"/>
            </w:rPr>
            <w:instrText xml:space="preserve"> HYPERLINK \l _Toc16381 </w:instrText>
          </w:r>
          <w:r>
            <w:rPr>
              <w:rFonts w:ascii="Calibri" w:hAnsi="Calibri" w:eastAsia="Calibri"/>
            </w:rPr>
            <w:fldChar w:fldCharType="separate"/>
          </w:r>
          <w:r>
            <w:t>2. Overall Delivery Strategy</w:t>
          </w:r>
          <w:r>
            <w:tab/>
          </w:r>
          <w:r>
            <w:fldChar w:fldCharType="begin"/>
          </w:r>
          <w:r>
            <w:instrText xml:space="preserve"> PAGEREF _Toc16381 \h </w:instrText>
          </w:r>
          <w:r>
            <w:fldChar w:fldCharType="separate"/>
          </w:r>
          <w:r>
            <w:t>11</w:t>
          </w:r>
          <w:r>
            <w:fldChar w:fldCharType="end"/>
          </w:r>
          <w:r>
            <w:rPr>
              <w:rFonts w:ascii="Calibri" w:hAnsi="Calibri" w:eastAsia="Calibri"/>
            </w:rPr>
            <w:fldChar w:fldCharType="end"/>
          </w:r>
        </w:p>
        <w:p w14:paraId="158E385A">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_Toc20523 </w:instrText>
          </w:r>
          <w:r>
            <w:rPr>
              <w:rFonts w:ascii="Calibri" w:hAnsi="Calibri" w:eastAsia="Calibri"/>
            </w:rPr>
            <w:fldChar w:fldCharType="separate"/>
          </w:r>
          <w:r>
            <w:t>2.1 Work Breakdown Structure</w:t>
          </w:r>
          <w:r>
            <w:tab/>
          </w:r>
          <w:r>
            <w:fldChar w:fldCharType="begin"/>
          </w:r>
          <w:r>
            <w:instrText xml:space="preserve"> PAGEREF _Toc20523 \h </w:instrText>
          </w:r>
          <w:r>
            <w:fldChar w:fldCharType="separate"/>
          </w:r>
          <w:r>
            <w:t>11</w:t>
          </w:r>
          <w:r>
            <w:fldChar w:fldCharType="end"/>
          </w:r>
          <w:r>
            <w:rPr>
              <w:rFonts w:ascii="Calibri" w:hAnsi="Calibri" w:eastAsia="Calibri"/>
            </w:rPr>
            <w:fldChar w:fldCharType="end"/>
          </w:r>
        </w:p>
        <w:p w14:paraId="27B28D25">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_Toc28224 </w:instrText>
          </w:r>
          <w:r>
            <w:rPr>
              <w:rFonts w:ascii="Calibri" w:hAnsi="Calibri" w:eastAsia="Calibri"/>
            </w:rPr>
            <w:fldChar w:fldCharType="separate"/>
          </w:r>
          <w:r>
            <w:t>2.2 Phasing and Work Fronts</w:t>
          </w:r>
          <w:r>
            <w:tab/>
          </w:r>
          <w:r>
            <w:fldChar w:fldCharType="begin"/>
          </w:r>
          <w:r>
            <w:instrText xml:space="preserve"> PAGEREF _Toc28224 \h </w:instrText>
          </w:r>
          <w:r>
            <w:fldChar w:fldCharType="separate"/>
          </w:r>
          <w:r>
            <w:t>11</w:t>
          </w:r>
          <w:r>
            <w:fldChar w:fldCharType="end"/>
          </w:r>
          <w:r>
            <w:rPr>
              <w:rFonts w:ascii="Calibri" w:hAnsi="Calibri" w:eastAsia="Calibri"/>
            </w:rPr>
            <w:fldChar w:fldCharType="end"/>
          </w:r>
        </w:p>
        <w:p w14:paraId="07589E1D">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_Toc20949 </w:instrText>
          </w:r>
          <w:r>
            <w:rPr>
              <w:rFonts w:ascii="Calibri" w:hAnsi="Calibri" w:eastAsia="Calibri"/>
            </w:rPr>
            <w:fldChar w:fldCharType="separate"/>
          </w:r>
          <w:r>
            <w:t>2.3 Sequencing Logic</w:t>
          </w:r>
          <w:r>
            <w:tab/>
          </w:r>
          <w:r>
            <w:fldChar w:fldCharType="begin"/>
          </w:r>
          <w:r>
            <w:instrText xml:space="preserve"> PAGEREF _Toc20949 \h </w:instrText>
          </w:r>
          <w:r>
            <w:fldChar w:fldCharType="separate"/>
          </w:r>
          <w:r>
            <w:t>12</w:t>
          </w:r>
          <w:r>
            <w:fldChar w:fldCharType="end"/>
          </w:r>
          <w:r>
            <w:rPr>
              <w:rFonts w:ascii="Calibri" w:hAnsi="Calibri" w:eastAsia="Calibri"/>
            </w:rPr>
            <w:fldChar w:fldCharType="end"/>
          </w:r>
        </w:p>
        <w:p w14:paraId="6DC0531F">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_Toc12426 </w:instrText>
          </w:r>
          <w:r>
            <w:rPr>
              <w:rFonts w:ascii="Calibri" w:hAnsi="Calibri" w:eastAsia="Calibri"/>
            </w:rPr>
            <w:fldChar w:fldCharType="separate"/>
          </w:r>
          <w:r>
            <w:t>2.4 Key Milestones</w:t>
          </w:r>
          <w:r>
            <w:tab/>
          </w:r>
          <w:r>
            <w:fldChar w:fldCharType="begin"/>
          </w:r>
          <w:r>
            <w:instrText xml:space="preserve"> PAGEREF _Toc12426 \h </w:instrText>
          </w:r>
          <w:r>
            <w:fldChar w:fldCharType="separate"/>
          </w:r>
          <w:r>
            <w:t>12</w:t>
          </w:r>
          <w:r>
            <w:fldChar w:fldCharType="end"/>
          </w:r>
          <w:r>
            <w:rPr>
              <w:rFonts w:ascii="Calibri" w:hAnsi="Calibri" w:eastAsia="Calibri"/>
            </w:rPr>
            <w:fldChar w:fldCharType="end"/>
          </w:r>
        </w:p>
        <w:p w14:paraId="7E3C718A">
          <w:pPr>
            <w:pStyle w:val="18"/>
            <w:tabs>
              <w:tab w:val="right" w:leader="dot" w:pos="9355"/>
            </w:tabs>
          </w:pPr>
          <w:r>
            <w:rPr>
              <w:rFonts w:ascii="Calibri" w:hAnsi="Calibri" w:eastAsia="Calibri"/>
            </w:rPr>
            <w:fldChar w:fldCharType="begin"/>
          </w:r>
          <w:r>
            <w:rPr>
              <w:rFonts w:ascii="Calibri" w:hAnsi="Calibri" w:eastAsia="Calibri"/>
            </w:rPr>
            <w:instrText xml:space="preserve"> HYPERLINK \l _Toc28478 </w:instrText>
          </w:r>
          <w:r>
            <w:rPr>
              <w:rFonts w:ascii="Calibri" w:hAnsi="Calibri" w:eastAsia="Calibri"/>
            </w:rPr>
            <w:fldChar w:fldCharType="separate"/>
          </w:r>
          <w:r>
            <w:t>3. Proposed Construction Methodology</w:t>
          </w:r>
          <w:r>
            <w:tab/>
          </w:r>
          <w:r>
            <w:fldChar w:fldCharType="begin"/>
          </w:r>
          <w:r>
            <w:instrText xml:space="preserve"> PAGEREF _Toc28478 \h </w:instrText>
          </w:r>
          <w:r>
            <w:fldChar w:fldCharType="separate"/>
          </w:r>
          <w:r>
            <w:t>15</w:t>
          </w:r>
          <w:r>
            <w:fldChar w:fldCharType="end"/>
          </w:r>
          <w:r>
            <w:rPr>
              <w:rFonts w:ascii="Calibri" w:hAnsi="Calibri" w:eastAsia="Calibri"/>
            </w:rPr>
            <w:fldChar w:fldCharType="end"/>
          </w:r>
        </w:p>
        <w:p w14:paraId="162E9044">
          <w:pPr>
            <w:pStyle w:val="21"/>
            <w:tabs>
              <w:tab w:val="right" w:leader="dot" w:pos="9355"/>
            </w:tabs>
          </w:pPr>
          <w:r>
            <w:rPr>
              <w:rFonts w:ascii="Calibri" w:hAnsi="Calibri" w:eastAsia="Calibri"/>
            </w:rPr>
            <w:fldChar w:fldCharType="begin"/>
          </w:r>
          <w:r>
            <w:rPr>
              <w:rFonts w:ascii="Calibri" w:hAnsi="Calibri" w:eastAsia="Calibri"/>
            </w:rPr>
            <w:instrText xml:space="preserve"> HYPERLINK \l _Toc32024 </w:instrText>
          </w:r>
          <w:r>
            <w:rPr>
              <w:rFonts w:ascii="Calibri" w:hAnsi="Calibri" w:eastAsia="Calibri"/>
            </w:rPr>
            <w:fldChar w:fldCharType="separate"/>
          </w:r>
          <w:r>
            <w:t>3.1 Mobilisation and Site Establishment</w:t>
          </w:r>
          <w:r>
            <w:tab/>
          </w:r>
          <w:r>
            <w:fldChar w:fldCharType="begin"/>
          </w:r>
          <w:r>
            <w:instrText xml:space="preserve"> PAGEREF _Toc32024 \h </w:instrText>
          </w:r>
          <w:r>
            <w:fldChar w:fldCharType="separate"/>
          </w:r>
          <w:r>
            <w:t>15</w:t>
          </w:r>
          <w:r>
            <w:fldChar w:fldCharType="end"/>
          </w:r>
          <w:r>
            <w:rPr>
              <w:rFonts w:ascii="Calibri" w:hAnsi="Calibri" w:eastAsia="Calibri"/>
            </w:rPr>
            <w:fldChar w:fldCharType="end"/>
          </w:r>
        </w:p>
        <w:p w14:paraId="0A3227A5">
          <w:pPr>
            <w:pStyle w:val="21"/>
            <w:tabs>
              <w:tab w:val="right" w:leader="dot" w:pos="9355"/>
            </w:tabs>
          </w:pPr>
          <w:r>
            <w:rPr>
              <w:rFonts w:ascii="Calibri" w:hAnsi="Calibri" w:eastAsia="Calibri"/>
            </w:rPr>
            <w:fldChar w:fldCharType="begin"/>
          </w:r>
          <w:r>
            <w:rPr>
              <w:rFonts w:ascii="Calibri" w:hAnsi="Calibri" w:eastAsia="Calibri"/>
            </w:rPr>
            <w:instrText xml:space="preserve"> HYPERLINK \l _Toc9819 </w:instrText>
          </w:r>
          <w:r>
            <w:rPr>
              <w:rFonts w:ascii="Calibri" w:hAnsi="Calibri" w:eastAsia="Calibri"/>
            </w:rPr>
            <w:fldChar w:fldCharType="separate"/>
          </w:r>
          <w:r>
            <w:t>3.2 Traffic Accommodation and Road User Safety</w:t>
          </w:r>
          <w:r>
            <w:tab/>
          </w:r>
          <w:r>
            <w:fldChar w:fldCharType="begin"/>
          </w:r>
          <w:r>
            <w:instrText xml:space="preserve"> PAGEREF _Toc9819 \h </w:instrText>
          </w:r>
          <w:r>
            <w:fldChar w:fldCharType="separate"/>
          </w:r>
          <w:r>
            <w:t>16</w:t>
          </w:r>
          <w:r>
            <w:fldChar w:fldCharType="end"/>
          </w:r>
          <w:r>
            <w:rPr>
              <w:rFonts w:ascii="Calibri" w:hAnsi="Calibri" w:eastAsia="Calibri"/>
            </w:rPr>
            <w:fldChar w:fldCharType="end"/>
          </w:r>
        </w:p>
        <w:p w14:paraId="6D70EF33">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_Toc24587 </w:instrText>
          </w:r>
          <w:r>
            <w:rPr>
              <w:rFonts w:ascii="Calibri" w:hAnsi="Calibri" w:eastAsia="Calibri"/>
            </w:rPr>
            <w:fldChar w:fldCharType="separate"/>
          </w:r>
          <w:r>
            <w:t>3.3 Survey, Setting Out and Existing Services Verification</w:t>
          </w:r>
          <w:r>
            <w:tab/>
          </w:r>
          <w:r>
            <w:fldChar w:fldCharType="begin"/>
          </w:r>
          <w:r>
            <w:instrText xml:space="preserve"> PAGEREF _Toc24587 \h </w:instrText>
          </w:r>
          <w:r>
            <w:fldChar w:fldCharType="separate"/>
          </w:r>
          <w:r>
            <w:t>18</w:t>
          </w:r>
          <w:r>
            <w:fldChar w:fldCharType="end"/>
          </w:r>
          <w:r>
            <w:rPr>
              <w:rFonts w:ascii="Calibri" w:hAnsi="Calibri" w:eastAsia="Calibri"/>
            </w:rPr>
            <w:fldChar w:fldCharType="end"/>
          </w:r>
        </w:p>
        <w:p w14:paraId="34CDF47D">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_Toc18627 </w:instrText>
          </w:r>
          <w:r>
            <w:rPr>
              <w:rFonts w:ascii="Calibri" w:hAnsi="Calibri" w:eastAsia="Calibri"/>
            </w:rPr>
            <w:fldChar w:fldCharType="separate"/>
          </w:r>
          <w:r>
            <w:t>3.4 Clearing, Grubbing and Site Preparation</w:t>
          </w:r>
          <w:r>
            <w:tab/>
          </w:r>
          <w:r>
            <w:fldChar w:fldCharType="begin"/>
          </w:r>
          <w:r>
            <w:instrText xml:space="preserve"> PAGEREF _Toc18627 \h </w:instrText>
          </w:r>
          <w:r>
            <w:fldChar w:fldCharType="separate"/>
          </w:r>
          <w:r>
            <w:t>18</w:t>
          </w:r>
          <w:r>
            <w:fldChar w:fldCharType="end"/>
          </w:r>
          <w:r>
            <w:rPr>
              <w:rFonts w:ascii="Calibri" w:hAnsi="Calibri" w:eastAsia="Calibri"/>
            </w:rPr>
            <w:fldChar w:fldCharType="end"/>
          </w:r>
        </w:p>
        <w:p w14:paraId="70AA09C8">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_Toc27314 </w:instrText>
          </w:r>
          <w:r>
            <w:rPr>
              <w:rFonts w:ascii="Calibri" w:hAnsi="Calibri" w:eastAsia="Calibri"/>
            </w:rPr>
            <w:fldChar w:fldCharType="separate"/>
          </w:r>
          <w:r>
            <w:t>3.5 Earthworks and Subgrade Preparation</w:t>
          </w:r>
          <w:r>
            <w:tab/>
          </w:r>
          <w:r>
            <w:fldChar w:fldCharType="begin"/>
          </w:r>
          <w:r>
            <w:instrText xml:space="preserve"> PAGEREF _Toc27314 \h </w:instrText>
          </w:r>
          <w:r>
            <w:fldChar w:fldCharType="separate"/>
          </w:r>
          <w:r>
            <w:t>18</w:t>
          </w:r>
          <w:r>
            <w:fldChar w:fldCharType="end"/>
          </w:r>
          <w:r>
            <w:rPr>
              <w:rFonts w:ascii="Calibri" w:hAnsi="Calibri" w:eastAsia="Calibri"/>
            </w:rPr>
            <w:fldChar w:fldCharType="end"/>
          </w:r>
        </w:p>
        <w:p w14:paraId="2B409914">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_Toc22611 </w:instrText>
          </w:r>
          <w:r>
            <w:rPr>
              <w:rFonts w:ascii="Calibri" w:hAnsi="Calibri" w:eastAsia="Calibri"/>
            </w:rPr>
            <w:fldChar w:fldCharType="separate"/>
          </w:r>
          <w:r>
            <w:t>3.6 Drainage and Culvert Works</w:t>
          </w:r>
          <w:r>
            <w:tab/>
          </w:r>
          <w:r>
            <w:fldChar w:fldCharType="begin"/>
          </w:r>
          <w:r>
            <w:instrText xml:space="preserve"> PAGEREF _Toc22611 \h </w:instrText>
          </w:r>
          <w:r>
            <w:fldChar w:fldCharType="separate"/>
          </w:r>
          <w:r>
            <w:t>19</w:t>
          </w:r>
          <w:r>
            <w:fldChar w:fldCharType="end"/>
          </w:r>
          <w:r>
            <w:rPr>
              <w:rFonts w:ascii="Calibri" w:hAnsi="Calibri" w:eastAsia="Calibri"/>
            </w:rPr>
            <w:fldChar w:fldCharType="end"/>
          </w:r>
        </w:p>
        <w:p w14:paraId="1262775F">
          <w:pPr>
            <w:pStyle w:val="21"/>
            <w:tabs>
              <w:tab w:val="right" w:leader="dot" w:pos="9355"/>
            </w:tabs>
          </w:pPr>
          <w:r>
            <w:rPr>
              <w:rFonts w:ascii="Calibri" w:hAnsi="Calibri" w:eastAsia="Calibri"/>
            </w:rPr>
            <w:fldChar w:fldCharType="begin"/>
          </w:r>
          <w:r>
            <w:rPr>
              <w:rFonts w:ascii="Calibri" w:hAnsi="Calibri" w:eastAsia="Calibri"/>
            </w:rPr>
            <w:instrText xml:space="preserve"> HYPERLINK \l _Toc7702 </w:instrText>
          </w:r>
          <w:r>
            <w:rPr>
              <w:rFonts w:ascii="Calibri" w:hAnsi="Calibri" w:eastAsia="Calibri"/>
            </w:rPr>
            <w:fldChar w:fldCharType="separate"/>
          </w:r>
          <w:r>
            <w:t>3.7 Pavement Layerworks</w:t>
          </w:r>
          <w:r>
            <w:tab/>
          </w:r>
          <w:r>
            <w:fldChar w:fldCharType="begin"/>
          </w:r>
          <w:r>
            <w:instrText xml:space="preserve"> PAGEREF _Toc7702 \h </w:instrText>
          </w:r>
          <w:r>
            <w:fldChar w:fldCharType="separate"/>
          </w:r>
          <w:r>
            <w:t>20</w:t>
          </w:r>
          <w:r>
            <w:fldChar w:fldCharType="end"/>
          </w:r>
          <w:r>
            <w:rPr>
              <w:rFonts w:ascii="Calibri" w:hAnsi="Calibri" w:eastAsia="Calibri"/>
            </w:rPr>
            <w:fldChar w:fldCharType="end"/>
          </w:r>
        </w:p>
        <w:p w14:paraId="00DD449F">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_Toc17927 </w:instrText>
          </w:r>
          <w:r>
            <w:rPr>
              <w:rFonts w:ascii="Calibri" w:hAnsi="Calibri" w:eastAsia="Calibri"/>
            </w:rPr>
            <w:fldChar w:fldCharType="separate"/>
          </w:r>
          <w:r>
            <w:t>3.8 Asphalt and Surfacing Works</w:t>
          </w:r>
          <w:r>
            <w:tab/>
          </w:r>
          <w:r>
            <w:fldChar w:fldCharType="begin"/>
          </w:r>
          <w:r>
            <w:instrText xml:space="preserve"> PAGEREF _Toc17927 \h </w:instrText>
          </w:r>
          <w:r>
            <w:fldChar w:fldCharType="separate"/>
          </w:r>
          <w:r>
            <w:t>22</w:t>
          </w:r>
          <w:r>
            <w:fldChar w:fldCharType="end"/>
          </w:r>
          <w:r>
            <w:rPr>
              <w:rFonts w:ascii="Calibri" w:hAnsi="Calibri" w:eastAsia="Calibri"/>
            </w:rPr>
            <w:fldChar w:fldCharType="end"/>
          </w:r>
        </w:p>
        <w:p w14:paraId="2E02F497">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_Toc13049 </w:instrText>
          </w:r>
          <w:r>
            <w:rPr>
              <w:rFonts w:ascii="Calibri" w:hAnsi="Calibri" w:eastAsia="Calibri"/>
            </w:rPr>
            <w:fldChar w:fldCharType="separate"/>
          </w:r>
          <w:r>
            <w:t>3.9 Structures, MSE Retaining Walls and Shotcrete</w:t>
          </w:r>
          <w:r>
            <w:tab/>
          </w:r>
          <w:r>
            <w:fldChar w:fldCharType="begin"/>
          </w:r>
          <w:r>
            <w:instrText xml:space="preserve"> PAGEREF _Toc13049 \h </w:instrText>
          </w:r>
          <w:r>
            <w:fldChar w:fldCharType="separate"/>
          </w:r>
          <w:r>
            <w:t>23</w:t>
          </w:r>
          <w:r>
            <w:fldChar w:fldCharType="end"/>
          </w:r>
          <w:r>
            <w:rPr>
              <w:rFonts w:ascii="Calibri" w:hAnsi="Calibri" w:eastAsia="Calibri"/>
            </w:rPr>
            <w:fldChar w:fldCharType="end"/>
          </w:r>
        </w:p>
        <w:p w14:paraId="4B68A092">
          <w:pPr>
            <w:pStyle w:val="21"/>
            <w:tabs>
              <w:tab w:val="right" w:leader="dot" w:pos="9355"/>
            </w:tabs>
          </w:pPr>
          <w:r>
            <w:rPr>
              <w:rFonts w:ascii="Calibri" w:hAnsi="Calibri" w:eastAsia="Calibri"/>
            </w:rPr>
            <w:fldChar w:fldCharType="begin"/>
          </w:r>
          <w:r>
            <w:rPr>
              <w:rFonts w:ascii="Calibri" w:hAnsi="Calibri" w:eastAsia="Calibri"/>
            </w:rPr>
            <w:instrText xml:space="preserve"> HYPERLINK \l _Toc3207 </w:instrText>
          </w:r>
          <w:r>
            <w:rPr>
              <w:rFonts w:ascii="Calibri" w:hAnsi="Calibri" w:eastAsia="Calibri"/>
            </w:rPr>
            <w:fldChar w:fldCharType="separate"/>
          </w:r>
          <w:r>
            <w:t>3.10 Road Furniture, Signage and Road Markings</w:t>
          </w:r>
          <w:r>
            <w:tab/>
          </w:r>
          <w:r>
            <w:fldChar w:fldCharType="begin"/>
          </w:r>
          <w:r>
            <w:instrText xml:space="preserve"> PAGEREF _Toc3207 \h </w:instrText>
          </w:r>
          <w:r>
            <w:fldChar w:fldCharType="separate"/>
          </w:r>
          <w:r>
            <w:t>26</w:t>
          </w:r>
          <w:r>
            <w:fldChar w:fldCharType="end"/>
          </w:r>
          <w:r>
            <w:rPr>
              <w:rFonts w:ascii="Calibri" w:hAnsi="Calibri" w:eastAsia="Calibri"/>
            </w:rPr>
            <w:fldChar w:fldCharType="end"/>
          </w:r>
        </w:p>
        <w:p w14:paraId="56CBB801">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_Toc29343 </w:instrText>
          </w:r>
          <w:r>
            <w:rPr>
              <w:rFonts w:ascii="Calibri" w:hAnsi="Calibri" w:eastAsia="Calibri"/>
            </w:rPr>
            <w:fldChar w:fldCharType="separate"/>
          </w:r>
          <w:r>
            <w:t>3.11 Testing, Inspection and Handover</w:t>
          </w:r>
          <w:r>
            <w:tab/>
          </w:r>
          <w:r>
            <w:fldChar w:fldCharType="begin"/>
          </w:r>
          <w:r>
            <w:instrText xml:space="preserve"> PAGEREF _Toc29343 \h </w:instrText>
          </w:r>
          <w:r>
            <w:fldChar w:fldCharType="separate"/>
          </w:r>
          <w:r>
            <w:t>26</w:t>
          </w:r>
          <w:r>
            <w:fldChar w:fldCharType="end"/>
          </w:r>
          <w:r>
            <w:rPr>
              <w:rFonts w:ascii="Calibri" w:hAnsi="Calibri" w:eastAsia="Calibri"/>
            </w:rPr>
            <w:fldChar w:fldCharType="end"/>
          </w:r>
        </w:p>
        <w:p w14:paraId="3FE521E5">
          <w:pPr>
            <w:pStyle w:val="18"/>
            <w:tabs>
              <w:tab w:val="right" w:leader="dot" w:pos="9355"/>
            </w:tabs>
          </w:pPr>
          <w:r>
            <w:rPr>
              <w:rFonts w:ascii="Calibri" w:hAnsi="Calibri" w:eastAsia="Calibri"/>
            </w:rPr>
            <w:fldChar w:fldCharType="begin"/>
          </w:r>
          <w:r>
            <w:rPr>
              <w:rFonts w:ascii="Calibri" w:hAnsi="Calibri" w:eastAsia="Calibri"/>
            </w:rPr>
            <w:instrText xml:space="preserve"> HYPERLINK \l _Toc11325 </w:instrText>
          </w:r>
          <w:r>
            <w:rPr>
              <w:rFonts w:ascii="Calibri" w:hAnsi="Calibri" w:eastAsia="Calibri"/>
            </w:rPr>
            <w:fldChar w:fldCharType="separate"/>
          </w:r>
          <w:r>
            <w:t>4. Programme and Time Management</w:t>
          </w:r>
          <w:r>
            <w:tab/>
          </w:r>
          <w:r>
            <w:fldChar w:fldCharType="begin"/>
          </w:r>
          <w:r>
            <w:instrText xml:space="preserve"> PAGEREF _Toc11325 \h </w:instrText>
          </w:r>
          <w:r>
            <w:fldChar w:fldCharType="separate"/>
          </w:r>
          <w:r>
            <w:t>27</w:t>
          </w:r>
          <w:r>
            <w:fldChar w:fldCharType="end"/>
          </w:r>
          <w:r>
            <w:rPr>
              <w:rFonts w:ascii="Calibri" w:hAnsi="Calibri" w:eastAsia="Calibri"/>
            </w:rPr>
            <w:fldChar w:fldCharType="end"/>
          </w:r>
        </w:p>
        <w:p w14:paraId="623335F7">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_Toc12066 </w:instrText>
          </w:r>
          <w:r>
            <w:rPr>
              <w:rFonts w:ascii="Calibri" w:hAnsi="Calibri" w:eastAsia="Calibri"/>
            </w:rPr>
            <w:fldChar w:fldCharType="separate"/>
          </w:r>
          <w:r>
            <w:t>4.1 Preliminary Programme</w:t>
          </w:r>
          <w:r>
            <w:tab/>
          </w:r>
          <w:r>
            <w:fldChar w:fldCharType="begin"/>
          </w:r>
          <w:r>
            <w:instrText xml:space="preserve"> PAGEREF _Toc12066 \h </w:instrText>
          </w:r>
          <w:r>
            <w:fldChar w:fldCharType="separate"/>
          </w:r>
          <w:r>
            <w:t>27</w:t>
          </w:r>
          <w:r>
            <w:fldChar w:fldCharType="end"/>
          </w:r>
          <w:r>
            <w:rPr>
              <w:rFonts w:ascii="Calibri" w:hAnsi="Calibri" w:eastAsia="Calibri"/>
            </w:rPr>
            <w:fldChar w:fldCharType="end"/>
          </w:r>
        </w:p>
        <w:p w14:paraId="63CC41F5">
          <w:pPr>
            <w:pStyle w:val="21"/>
            <w:tabs>
              <w:tab w:val="right" w:leader="dot" w:pos="9355"/>
            </w:tabs>
          </w:pPr>
          <w:r>
            <w:rPr>
              <w:rFonts w:ascii="Calibri" w:hAnsi="Calibri" w:eastAsia="Calibri"/>
            </w:rPr>
            <w:fldChar w:fldCharType="begin"/>
          </w:r>
          <w:r>
            <w:rPr>
              <w:rFonts w:ascii="Calibri" w:hAnsi="Calibri" w:eastAsia="Calibri"/>
            </w:rPr>
            <w:instrText xml:space="preserve"> HYPERLINK \l _Toc31978 </w:instrText>
          </w:r>
          <w:r>
            <w:rPr>
              <w:rFonts w:ascii="Calibri" w:hAnsi="Calibri" w:eastAsia="Calibri"/>
            </w:rPr>
            <w:fldChar w:fldCharType="separate"/>
          </w:r>
          <w:r>
            <w:t>4.2 Key Dates and Milestones</w:t>
          </w:r>
          <w:r>
            <w:tab/>
          </w:r>
          <w:r>
            <w:fldChar w:fldCharType="begin"/>
          </w:r>
          <w:r>
            <w:instrText xml:space="preserve"> PAGEREF _Toc31978 \h </w:instrText>
          </w:r>
          <w:r>
            <w:fldChar w:fldCharType="separate"/>
          </w:r>
          <w:r>
            <w:t>27</w:t>
          </w:r>
          <w:r>
            <w:fldChar w:fldCharType="end"/>
          </w:r>
          <w:r>
            <w:rPr>
              <w:rFonts w:ascii="Calibri" w:hAnsi="Calibri" w:eastAsia="Calibri"/>
            </w:rPr>
            <w:fldChar w:fldCharType="end"/>
          </w:r>
        </w:p>
        <w:p w14:paraId="6C64172D">
          <w:pPr>
            <w:pStyle w:val="21"/>
            <w:tabs>
              <w:tab w:val="right" w:leader="dot" w:pos="9355"/>
            </w:tabs>
          </w:pPr>
          <w:r>
            <w:rPr>
              <w:rFonts w:ascii="Calibri" w:hAnsi="Calibri" w:eastAsia="Calibri"/>
            </w:rPr>
            <w:fldChar w:fldCharType="begin"/>
          </w:r>
          <w:r>
            <w:rPr>
              <w:rFonts w:ascii="Calibri" w:hAnsi="Calibri" w:eastAsia="Calibri"/>
            </w:rPr>
            <w:instrText xml:space="preserve"> HYPERLINK \l _Toc7964 </w:instrText>
          </w:r>
          <w:r>
            <w:rPr>
              <w:rFonts w:ascii="Calibri" w:hAnsi="Calibri" w:eastAsia="Calibri"/>
            </w:rPr>
            <w:fldChar w:fldCharType="separate"/>
          </w:r>
          <w:r>
            <w:t>4.3 Productivity Assumptions</w:t>
          </w:r>
          <w:r>
            <w:tab/>
          </w:r>
          <w:r>
            <w:fldChar w:fldCharType="begin"/>
          </w:r>
          <w:r>
            <w:instrText xml:space="preserve"> PAGEREF _Toc7964 \h </w:instrText>
          </w:r>
          <w:r>
            <w:fldChar w:fldCharType="separate"/>
          </w:r>
          <w:r>
            <w:t>28</w:t>
          </w:r>
          <w:r>
            <w:fldChar w:fldCharType="end"/>
          </w:r>
          <w:r>
            <w:rPr>
              <w:rFonts w:ascii="Calibri" w:hAnsi="Calibri" w:eastAsia="Calibri"/>
            </w:rPr>
            <w:fldChar w:fldCharType="end"/>
          </w:r>
        </w:p>
        <w:p w14:paraId="2FD07916">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_Toc10517 </w:instrText>
          </w:r>
          <w:r>
            <w:rPr>
              <w:rFonts w:ascii="Calibri" w:hAnsi="Calibri" w:eastAsia="Calibri"/>
            </w:rPr>
            <w:fldChar w:fldCharType="separate"/>
          </w:r>
          <w:r>
            <w:t>4.4 Critical Path and Recovery Measures</w:t>
          </w:r>
          <w:r>
            <w:tab/>
          </w:r>
          <w:r>
            <w:fldChar w:fldCharType="begin"/>
          </w:r>
          <w:r>
            <w:instrText xml:space="preserve"> PAGEREF _Toc10517 \h </w:instrText>
          </w:r>
          <w:r>
            <w:fldChar w:fldCharType="separate"/>
          </w:r>
          <w:r>
            <w:t>29</w:t>
          </w:r>
          <w:r>
            <w:fldChar w:fldCharType="end"/>
          </w:r>
          <w:r>
            <w:rPr>
              <w:rFonts w:ascii="Calibri" w:hAnsi="Calibri" w:eastAsia="Calibri"/>
            </w:rPr>
            <w:fldChar w:fldCharType="end"/>
          </w:r>
        </w:p>
        <w:p w14:paraId="73C11DD8">
          <w:pPr>
            <w:pStyle w:val="18"/>
            <w:tabs>
              <w:tab w:val="right" w:leader="dot" w:pos="9355"/>
            </w:tabs>
          </w:pPr>
          <w:r>
            <w:rPr>
              <w:rFonts w:ascii="Calibri" w:hAnsi="Calibri" w:eastAsia="Calibri"/>
            </w:rPr>
            <w:fldChar w:fldCharType="begin"/>
          </w:r>
          <w:r>
            <w:rPr>
              <w:rFonts w:ascii="Calibri" w:hAnsi="Calibri" w:eastAsia="Calibri"/>
            </w:rPr>
            <w:instrText xml:space="preserve"> HYPERLINK \l _Toc16364 </w:instrText>
          </w:r>
          <w:r>
            <w:rPr>
              <w:rFonts w:ascii="Calibri" w:hAnsi="Calibri" w:eastAsia="Calibri"/>
            </w:rPr>
            <w:fldChar w:fldCharType="separate"/>
          </w:r>
          <w:r>
            <w:t>5. Resource Plan and Workplan Hours</w:t>
          </w:r>
          <w:r>
            <w:tab/>
          </w:r>
          <w:r>
            <w:fldChar w:fldCharType="begin"/>
          </w:r>
          <w:r>
            <w:instrText xml:space="preserve"> PAGEREF _Toc16364 \h </w:instrText>
          </w:r>
          <w:r>
            <w:fldChar w:fldCharType="separate"/>
          </w:r>
          <w:r>
            <w:t>31</w:t>
          </w:r>
          <w:r>
            <w:fldChar w:fldCharType="end"/>
          </w:r>
          <w:r>
            <w:rPr>
              <w:rFonts w:ascii="Calibri" w:hAnsi="Calibri" w:eastAsia="Calibri"/>
            </w:rPr>
            <w:fldChar w:fldCharType="end"/>
          </w:r>
        </w:p>
        <w:p w14:paraId="1EB75B86">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_Toc2510 </w:instrText>
          </w:r>
          <w:r>
            <w:rPr>
              <w:rFonts w:ascii="Calibri" w:hAnsi="Calibri" w:eastAsia="Calibri"/>
            </w:rPr>
            <w:fldChar w:fldCharType="separate"/>
          </w:r>
          <w:r>
            <w:t>5.1 Key Personnel</w:t>
          </w:r>
          <w:r>
            <w:tab/>
          </w:r>
          <w:r>
            <w:fldChar w:fldCharType="begin"/>
          </w:r>
          <w:r>
            <w:instrText xml:space="preserve"> PAGEREF _Toc2510 \h </w:instrText>
          </w:r>
          <w:r>
            <w:fldChar w:fldCharType="separate"/>
          </w:r>
          <w:r>
            <w:t>31</w:t>
          </w:r>
          <w:r>
            <w:fldChar w:fldCharType="end"/>
          </w:r>
          <w:r>
            <w:rPr>
              <w:rFonts w:ascii="Calibri" w:hAnsi="Calibri" w:eastAsia="Calibri"/>
            </w:rPr>
            <w:fldChar w:fldCharType="end"/>
          </w:r>
        </w:p>
        <w:p w14:paraId="6ED0C1C9">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_Toc15078 </w:instrText>
          </w:r>
          <w:r>
            <w:rPr>
              <w:rFonts w:ascii="Calibri" w:hAnsi="Calibri" w:eastAsia="Calibri"/>
            </w:rPr>
            <w:fldChar w:fldCharType="separate"/>
          </w:r>
          <w:r>
            <w:t>5.2 Labour and Plant Resources</w:t>
          </w:r>
          <w:r>
            <w:tab/>
          </w:r>
          <w:r>
            <w:fldChar w:fldCharType="begin"/>
          </w:r>
          <w:r>
            <w:instrText xml:space="preserve"> PAGEREF _Toc15078 \h </w:instrText>
          </w:r>
          <w:r>
            <w:fldChar w:fldCharType="separate"/>
          </w:r>
          <w:r>
            <w:t>31</w:t>
          </w:r>
          <w:r>
            <w:fldChar w:fldCharType="end"/>
          </w:r>
          <w:r>
            <w:rPr>
              <w:rFonts w:ascii="Calibri" w:hAnsi="Calibri" w:eastAsia="Calibri"/>
            </w:rPr>
            <w:fldChar w:fldCharType="end"/>
          </w:r>
        </w:p>
        <w:p w14:paraId="7FAF36C9">
          <w:pPr>
            <w:pStyle w:val="21"/>
            <w:tabs>
              <w:tab w:val="right" w:leader="dot" w:pos="9355"/>
            </w:tabs>
          </w:pPr>
          <w:r>
            <w:rPr>
              <w:rFonts w:ascii="Calibri" w:hAnsi="Calibri" w:eastAsia="Calibri"/>
            </w:rPr>
            <w:fldChar w:fldCharType="begin"/>
          </w:r>
          <w:r>
            <w:rPr>
              <w:rFonts w:ascii="Calibri" w:hAnsi="Calibri" w:eastAsia="Calibri"/>
            </w:rPr>
            <w:instrText xml:space="preserve"> HYPERLINK \l _Toc3473 </w:instrText>
          </w:r>
          <w:r>
            <w:rPr>
              <w:rFonts w:ascii="Calibri" w:hAnsi="Calibri" w:eastAsia="Calibri"/>
            </w:rPr>
            <w:fldChar w:fldCharType="separate"/>
          </w:r>
          <w:r>
            <w:t>5.3 Normalised Hours / Workplan Hours</w:t>
          </w:r>
          <w:r>
            <w:tab/>
          </w:r>
          <w:r>
            <w:fldChar w:fldCharType="begin"/>
          </w:r>
          <w:r>
            <w:instrText xml:space="preserve"> PAGEREF _Toc3473 \h </w:instrText>
          </w:r>
          <w:r>
            <w:fldChar w:fldCharType="separate"/>
          </w:r>
          <w:r>
            <w:t>32</w:t>
          </w:r>
          <w:r>
            <w:fldChar w:fldCharType="end"/>
          </w:r>
          <w:r>
            <w:rPr>
              <w:rFonts w:ascii="Calibri" w:hAnsi="Calibri" w:eastAsia="Calibri"/>
            </w:rPr>
            <w:fldChar w:fldCharType="end"/>
          </w:r>
        </w:p>
        <w:p w14:paraId="6AAB28CC">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_Toc27942 </w:instrText>
          </w:r>
          <w:r>
            <w:rPr>
              <w:rFonts w:ascii="Calibri" w:hAnsi="Calibri" w:eastAsia="Calibri"/>
            </w:rPr>
            <w:fldChar w:fldCharType="separate"/>
          </w:r>
          <w:r>
            <w:t>5.4 Subcontractors and Targeted Enterprises</w:t>
          </w:r>
          <w:r>
            <w:tab/>
          </w:r>
          <w:r>
            <w:fldChar w:fldCharType="begin"/>
          </w:r>
          <w:r>
            <w:instrText xml:space="preserve"> PAGEREF _Toc27942 \h </w:instrText>
          </w:r>
          <w:r>
            <w:fldChar w:fldCharType="separate"/>
          </w:r>
          <w:r>
            <w:t>33</w:t>
          </w:r>
          <w:r>
            <w:fldChar w:fldCharType="end"/>
          </w:r>
          <w:r>
            <w:rPr>
              <w:rFonts w:ascii="Calibri" w:hAnsi="Calibri" w:eastAsia="Calibri"/>
            </w:rPr>
            <w:fldChar w:fldCharType="end"/>
          </w:r>
        </w:p>
        <w:p w14:paraId="62E65C69">
          <w:pPr>
            <w:pStyle w:val="18"/>
            <w:tabs>
              <w:tab w:val="right" w:leader="dot" w:pos="9355"/>
            </w:tabs>
          </w:pPr>
          <w:r>
            <w:rPr>
              <w:rFonts w:ascii="Calibri" w:hAnsi="Calibri" w:eastAsia="Calibri"/>
            </w:rPr>
            <w:fldChar w:fldCharType="begin"/>
          </w:r>
          <w:r>
            <w:rPr>
              <w:rFonts w:ascii="Calibri" w:hAnsi="Calibri" w:eastAsia="Calibri"/>
            </w:rPr>
            <w:instrText xml:space="preserve"> HYPERLINK \l _Toc27479 </w:instrText>
          </w:r>
          <w:r>
            <w:rPr>
              <w:rFonts w:ascii="Calibri" w:hAnsi="Calibri" w:eastAsia="Calibri"/>
            </w:rPr>
            <w:fldChar w:fldCharType="separate"/>
          </w:r>
          <w:r>
            <w:t>6. Materials and Logistics Plan</w:t>
          </w:r>
          <w:r>
            <w:tab/>
          </w:r>
          <w:r>
            <w:fldChar w:fldCharType="begin"/>
          </w:r>
          <w:r>
            <w:instrText xml:space="preserve"> PAGEREF _Toc27479 \h </w:instrText>
          </w:r>
          <w:r>
            <w:fldChar w:fldCharType="separate"/>
          </w:r>
          <w:r>
            <w:t>34</w:t>
          </w:r>
          <w:r>
            <w:fldChar w:fldCharType="end"/>
          </w:r>
          <w:r>
            <w:rPr>
              <w:rFonts w:ascii="Calibri" w:hAnsi="Calibri" w:eastAsia="Calibri"/>
            </w:rPr>
            <w:fldChar w:fldCharType="end"/>
          </w:r>
        </w:p>
        <w:p w14:paraId="3F8CA1B9">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_Toc28387 </w:instrText>
          </w:r>
          <w:r>
            <w:rPr>
              <w:rFonts w:ascii="Calibri" w:hAnsi="Calibri" w:eastAsia="Calibri"/>
            </w:rPr>
            <w:fldChar w:fldCharType="separate"/>
          </w:r>
          <w:r>
            <w:t>6.1 Material Sources</w:t>
          </w:r>
          <w:r>
            <w:tab/>
          </w:r>
          <w:r>
            <w:fldChar w:fldCharType="begin"/>
          </w:r>
          <w:r>
            <w:instrText xml:space="preserve"> PAGEREF _Toc28387 \h </w:instrText>
          </w:r>
          <w:r>
            <w:fldChar w:fldCharType="separate"/>
          </w:r>
          <w:r>
            <w:t>34</w:t>
          </w:r>
          <w:r>
            <w:fldChar w:fldCharType="end"/>
          </w:r>
          <w:r>
            <w:rPr>
              <w:rFonts w:ascii="Calibri" w:hAnsi="Calibri" w:eastAsia="Calibri"/>
            </w:rPr>
            <w:fldChar w:fldCharType="end"/>
          </w:r>
        </w:p>
        <w:p w14:paraId="2259F78E">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_Toc11029 </w:instrText>
          </w:r>
          <w:r>
            <w:rPr>
              <w:rFonts w:ascii="Calibri" w:hAnsi="Calibri" w:eastAsia="Calibri"/>
            </w:rPr>
            <w:fldChar w:fldCharType="separate"/>
          </w:r>
          <w:r>
            <w:t>6.2 Haulage and Stockpile Management</w:t>
          </w:r>
          <w:r>
            <w:tab/>
          </w:r>
          <w:r>
            <w:fldChar w:fldCharType="begin"/>
          </w:r>
          <w:r>
            <w:instrText xml:space="preserve"> PAGEREF _Toc11029 \h </w:instrText>
          </w:r>
          <w:r>
            <w:fldChar w:fldCharType="separate"/>
          </w:r>
          <w:r>
            <w:t>34</w:t>
          </w:r>
          <w:r>
            <w:fldChar w:fldCharType="end"/>
          </w:r>
          <w:r>
            <w:rPr>
              <w:rFonts w:ascii="Calibri" w:hAnsi="Calibri" w:eastAsia="Calibri"/>
            </w:rPr>
            <w:fldChar w:fldCharType="end"/>
          </w:r>
        </w:p>
        <w:p w14:paraId="49A29B2D">
          <w:pPr>
            <w:pStyle w:val="21"/>
            <w:tabs>
              <w:tab w:val="right" w:leader="dot" w:pos="9355"/>
            </w:tabs>
          </w:pPr>
          <w:r>
            <w:rPr>
              <w:rFonts w:ascii="Calibri" w:hAnsi="Calibri" w:eastAsia="Calibri"/>
            </w:rPr>
            <w:fldChar w:fldCharType="begin"/>
          </w:r>
          <w:r>
            <w:rPr>
              <w:rFonts w:ascii="Calibri" w:hAnsi="Calibri" w:eastAsia="Calibri"/>
            </w:rPr>
            <w:instrText xml:space="preserve"> HYPERLINK \l _Toc5936 </w:instrText>
          </w:r>
          <w:r>
            <w:rPr>
              <w:rFonts w:ascii="Calibri" w:hAnsi="Calibri" w:eastAsia="Calibri"/>
            </w:rPr>
            <w:fldChar w:fldCharType="separate"/>
          </w:r>
          <w:r>
            <w:t>6.3 Long-lead Items and Backup Suppliers</w:t>
          </w:r>
          <w:r>
            <w:tab/>
          </w:r>
          <w:r>
            <w:fldChar w:fldCharType="begin"/>
          </w:r>
          <w:r>
            <w:instrText xml:space="preserve"> PAGEREF _Toc5936 \h </w:instrText>
          </w:r>
          <w:r>
            <w:fldChar w:fldCharType="separate"/>
          </w:r>
          <w:r>
            <w:t>35</w:t>
          </w:r>
          <w:r>
            <w:fldChar w:fldCharType="end"/>
          </w:r>
          <w:r>
            <w:rPr>
              <w:rFonts w:ascii="Calibri" w:hAnsi="Calibri" w:eastAsia="Calibri"/>
            </w:rPr>
            <w:fldChar w:fldCharType="end"/>
          </w:r>
        </w:p>
        <w:p w14:paraId="23D12E1D">
          <w:pPr>
            <w:pStyle w:val="18"/>
            <w:tabs>
              <w:tab w:val="right" w:leader="dot" w:pos="9355"/>
            </w:tabs>
          </w:pPr>
          <w:r>
            <w:rPr>
              <w:rFonts w:ascii="Calibri" w:hAnsi="Calibri" w:eastAsia="Calibri"/>
            </w:rPr>
            <w:fldChar w:fldCharType="begin"/>
          </w:r>
          <w:r>
            <w:rPr>
              <w:rFonts w:ascii="Calibri" w:hAnsi="Calibri" w:eastAsia="Calibri"/>
            </w:rPr>
            <w:instrText xml:space="preserve"> HYPERLINK \l _Toc5218 </w:instrText>
          </w:r>
          <w:r>
            <w:rPr>
              <w:rFonts w:ascii="Calibri" w:hAnsi="Calibri" w:eastAsia="Calibri"/>
            </w:rPr>
            <w:fldChar w:fldCharType="separate"/>
          </w:r>
          <w:r>
            <w:t>7. Quality Management Methodology</w:t>
          </w:r>
          <w:r>
            <w:tab/>
          </w:r>
          <w:r>
            <w:fldChar w:fldCharType="begin"/>
          </w:r>
          <w:r>
            <w:instrText xml:space="preserve"> PAGEREF _Toc5218 \h </w:instrText>
          </w:r>
          <w:r>
            <w:fldChar w:fldCharType="separate"/>
          </w:r>
          <w:r>
            <w:t>36</w:t>
          </w:r>
          <w:r>
            <w:fldChar w:fldCharType="end"/>
          </w:r>
          <w:r>
            <w:rPr>
              <w:rFonts w:ascii="Calibri" w:hAnsi="Calibri" w:eastAsia="Calibri"/>
            </w:rPr>
            <w:fldChar w:fldCharType="end"/>
          </w:r>
        </w:p>
        <w:p w14:paraId="4FFC3E21">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_Toc1725 </w:instrText>
          </w:r>
          <w:r>
            <w:rPr>
              <w:rFonts w:ascii="Calibri" w:hAnsi="Calibri" w:eastAsia="Calibri"/>
            </w:rPr>
            <w:fldChar w:fldCharType="separate"/>
          </w:r>
          <w:r>
            <w:t>7.1 Project Quality Plan</w:t>
          </w:r>
          <w:r>
            <w:tab/>
          </w:r>
          <w:r>
            <w:fldChar w:fldCharType="begin"/>
          </w:r>
          <w:r>
            <w:instrText xml:space="preserve"> PAGEREF _Toc1725 \h </w:instrText>
          </w:r>
          <w:r>
            <w:fldChar w:fldCharType="separate"/>
          </w:r>
          <w:r>
            <w:t>36</w:t>
          </w:r>
          <w:r>
            <w:fldChar w:fldCharType="end"/>
          </w:r>
          <w:r>
            <w:rPr>
              <w:rFonts w:ascii="Calibri" w:hAnsi="Calibri" w:eastAsia="Calibri"/>
            </w:rPr>
            <w:fldChar w:fldCharType="end"/>
          </w:r>
        </w:p>
        <w:p w14:paraId="2E34DD83">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_Toc20810 </w:instrText>
          </w:r>
          <w:r>
            <w:rPr>
              <w:rFonts w:ascii="Calibri" w:hAnsi="Calibri" w:eastAsia="Calibri"/>
            </w:rPr>
            <w:fldChar w:fldCharType="separate"/>
          </w:r>
          <w:r>
            <w:t>7.2 Inspection and Test Plan</w:t>
          </w:r>
          <w:r>
            <w:tab/>
          </w:r>
          <w:r>
            <w:fldChar w:fldCharType="begin"/>
          </w:r>
          <w:r>
            <w:instrText xml:space="preserve"> PAGEREF _Toc20810 \h </w:instrText>
          </w:r>
          <w:r>
            <w:fldChar w:fldCharType="separate"/>
          </w:r>
          <w:r>
            <w:t>36</w:t>
          </w:r>
          <w:r>
            <w:fldChar w:fldCharType="end"/>
          </w:r>
          <w:r>
            <w:rPr>
              <w:rFonts w:ascii="Calibri" w:hAnsi="Calibri" w:eastAsia="Calibri"/>
            </w:rPr>
            <w:fldChar w:fldCharType="end"/>
          </w:r>
        </w:p>
        <w:p w14:paraId="3082A133">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_Toc11900 </w:instrText>
          </w:r>
          <w:r>
            <w:rPr>
              <w:rFonts w:ascii="Calibri" w:hAnsi="Calibri" w:eastAsia="Calibri"/>
            </w:rPr>
            <w:fldChar w:fldCharType="separate"/>
          </w:r>
          <w:r>
            <w:t>7.3 Hold Points and Acceptance Records</w:t>
          </w:r>
          <w:r>
            <w:tab/>
          </w:r>
          <w:r>
            <w:fldChar w:fldCharType="begin"/>
          </w:r>
          <w:r>
            <w:instrText xml:space="preserve"> PAGEREF _Toc11900 \h </w:instrText>
          </w:r>
          <w:r>
            <w:fldChar w:fldCharType="separate"/>
          </w:r>
          <w:r>
            <w:t>37</w:t>
          </w:r>
          <w:r>
            <w:fldChar w:fldCharType="end"/>
          </w:r>
          <w:r>
            <w:rPr>
              <w:rFonts w:ascii="Calibri" w:hAnsi="Calibri" w:eastAsia="Calibri"/>
            </w:rPr>
            <w:fldChar w:fldCharType="end"/>
          </w:r>
        </w:p>
        <w:p w14:paraId="5A4A1E86">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_Toc15174 </w:instrText>
          </w:r>
          <w:r>
            <w:rPr>
              <w:rFonts w:ascii="Calibri" w:hAnsi="Calibri" w:eastAsia="Calibri"/>
            </w:rPr>
            <w:fldChar w:fldCharType="separate"/>
          </w:r>
          <w:r>
            <w:t>7.4 Non-conformance and Corrective Action</w:t>
          </w:r>
          <w:r>
            <w:tab/>
          </w:r>
          <w:r>
            <w:fldChar w:fldCharType="begin"/>
          </w:r>
          <w:r>
            <w:instrText xml:space="preserve"> PAGEREF _Toc15174 \h </w:instrText>
          </w:r>
          <w:r>
            <w:fldChar w:fldCharType="separate"/>
          </w:r>
          <w:r>
            <w:t>39</w:t>
          </w:r>
          <w:r>
            <w:fldChar w:fldCharType="end"/>
          </w:r>
          <w:r>
            <w:rPr>
              <w:rFonts w:ascii="Calibri" w:hAnsi="Calibri" w:eastAsia="Calibri"/>
            </w:rPr>
            <w:fldChar w:fldCharType="end"/>
          </w:r>
        </w:p>
        <w:p w14:paraId="0B746BB7">
          <w:pPr>
            <w:pStyle w:val="18"/>
            <w:tabs>
              <w:tab w:val="right" w:leader="dot" w:pos="9355"/>
            </w:tabs>
          </w:pPr>
          <w:r>
            <w:rPr>
              <w:rFonts w:ascii="Calibri" w:hAnsi="Calibri" w:eastAsia="Calibri"/>
            </w:rPr>
            <w:fldChar w:fldCharType="begin"/>
          </w:r>
          <w:r>
            <w:rPr>
              <w:rFonts w:ascii="Calibri" w:hAnsi="Calibri" w:eastAsia="Calibri"/>
            </w:rPr>
            <w:instrText xml:space="preserve"> HYPERLINK \l _Toc22258 </w:instrText>
          </w:r>
          <w:r>
            <w:rPr>
              <w:rFonts w:ascii="Calibri" w:hAnsi="Calibri" w:eastAsia="Calibri"/>
            </w:rPr>
            <w:fldChar w:fldCharType="separate"/>
          </w:r>
          <w:r>
            <w:t>8. Health, Safety and Environmental Management</w:t>
          </w:r>
          <w:r>
            <w:tab/>
          </w:r>
          <w:r>
            <w:fldChar w:fldCharType="begin"/>
          </w:r>
          <w:r>
            <w:instrText xml:space="preserve"> PAGEREF _Toc22258 \h </w:instrText>
          </w:r>
          <w:r>
            <w:fldChar w:fldCharType="separate"/>
          </w:r>
          <w:r>
            <w:t>40</w:t>
          </w:r>
          <w:r>
            <w:fldChar w:fldCharType="end"/>
          </w:r>
          <w:r>
            <w:rPr>
              <w:rFonts w:ascii="Calibri" w:hAnsi="Calibri" w:eastAsia="Calibri"/>
            </w:rPr>
            <w:fldChar w:fldCharType="end"/>
          </w:r>
        </w:p>
        <w:p w14:paraId="2DF8D7FB">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_Toc28736 </w:instrText>
          </w:r>
          <w:r>
            <w:rPr>
              <w:rFonts w:ascii="Calibri" w:hAnsi="Calibri" w:eastAsia="Calibri"/>
            </w:rPr>
            <w:fldChar w:fldCharType="separate"/>
          </w:r>
          <w:r>
            <w:t>8.1 Safety Management</w:t>
          </w:r>
          <w:r>
            <w:tab/>
          </w:r>
          <w:r>
            <w:fldChar w:fldCharType="begin"/>
          </w:r>
          <w:r>
            <w:instrText xml:space="preserve"> PAGEREF _Toc28736 \h </w:instrText>
          </w:r>
          <w:r>
            <w:fldChar w:fldCharType="separate"/>
          </w:r>
          <w:r>
            <w:t>40</w:t>
          </w:r>
          <w:r>
            <w:fldChar w:fldCharType="end"/>
          </w:r>
          <w:r>
            <w:rPr>
              <w:rFonts w:ascii="Calibri" w:hAnsi="Calibri" w:eastAsia="Calibri"/>
            </w:rPr>
            <w:fldChar w:fldCharType="end"/>
          </w:r>
        </w:p>
        <w:p w14:paraId="1A018DE8">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_Toc2064 </w:instrText>
          </w:r>
          <w:r>
            <w:rPr>
              <w:rFonts w:ascii="Calibri" w:hAnsi="Calibri" w:eastAsia="Calibri"/>
            </w:rPr>
            <w:fldChar w:fldCharType="separate"/>
          </w:r>
          <w:r>
            <w:t>8.2 Environmental Controls</w:t>
          </w:r>
          <w:r>
            <w:tab/>
          </w:r>
          <w:r>
            <w:fldChar w:fldCharType="begin"/>
          </w:r>
          <w:r>
            <w:instrText xml:space="preserve"> PAGEREF _Toc2064 \h </w:instrText>
          </w:r>
          <w:r>
            <w:fldChar w:fldCharType="separate"/>
          </w:r>
          <w:r>
            <w:t>41</w:t>
          </w:r>
          <w:r>
            <w:fldChar w:fldCharType="end"/>
          </w:r>
          <w:r>
            <w:rPr>
              <w:rFonts w:ascii="Calibri" w:hAnsi="Calibri" w:eastAsia="Calibri"/>
            </w:rPr>
            <w:fldChar w:fldCharType="end"/>
          </w:r>
        </w:p>
        <w:p w14:paraId="070CF12B">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_Toc23399 </w:instrText>
          </w:r>
          <w:r>
            <w:rPr>
              <w:rFonts w:ascii="Calibri" w:hAnsi="Calibri" w:eastAsia="Calibri"/>
            </w:rPr>
            <w:fldChar w:fldCharType="separate"/>
          </w:r>
          <w:r>
            <w:t>8.3 Emergency Response</w:t>
          </w:r>
          <w:r>
            <w:tab/>
          </w:r>
          <w:r>
            <w:fldChar w:fldCharType="begin"/>
          </w:r>
          <w:r>
            <w:instrText xml:space="preserve"> PAGEREF _Toc23399 \h </w:instrText>
          </w:r>
          <w:r>
            <w:fldChar w:fldCharType="separate"/>
          </w:r>
          <w:r>
            <w:t>44</w:t>
          </w:r>
          <w:r>
            <w:fldChar w:fldCharType="end"/>
          </w:r>
          <w:r>
            <w:rPr>
              <w:rFonts w:ascii="Calibri" w:hAnsi="Calibri" w:eastAsia="Calibri"/>
            </w:rPr>
            <w:fldChar w:fldCharType="end"/>
          </w:r>
        </w:p>
        <w:p w14:paraId="4CD56F94">
          <w:pPr>
            <w:pStyle w:val="18"/>
            <w:tabs>
              <w:tab w:val="right" w:leader="dot" w:pos="9355"/>
            </w:tabs>
          </w:pPr>
          <w:r>
            <w:rPr>
              <w:rFonts w:ascii="Calibri" w:hAnsi="Calibri" w:eastAsia="Calibri"/>
            </w:rPr>
            <w:fldChar w:fldCharType="begin"/>
          </w:r>
          <w:r>
            <w:rPr>
              <w:rFonts w:ascii="Calibri" w:hAnsi="Calibri" w:eastAsia="Calibri"/>
            </w:rPr>
            <w:instrText xml:space="preserve"> HYPERLINK \l _Toc32576 </w:instrText>
          </w:r>
          <w:r>
            <w:rPr>
              <w:rFonts w:ascii="Calibri" w:hAnsi="Calibri" w:eastAsia="Calibri"/>
            </w:rPr>
            <w:fldChar w:fldCharType="separate"/>
          </w:r>
          <w:r>
            <w:t>9. Traffic, Stakeholder and Community Management</w:t>
          </w:r>
          <w:r>
            <w:tab/>
          </w:r>
          <w:r>
            <w:fldChar w:fldCharType="begin"/>
          </w:r>
          <w:r>
            <w:instrText xml:space="preserve"> PAGEREF _Toc32576 \h </w:instrText>
          </w:r>
          <w:r>
            <w:fldChar w:fldCharType="separate"/>
          </w:r>
          <w:r>
            <w:t>45</w:t>
          </w:r>
          <w:r>
            <w:fldChar w:fldCharType="end"/>
          </w:r>
          <w:r>
            <w:rPr>
              <w:rFonts w:ascii="Calibri" w:hAnsi="Calibri" w:eastAsia="Calibri"/>
            </w:rPr>
            <w:fldChar w:fldCharType="end"/>
          </w:r>
        </w:p>
        <w:p w14:paraId="4C9203C7">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_Toc12170 </w:instrText>
          </w:r>
          <w:r>
            <w:rPr>
              <w:rFonts w:ascii="Calibri" w:hAnsi="Calibri" w:eastAsia="Calibri"/>
            </w:rPr>
            <w:fldChar w:fldCharType="separate"/>
          </w:r>
          <w:r>
            <w:t>9.1 Traffic Management</w:t>
          </w:r>
          <w:r>
            <w:tab/>
          </w:r>
          <w:r>
            <w:fldChar w:fldCharType="begin"/>
          </w:r>
          <w:r>
            <w:instrText xml:space="preserve"> PAGEREF _Toc12170 \h </w:instrText>
          </w:r>
          <w:r>
            <w:fldChar w:fldCharType="separate"/>
          </w:r>
          <w:r>
            <w:t>45</w:t>
          </w:r>
          <w:r>
            <w:fldChar w:fldCharType="end"/>
          </w:r>
          <w:r>
            <w:rPr>
              <w:rFonts w:ascii="Calibri" w:hAnsi="Calibri" w:eastAsia="Calibri"/>
            </w:rPr>
            <w:fldChar w:fldCharType="end"/>
          </w:r>
        </w:p>
        <w:p w14:paraId="5250FB1E">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_Toc10975 </w:instrText>
          </w:r>
          <w:r>
            <w:rPr>
              <w:rFonts w:ascii="Calibri" w:hAnsi="Calibri" w:eastAsia="Calibri"/>
            </w:rPr>
            <w:fldChar w:fldCharType="separate"/>
          </w:r>
          <w:r>
            <w:t>9.2 Stakeholder Communication</w:t>
          </w:r>
          <w:r>
            <w:tab/>
          </w:r>
          <w:r>
            <w:fldChar w:fldCharType="begin"/>
          </w:r>
          <w:r>
            <w:instrText xml:space="preserve"> PAGEREF _Toc10975 \h </w:instrText>
          </w:r>
          <w:r>
            <w:fldChar w:fldCharType="separate"/>
          </w:r>
          <w:r>
            <w:t>45</w:t>
          </w:r>
          <w:r>
            <w:fldChar w:fldCharType="end"/>
          </w:r>
          <w:r>
            <w:rPr>
              <w:rFonts w:ascii="Calibri" w:hAnsi="Calibri" w:eastAsia="Calibri"/>
            </w:rPr>
            <w:fldChar w:fldCharType="end"/>
          </w:r>
        </w:p>
        <w:p w14:paraId="43FD41C7">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_Toc13621 </w:instrText>
          </w:r>
          <w:r>
            <w:rPr>
              <w:rFonts w:ascii="Calibri" w:hAnsi="Calibri" w:eastAsia="Calibri"/>
            </w:rPr>
            <w:fldChar w:fldCharType="separate"/>
          </w:r>
          <w:r>
            <w:t>9.3 Community and Local Labour Management</w:t>
          </w:r>
          <w:r>
            <w:tab/>
          </w:r>
          <w:r>
            <w:fldChar w:fldCharType="begin"/>
          </w:r>
          <w:r>
            <w:instrText xml:space="preserve"> PAGEREF _Toc13621 \h </w:instrText>
          </w:r>
          <w:r>
            <w:fldChar w:fldCharType="separate"/>
          </w:r>
          <w:r>
            <w:t>45</w:t>
          </w:r>
          <w:r>
            <w:fldChar w:fldCharType="end"/>
          </w:r>
          <w:r>
            <w:rPr>
              <w:rFonts w:ascii="Calibri" w:hAnsi="Calibri" w:eastAsia="Calibri"/>
            </w:rPr>
            <w:fldChar w:fldCharType="end"/>
          </w:r>
        </w:p>
        <w:p w14:paraId="11033C66">
          <w:pPr>
            <w:pStyle w:val="15"/>
            <w:tabs>
              <w:tab w:val="right" w:leader="dot" w:pos="9355"/>
            </w:tabs>
          </w:pPr>
          <w:r>
            <w:rPr>
              <w:rFonts w:ascii="Calibri" w:hAnsi="Calibri" w:eastAsia="Calibri"/>
            </w:rPr>
            <w:fldChar w:fldCharType="begin"/>
          </w:r>
          <w:r>
            <w:rPr>
              <w:rFonts w:ascii="Calibri" w:hAnsi="Calibri" w:eastAsia="Calibri"/>
            </w:rPr>
            <w:instrText xml:space="preserve"> HYPERLINK \l _Toc32354 </w:instrText>
          </w:r>
          <w:r>
            <w:rPr>
              <w:rFonts w:ascii="Calibri" w:hAnsi="Calibri" w:eastAsia="Calibri"/>
            </w:rPr>
            <w:fldChar w:fldCharType="separate"/>
          </w:r>
          <w:r>
            <w:rPr>
              <w:rFonts w:hint="eastAsia"/>
              <w:lang w:val="en-US" w:eastAsia="zh-CN"/>
            </w:rPr>
            <w:t>9.3</w:t>
          </w:r>
          <w:r>
            <w:rPr>
              <w:lang w:val="en-US" w:eastAsia="zh-CN"/>
            </w:rPr>
            <w:t>.1 Contract Participation Goals — A Strategic Commitment</w:t>
          </w:r>
          <w:r>
            <w:tab/>
          </w:r>
          <w:r>
            <w:fldChar w:fldCharType="begin"/>
          </w:r>
          <w:r>
            <w:instrText xml:space="preserve"> PAGEREF _Toc32354 \h </w:instrText>
          </w:r>
          <w:r>
            <w:fldChar w:fldCharType="separate"/>
          </w:r>
          <w:r>
            <w:t>46</w:t>
          </w:r>
          <w:r>
            <w:fldChar w:fldCharType="end"/>
          </w:r>
          <w:r>
            <w:rPr>
              <w:rFonts w:ascii="Calibri" w:hAnsi="Calibri" w:eastAsia="Calibri"/>
            </w:rPr>
            <w:fldChar w:fldCharType="end"/>
          </w:r>
        </w:p>
        <w:p w14:paraId="577E4CBD">
          <w:pPr>
            <w:pStyle w:val="18"/>
            <w:tabs>
              <w:tab w:val="right" w:leader="dot" w:pos="9355"/>
            </w:tabs>
          </w:pPr>
          <w:r>
            <w:rPr>
              <w:rFonts w:ascii="Calibri" w:hAnsi="Calibri" w:eastAsia="Calibri"/>
            </w:rPr>
            <w:fldChar w:fldCharType="begin"/>
          </w:r>
          <w:r>
            <w:rPr>
              <w:rFonts w:ascii="Calibri" w:hAnsi="Calibri" w:eastAsia="Calibri"/>
            </w:rPr>
            <w:instrText xml:space="preserve"> HYPERLINK \l _Toc4797 </w:instrText>
          </w:r>
          <w:r>
            <w:rPr>
              <w:rFonts w:ascii="Calibri" w:hAnsi="Calibri" w:eastAsia="Calibri"/>
            </w:rPr>
            <w:fldChar w:fldCharType="separate"/>
          </w:r>
          <w:r>
            <w:t>10. Risk Register and Mitigation Plan</w:t>
          </w:r>
          <w:r>
            <w:tab/>
          </w:r>
          <w:r>
            <w:fldChar w:fldCharType="begin"/>
          </w:r>
          <w:r>
            <w:instrText xml:space="preserve"> PAGEREF _Toc4797 \h </w:instrText>
          </w:r>
          <w:r>
            <w:fldChar w:fldCharType="separate"/>
          </w:r>
          <w:r>
            <w:t>51</w:t>
          </w:r>
          <w:r>
            <w:fldChar w:fldCharType="end"/>
          </w:r>
          <w:r>
            <w:rPr>
              <w:rFonts w:ascii="Calibri" w:hAnsi="Calibri" w:eastAsia="Calibri"/>
            </w:rPr>
            <w:fldChar w:fldCharType="end"/>
          </w:r>
        </w:p>
        <w:p w14:paraId="4725F05F">
          <w:pPr>
            <w:pStyle w:val="18"/>
            <w:tabs>
              <w:tab w:val="right" w:leader="dot" w:pos="9355"/>
            </w:tabs>
          </w:pPr>
          <w:r>
            <w:rPr>
              <w:rFonts w:ascii="Calibri" w:hAnsi="Calibri" w:eastAsia="Calibri"/>
            </w:rPr>
            <w:fldChar w:fldCharType="begin"/>
          </w:r>
          <w:r>
            <w:rPr>
              <w:rFonts w:ascii="Calibri" w:hAnsi="Calibri" w:eastAsia="Calibri"/>
            </w:rPr>
            <w:instrText xml:space="preserve"> HYPERLINK \l _Toc19637 </w:instrText>
          </w:r>
          <w:r>
            <w:rPr>
              <w:rFonts w:ascii="Calibri" w:hAnsi="Calibri" w:eastAsia="Calibri"/>
            </w:rPr>
            <w:fldChar w:fldCharType="separate"/>
          </w:r>
          <w:r>
            <w:t>11. Monitoring, Reporting and Project Controls</w:t>
          </w:r>
          <w:r>
            <w:tab/>
          </w:r>
          <w:r>
            <w:fldChar w:fldCharType="begin"/>
          </w:r>
          <w:r>
            <w:instrText xml:space="preserve"> PAGEREF _Toc19637 \h </w:instrText>
          </w:r>
          <w:r>
            <w:fldChar w:fldCharType="separate"/>
          </w:r>
          <w:r>
            <w:t>52</w:t>
          </w:r>
          <w:r>
            <w:fldChar w:fldCharType="end"/>
          </w:r>
          <w:r>
            <w:rPr>
              <w:rFonts w:ascii="Calibri" w:hAnsi="Calibri" w:eastAsia="Calibri"/>
            </w:rPr>
            <w:fldChar w:fldCharType="end"/>
          </w:r>
        </w:p>
        <w:p w14:paraId="512EAB3F">
          <w:pPr>
            <w:pStyle w:val="18"/>
            <w:tabs>
              <w:tab w:val="right" w:leader="dot" w:pos="9355"/>
            </w:tabs>
          </w:pPr>
          <w:r>
            <w:rPr>
              <w:rFonts w:ascii="Calibri" w:hAnsi="Calibri" w:eastAsia="Calibri"/>
            </w:rPr>
            <w:fldChar w:fldCharType="begin"/>
          </w:r>
          <w:r>
            <w:rPr>
              <w:rFonts w:ascii="Calibri" w:hAnsi="Calibri" w:eastAsia="Calibri"/>
            </w:rPr>
            <w:instrText xml:space="preserve"> HYPERLINK \l _Toc9631 </w:instrText>
          </w:r>
          <w:r>
            <w:rPr>
              <w:rFonts w:ascii="Calibri" w:hAnsi="Calibri" w:eastAsia="Calibri"/>
            </w:rPr>
            <w:fldChar w:fldCharType="separate"/>
          </w:r>
          <w:r>
            <w:t>12. Completion, Handover and Close-out</w:t>
          </w:r>
          <w:r>
            <w:tab/>
          </w:r>
          <w:r>
            <w:fldChar w:fldCharType="begin"/>
          </w:r>
          <w:r>
            <w:instrText xml:space="preserve"> PAGEREF _Toc9631 \h </w:instrText>
          </w:r>
          <w:r>
            <w:fldChar w:fldCharType="separate"/>
          </w:r>
          <w:r>
            <w:t>53</w:t>
          </w:r>
          <w:r>
            <w:fldChar w:fldCharType="end"/>
          </w:r>
          <w:r>
            <w:rPr>
              <w:rFonts w:ascii="Calibri" w:hAnsi="Calibri" w:eastAsia="Calibri"/>
            </w:rPr>
            <w:fldChar w:fldCharType="end"/>
          </w:r>
        </w:p>
        <w:p w14:paraId="281B9AE3">
          <w:pPr>
            <w:pStyle w:val="21"/>
            <w:tabs>
              <w:tab w:val="right" w:leader="dot" w:pos="9355"/>
            </w:tabs>
          </w:pPr>
          <w:r>
            <w:rPr>
              <w:rFonts w:ascii="Calibri" w:hAnsi="Calibri" w:eastAsia="Calibri"/>
            </w:rPr>
            <w:fldChar w:fldCharType="begin"/>
          </w:r>
          <w:r>
            <w:rPr>
              <w:rFonts w:ascii="Calibri" w:hAnsi="Calibri" w:eastAsia="Calibri"/>
            </w:rPr>
            <w:instrText xml:space="preserve"> HYPERLINK \l _Toc671 </w:instrText>
          </w:r>
          <w:r>
            <w:rPr>
              <w:rFonts w:ascii="Calibri" w:hAnsi="Calibri" w:eastAsia="Calibri"/>
            </w:rPr>
            <w:fldChar w:fldCharType="separate"/>
          </w:r>
          <w:r>
            <w:t>12.1 Terminal Float and Sectional Completion</w:t>
          </w:r>
          <w:r>
            <w:tab/>
          </w:r>
          <w:r>
            <w:fldChar w:fldCharType="begin"/>
          </w:r>
          <w:r>
            <w:instrText xml:space="preserve"> PAGEREF _Toc671 \h </w:instrText>
          </w:r>
          <w:r>
            <w:fldChar w:fldCharType="separate"/>
          </w:r>
          <w:r>
            <w:t>53</w:t>
          </w:r>
          <w:r>
            <w:fldChar w:fldCharType="end"/>
          </w:r>
          <w:r>
            <w:rPr>
              <w:rFonts w:ascii="Calibri" w:hAnsi="Calibri" w:eastAsia="Calibri"/>
            </w:rPr>
            <w:fldChar w:fldCharType="end"/>
          </w:r>
        </w:p>
        <w:p w14:paraId="501BF8E8">
          <w:pPr>
            <w:pStyle w:val="21"/>
            <w:tabs>
              <w:tab w:val="right" w:leader="dot" w:pos="9355"/>
            </w:tabs>
          </w:pPr>
          <w:r>
            <w:rPr>
              <w:rFonts w:ascii="Calibri" w:hAnsi="Calibri" w:eastAsia="Calibri"/>
            </w:rPr>
            <w:fldChar w:fldCharType="begin"/>
          </w:r>
          <w:r>
            <w:rPr>
              <w:rFonts w:ascii="Calibri" w:hAnsi="Calibri" w:eastAsia="Calibri"/>
            </w:rPr>
            <w:instrText xml:space="preserve"> HYPERLINK \l _Toc32729 </w:instrText>
          </w:r>
          <w:r>
            <w:rPr>
              <w:rFonts w:ascii="Calibri" w:hAnsi="Calibri" w:eastAsia="Calibri"/>
            </w:rPr>
            <w:fldChar w:fldCharType="separate"/>
          </w:r>
          <w:r>
            <w:t>12.2 Snagging and Defect Rectification</w:t>
          </w:r>
          <w:r>
            <w:tab/>
          </w:r>
          <w:r>
            <w:fldChar w:fldCharType="begin"/>
          </w:r>
          <w:r>
            <w:instrText xml:space="preserve"> PAGEREF _Toc32729 \h </w:instrText>
          </w:r>
          <w:r>
            <w:fldChar w:fldCharType="separate"/>
          </w:r>
          <w:r>
            <w:t>53</w:t>
          </w:r>
          <w:r>
            <w:fldChar w:fldCharType="end"/>
          </w:r>
          <w:r>
            <w:rPr>
              <w:rFonts w:ascii="Calibri" w:hAnsi="Calibri" w:eastAsia="Calibri"/>
            </w:rPr>
            <w:fldChar w:fldCharType="end"/>
          </w:r>
        </w:p>
        <w:p w14:paraId="087740B6">
          <w:pPr>
            <w:pStyle w:val="21"/>
            <w:tabs>
              <w:tab w:val="right" w:leader="dot" w:pos="9355"/>
            </w:tabs>
          </w:pPr>
          <w:r>
            <w:rPr>
              <w:rFonts w:ascii="Calibri" w:hAnsi="Calibri" w:eastAsia="Calibri"/>
            </w:rPr>
            <w:fldChar w:fldCharType="begin"/>
          </w:r>
          <w:r>
            <w:rPr>
              <w:rFonts w:ascii="Calibri" w:hAnsi="Calibri" w:eastAsia="Calibri"/>
            </w:rPr>
            <w:instrText xml:space="preserve"> HYPERLINK \l _Toc10537 </w:instrText>
          </w:r>
          <w:r>
            <w:rPr>
              <w:rFonts w:ascii="Calibri" w:hAnsi="Calibri" w:eastAsia="Calibri"/>
            </w:rPr>
            <w:fldChar w:fldCharType="separate"/>
          </w:r>
          <w:r>
            <w:t>12.3 As-Built Records and Handover Packages</w:t>
          </w:r>
          <w:r>
            <w:tab/>
          </w:r>
          <w:r>
            <w:fldChar w:fldCharType="begin"/>
          </w:r>
          <w:r>
            <w:instrText xml:space="preserve"> PAGEREF _Toc10537 \h </w:instrText>
          </w:r>
          <w:r>
            <w:fldChar w:fldCharType="separate"/>
          </w:r>
          <w:r>
            <w:t>54</w:t>
          </w:r>
          <w:r>
            <w:fldChar w:fldCharType="end"/>
          </w:r>
          <w:r>
            <w:rPr>
              <w:rFonts w:ascii="Calibri" w:hAnsi="Calibri" w:eastAsia="Calibri"/>
            </w:rPr>
            <w:fldChar w:fldCharType="end"/>
          </w:r>
        </w:p>
        <w:p w14:paraId="55E03636">
          <w:pPr>
            <w:pStyle w:val="21"/>
            <w:tabs>
              <w:tab w:val="right" w:leader="dot" w:pos="9355"/>
            </w:tabs>
          </w:pPr>
          <w:r>
            <w:rPr>
              <w:rFonts w:ascii="Calibri" w:hAnsi="Calibri" w:eastAsia="Calibri"/>
            </w:rPr>
            <w:fldChar w:fldCharType="begin"/>
          </w:r>
          <w:r>
            <w:rPr>
              <w:rFonts w:ascii="Calibri" w:hAnsi="Calibri" w:eastAsia="Calibri"/>
            </w:rPr>
            <w:instrText xml:space="preserve"> HYPERLINK \l _Toc28979 </w:instrText>
          </w:r>
          <w:r>
            <w:rPr>
              <w:rFonts w:ascii="Calibri" w:hAnsi="Calibri" w:eastAsia="Calibri"/>
            </w:rPr>
            <w:fldChar w:fldCharType="separate"/>
          </w:r>
          <w:r>
            <w:t>12.4 Environmental Close-out and Demobilisation</w:t>
          </w:r>
          <w:r>
            <w:tab/>
          </w:r>
          <w:r>
            <w:fldChar w:fldCharType="begin"/>
          </w:r>
          <w:r>
            <w:instrText xml:space="preserve"> PAGEREF _Toc28979 \h </w:instrText>
          </w:r>
          <w:r>
            <w:fldChar w:fldCharType="separate"/>
          </w:r>
          <w:r>
            <w:t>54</w:t>
          </w:r>
          <w:r>
            <w:fldChar w:fldCharType="end"/>
          </w:r>
          <w:r>
            <w:rPr>
              <w:rFonts w:ascii="Calibri" w:hAnsi="Calibri" w:eastAsia="Calibri"/>
            </w:rPr>
            <w:fldChar w:fldCharType="end"/>
          </w:r>
        </w:p>
        <w:p w14:paraId="23A66CEC">
          <w:pPr>
            <w:pStyle w:val="21"/>
            <w:tabs>
              <w:tab w:val="right" w:leader="dot" w:pos="9355"/>
            </w:tabs>
          </w:pPr>
          <w:r>
            <w:rPr>
              <w:rFonts w:ascii="Calibri" w:hAnsi="Calibri" w:eastAsia="Calibri"/>
            </w:rPr>
            <w:fldChar w:fldCharType="begin"/>
          </w:r>
          <w:r>
            <w:rPr>
              <w:rFonts w:ascii="Calibri" w:hAnsi="Calibri" w:eastAsia="Calibri"/>
            </w:rPr>
            <w:instrText xml:space="preserve"> HYPERLINK \l _Toc6234 </w:instrText>
          </w:r>
          <w:r>
            <w:rPr>
              <w:rFonts w:ascii="Calibri" w:hAnsi="Calibri" w:eastAsia="Calibri"/>
            </w:rPr>
            <w:fldChar w:fldCharType="separate"/>
          </w:r>
          <w:r>
            <w:t>12.5 Defects Notification Period</w:t>
          </w:r>
          <w:r>
            <w:tab/>
          </w:r>
          <w:r>
            <w:fldChar w:fldCharType="begin"/>
          </w:r>
          <w:r>
            <w:instrText xml:space="preserve"> PAGEREF _Toc6234 \h </w:instrText>
          </w:r>
          <w:r>
            <w:fldChar w:fldCharType="separate"/>
          </w:r>
          <w:r>
            <w:t>54</w:t>
          </w:r>
          <w:r>
            <w:fldChar w:fldCharType="end"/>
          </w:r>
          <w:r>
            <w:rPr>
              <w:rFonts w:ascii="Calibri" w:hAnsi="Calibri" w:eastAsia="Calibri"/>
            </w:rPr>
            <w:fldChar w:fldCharType="end"/>
          </w:r>
        </w:p>
        <w:p w14:paraId="7ECF23EC">
          <w:pPr>
            <w:pStyle w:val="18"/>
            <w:tabs>
              <w:tab w:val="right" w:leader="dot" w:pos="9355"/>
            </w:tabs>
          </w:pPr>
          <w:r>
            <w:rPr>
              <w:rFonts w:ascii="Calibri" w:hAnsi="Calibri" w:eastAsia="Calibri"/>
            </w:rPr>
            <w:fldChar w:fldCharType="begin"/>
          </w:r>
          <w:r>
            <w:rPr>
              <w:rFonts w:ascii="Calibri" w:hAnsi="Calibri" w:eastAsia="Calibri"/>
            </w:rPr>
            <w:instrText xml:space="preserve"> HYPERLINK \l _Toc902 </w:instrText>
          </w:r>
          <w:r>
            <w:rPr>
              <w:rFonts w:ascii="Calibri" w:hAnsi="Calibri" w:eastAsia="Calibri"/>
            </w:rPr>
            <w:fldChar w:fldCharType="separate"/>
          </w:r>
          <w:r>
            <w:t>List of Attachments</w:t>
          </w:r>
          <w:r>
            <w:tab/>
          </w:r>
          <w:r>
            <w:fldChar w:fldCharType="begin"/>
          </w:r>
          <w:r>
            <w:instrText xml:space="preserve"> PAGEREF _Toc902 \h </w:instrText>
          </w:r>
          <w:r>
            <w:fldChar w:fldCharType="separate"/>
          </w:r>
          <w:r>
            <w:t>57</w:t>
          </w:r>
          <w:r>
            <w:fldChar w:fldCharType="end"/>
          </w:r>
          <w:r>
            <w:rPr>
              <w:rFonts w:ascii="Calibri" w:hAnsi="Calibri" w:eastAsia="Calibri"/>
            </w:rPr>
            <w:fldChar w:fldCharType="end"/>
          </w:r>
        </w:p>
        <w:p w14:paraId="48CD9444">
          <w:pPr>
            <w:rPr>
              <w:rFonts w:ascii="Calibri" w:hAnsi="Calibri" w:eastAsia="Calibri" w:cstheme="majorBidi"/>
              <w:b/>
              <w:color w:val="1B3A5C"/>
              <w:sz w:val="32"/>
              <w:szCs w:val="32"/>
              <w:lang w:val="en-US" w:eastAsia="en-ZA" w:bidi="ar-SA"/>
            </w:rPr>
          </w:pPr>
          <w:r>
            <w:rPr>
              <w:rFonts w:ascii="Calibri" w:hAnsi="Calibri" w:eastAsia="Calibri"/>
            </w:rPr>
            <w:fldChar w:fldCharType="end"/>
          </w:r>
          <w:bookmarkEnd w:id="0"/>
          <w:bookmarkEnd w:id="4"/>
        </w:p>
      </w:sdtContent>
    </w:sdt>
    <w:p w14:paraId="299F195C">
      <w:pPr>
        <w:pStyle w:val="2"/>
      </w:pPr>
      <w:bookmarkStart w:id="5" w:name="_Toc19782"/>
      <w:r>
        <w:t>1. Project Understanding</w:t>
      </w:r>
      <w:bookmarkEnd w:id="5"/>
    </w:p>
    <w:p w14:paraId="3BC4FBA2">
      <w:pPr>
        <w:pStyle w:val="3"/>
      </w:pPr>
      <w:bookmarkStart w:id="6" w:name="_Toc19412"/>
      <w:r>
        <w:t>1.1 Understanding of the Scope of Works</w:t>
      </w:r>
      <w:bookmarkEnd w:id="6"/>
    </w:p>
    <w:p w14:paraId="7FFA7FF9">
      <w:r>
        <w:t>The Contractor presents this Construction Methodology Statement as the Work Plan component of the Form B8 tender submission for the upgrade of National Route N2 Section 18 between Viedgesville (KM 65.6) and Mthatha (KM 85.0) in the Eastern Cape province. The Works comprise approximately 19.4 km of dual carriageway upgrade on a live national route — encompassing major earthworks with controlled blasting, two-stage crushing of approximately 122,700 m³ of hard cut material, ten bridge and culvert structures, MSE retaining walls, MC-NME and EME asphalt pavement technologies, comprehensive traffic accommodation, and community participation through Targeted Enterprises achieving a 35% Contract Participation Goal.</w:t>
      </w:r>
    </w:p>
    <w:p w14:paraId="57FDC4FD">
      <w:r>
        <w:t>The upgrade of National Route N2 Section 18 between Viedgesville and Mthatha transforms approximately 19.4 km of existing single-carriageway national road into a full dual carriageway built to N2 standard. The route traverses three markedly different environments — open peri-urban terrain with major cuttings and fills, a densely serviced urban corridor, and a high-density urban approach into the Mthatha town centre — each demanding a distinct construction strategy. The earthworks balance is tight: approximately 342,000 m³ of soft excavation, 22,050 m³ of boulder excavation Class A, 29,400 m³ of boulder excavation Class B, 702,300 m³ of hard excavation by blasting and 175,600 m³ of hard excavation other than blasting, of which approximately 122,700 m³ of suitable hard-cut material will be processed through two-stage crushing, and significant volumes of commercial fill and pavement materials to be procured, processed and placed within 48 months. Ten bridge and culvert structures, extensive MSE retaining walls, shotcrete slope protection, comprehensive drainage, electrical installations and road furniture complete the scope.</w:t>
      </w:r>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160"/>
        <w:gridCol w:w="2160"/>
        <w:gridCol w:w="2160"/>
        <w:gridCol w:w="2160"/>
      </w:tblGrid>
      <w:tr w14:paraId="148B9B8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4A1BD038">
            <w:r>
              <w:rPr>
                <w:b/>
              </w:rPr>
              <w:t>Earthworks Element</w:t>
            </w:r>
          </w:p>
        </w:tc>
        <w:tc>
          <w:tcPr>
            <w:tcW w:w="2160" w:type="dxa"/>
          </w:tcPr>
          <w:p w14:paraId="368F80B3">
            <w:r>
              <w:rPr>
                <w:b/>
              </w:rPr>
              <w:t>BOQ V11 Reference</w:t>
            </w:r>
          </w:p>
        </w:tc>
        <w:tc>
          <w:tcPr>
            <w:tcW w:w="2160" w:type="dxa"/>
          </w:tcPr>
          <w:p w14:paraId="515C4864">
            <w:r>
              <w:rPr>
                <w:b/>
              </w:rPr>
              <w:t>Quantity</w:t>
            </w:r>
          </w:p>
        </w:tc>
        <w:tc>
          <w:tcPr>
            <w:tcW w:w="2160" w:type="dxa"/>
          </w:tcPr>
          <w:p w14:paraId="23244260">
            <w:r>
              <w:rPr>
                <w:b/>
              </w:rPr>
              <w:t>Execution Method</w:t>
            </w:r>
          </w:p>
        </w:tc>
      </w:tr>
      <w:tr w14:paraId="40E0884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D1E39C9">
            <w:r>
              <w:t>Soft excavation, overburden</w:t>
            </w:r>
          </w:p>
        </w:tc>
        <w:tc>
          <w:tcPr>
            <w:tcW w:w="2160" w:type="dxa"/>
          </w:tcPr>
          <w:p w14:paraId="0CEAACBB">
            <w:r>
              <w:t>C4.2.8.1</w:t>
            </w:r>
          </w:p>
        </w:tc>
        <w:tc>
          <w:tcPr>
            <w:tcW w:w="2160" w:type="dxa"/>
          </w:tcPr>
          <w:p w14:paraId="26B47296">
            <w:r>
              <w:t>342,000 m³</w:t>
            </w:r>
          </w:p>
        </w:tc>
        <w:tc>
          <w:tcPr>
            <w:tcW w:w="2160" w:type="dxa"/>
          </w:tcPr>
          <w:p w14:paraId="3F9FE50C">
            <w:r>
              <w:t>Dozer ripping, excavator loading into ADTs for haulage to fill areas</w:t>
            </w:r>
          </w:p>
        </w:tc>
      </w:tr>
      <w:tr w14:paraId="4078CF8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4573E0A1">
            <w:r>
              <w:t>Boulder excavation Class A</w:t>
            </w:r>
          </w:p>
        </w:tc>
        <w:tc>
          <w:tcPr>
            <w:tcW w:w="2160" w:type="dxa"/>
          </w:tcPr>
          <w:p w14:paraId="2C83E2A0">
            <w:r>
              <w:t>C4.2.8.2</w:t>
            </w:r>
          </w:p>
        </w:tc>
        <w:tc>
          <w:tcPr>
            <w:tcW w:w="2160" w:type="dxa"/>
          </w:tcPr>
          <w:p w14:paraId="4F7848A0">
            <w:r>
              <w:t>22,050 m³</w:t>
            </w:r>
          </w:p>
        </w:tc>
        <w:tc>
          <w:tcPr>
            <w:tcW w:w="2160" w:type="dxa"/>
          </w:tcPr>
          <w:p w14:paraId="521FF39A">
            <w:r>
              <w:t>Excavator with hydraulic breaker or ripping; selective placement</w:t>
            </w:r>
          </w:p>
        </w:tc>
      </w:tr>
      <w:tr w14:paraId="4766038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9ECF6C5">
            <w:r>
              <w:t>Boulder excavation Class B</w:t>
            </w:r>
          </w:p>
        </w:tc>
        <w:tc>
          <w:tcPr>
            <w:tcW w:w="2160" w:type="dxa"/>
          </w:tcPr>
          <w:p w14:paraId="59EE6DDF">
            <w:r>
              <w:t>C4.2.8.3</w:t>
            </w:r>
          </w:p>
        </w:tc>
        <w:tc>
          <w:tcPr>
            <w:tcW w:w="2160" w:type="dxa"/>
          </w:tcPr>
          <w:p w14:paraId="7B2E1ADB">
            <w:r>
              <w:t>29,400 m³</w:t>
            </w:r>
          </w:p>
        </w:tc>
        <w:tc>
          <w:tcPr>
            <w:tcW w:w="2160" w:type="dxa"/>
          </w:tcPr>
          <w:p w14:paraId="5105FB26">
            <w:r>
              <w:t>Excavator with breaker; boulder handling and stockpiling</w:t>
            </w:r>
          </w:p>
        </w:tc>
      </w:tr>
      <w:tr w14:paraId="322F7B0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3DC4420C">
            <w:r>
              <w:t>Hard excavation by blasting</w:t>
            </w:r>
          </w:p>
        </w:tc>
        <w:tc>
          <w:tcPr>
            <w:tcW w:w="2160" w:type="dxa"/>
          </w:tcPr>
          <w:p w14:paraId="124C6F13">
            <w:r>
              <w:t>C4.2.3.5</w:t>
            </w:r>
          </w:p>
        </w:tc>
        <w:tc>
          <w:tcPr>
            <w:tcW w:w="2160" w:type="dxa"/>
          </w:tcPr>
          <w:p w14:paraId="1FEDEEEB">
            <w:r>
              <w:t>702,300 m³</w:t>
            </w:r>
          </w:p>
        </w:tc>
        <w:tc>
          <w:tcPr>
            <w:tcW w:w="2160" w:type="dxa"/>
          </w:tcPr>
          <w:p w14:paraId="50E20678">
            <w:r>
              <w:t>Controlled drill-and-blast, electronic detonators, pre-splitting, 500m exclusion zones</w:t>
            </w:r>
          </w:p>
        </w:tc>
      </w:tr>
      <w:tr w14:paraId="41E42BD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A26C9A2">
            <w:r>
              <w:t>Hard excavation other than blasting</w:t>
            </w:r>
          </w:p>
        </w:tc>
        <w:tc>
          <w:tcPr>
            <w:tcW w:w="2160" w:type="dxa"/>
          </w:tcPr>
          <w:p w14:paraId="62A9C9B1">
            <w:r>
              <w:t>C4.2.3.4</w:t>
            </w:r>
          </w:p>
        </w:tc>
        <w:tc>
          <w:tcPr>
            <w:tcW w:w="2160" w:type="dxa"/>
          </w:tcPr>
          <w:p w14:paraId="7989E616">
            <w:r>
              <w:t>175,600 m³</w:t>
            </w:r>
          </w:p>
        </w:tc>
        <w:tc>
          <w:tcPr>
            <w:tcW w:w="2160" w:type="dxa"/>
          </w:tcPr>
          <w:p w14:paraId="25239FE5">
            <w:r>
              <w:t>Hydraulic breakers (CAT 320 with moil), ripping in constrained or sensitive areas</w:t>
            </w:r>
          </w:p>
        </w:tc>
      </w:tr>
      <w:tr w14:paraId="7839994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4B8B6B2C">
            <w:r>
              <w:t>Two-stage crushing</w:t>
            </w:r>
          </w:p>
        </w:tc>
        <w:tc>
          <w:tcPr>
            <w:tcW w:w="2160" w:type="dxa"/>
          </w:tcPr>
          <w:p w14:paraId="16D7707A">
            <w:r>
              <w:t>C4.1.7.2</w:t>
            </w:r>
          </w:p>
        </w:tc>
        <w:tc>
          <w:tcPr>
            <w:tcW w:w="2160" w:type="dxa"/>
          </w:tcPr>
          <w:p w14:paraId="317FA819">
            <w:r>
              <w:t>122,700 m³</w:t>
            </w:r>
          </w:p>
        </w:tc>
        <w:tc>
          <w:tcPr>
            <w:tcW w:w="2160" w:type="dxa"/>
          </w:tcPr>
          <w:p w14:paraId="58354DA7">
            <w:r>
              <w:t>Two mobile jaw+cone crushing plants; processed into G5A, G6, G7 and bedding products</w:t>
            </w:r>
          </w:p>
        </w:tc>
      </w:tr>
      <w:tr w14:paraId="6E0886C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AA57188">
            <w:r>
              <w:t>Pioneer layer construction</w:t>
            </w:r>
          </w:p>
        </w:tc>
        <w:tc>
          <w:tcPr>
            <w:tcW w:w="2160" w:type="dxa"/>
          </w:tcPr>
          <w:p w14:paraId="3CCFC26F">
            <w:r>
              <w:t>C5.1.11</w:t>
            </w:r>
          </w:p>
        </w:tc>
        <w:tc>
          <w:tcPr>
            <w:tcW w:w="2160" w:type="dxa"/>
          </w:tcPr>
          <w:p w14:paraId="3A078E7F">
            <w:r>
              <w:t>397,400 m³</w:t>
            </w:r>
          </w:p>
        </w:tc>
        <w:tc>
          <w:tcPr>
            <w:tcW w:w="2160" w:type="dxa"/>
          </w:tcPr>
          <w:p w14:paraId="74F9E282">
            <w:r>
              <w:t>Spread, moisture condition, compact to 90% MDD over roadbed treatment</w:t>
            </w:r>
          </w:p>
        </w:tc>
      </w:tr>
      <w:tr w14:paraId="2144059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6150C9F">
            <w:r>
              <w:t>Fill placement (all classes)</w:t>
            </w:r>
          </w:p>
        </w:tc>
        <w:tc>
          <w:tcPr>
            <w:tcW w:w="2160" w:type="dxa"/>
          </w:tcPr>
          <w:p w14:paraId="12228F89">
            <w:r>
              <w:t>C5.2 series</w:t>
            </w:r>
          </w:p>
        </w:tc>
        <w:tc>
          <w:tcPr>
            <w:tcW w:w="2160" w:type="dxa"/>
          </w:tcPr>
          <w:p w14:paraId="6B1F69E7">
            <w:r>
              <w:t>~5,300,000 m³</w:t>
            </w:r>
          </w:p>
        </w:tc>
        <w:tc>
          <w:tcPr>
            <w:tcW w:w="2160" w:type="dxa"/>
          </w:tcPr>
          <w:p w14:paraId="094C20A1">
            <w:r>
              <w:t>150mm layers, moisture ±2% OMC, 93–98% MDD, crowned 2% before wet season</w:t>
            </w:r>
          </w:p>
        </w:tc>
      </w:tr>
      <w:tr w14:paraId="5E4F762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C7C6027">
            <w:r>
              <w:t>In-situ ripping treatment</w:t>
            </w:r>
          </w:p>
        </w:tc>
        <w:tc>
          <w:tcPr>
            <w:tcW w:w="2160" w:type="dxa"/>
          </w:tcPr>
          <w:p w14:paraId="05DCA8B1">
            <w:r>
              <w:t>C5.1.5.1</w:t>
            </w:r>
          </w:p>
        </w:tc>
        <w:tc>
          <w:tcPr>
            <w:tcW w:w="2160" w:type="dxa"/>
          </w:tcPr>
          <w:p w14:paraId="0A8C2A13">
            <w:r>
              <w:t>73,300 m³</w:t>
            </w:r>
          </w:p>
        </w:tc>
        <w:tc>
          <w:tcPr>
            <w:tcW w:w="2160" w:type="dxa"/>
          </w:tcPr>
          <w:p w14:paraId="75503066">
            <w:r>
              <w:t>Ripping to specified depth, moisture conditioning and recompaction</w:t>
            </w:r>
          </w:p>
        </w:tc>
      </w:tr>
      <w:tr w14:paraId="451C5FC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7C93370">
            <w:r>
              <w:t>In-situ blasting treatment</w:t>
            </w:r>
          </w:p>
        </w:tc>
        <w:tc>
          <w:tcPr>
            <w:tcW w:w="2160" w:type="dxa"/>
          </w:tcPr>
          <w:p w14:paraId="3C8E0725">
            <w:r>
              <w:t>C5.1.5.2</w:t>
            </w:r>
          </w:p>
        </w:tc>
        <w:tc>
          <w:tcPr>
            <w:tcW w:w="2160" w:type="dxa"/>
          </w:tcPr>
          <w:p w14:paraId="0270DFA0">
            <w:r>
              <w:t>73,300 m³</w:t>
            </w:r>
          </w:p>
        </w:tc>
        <w:tc>
          <w:tcPr>
            <w:tcW w:w="2160" w:type="dxa"/>
          </w:tcPr>
          <w:p w14:paraId="557C6641">
            <w:r>
              <w:t>Drilling and blasting of in-situ hard material beneath roadbed</w:t>
            </w:r>
          </w:p>
        </w:tc>
      </w:tr>
    </w:tbl>
    <w:p w14:paraId="06C53A3B">
      <w:r>
        <w:t>Roadworks encompass the full widening to dual carriageway standard: roadbed preparation, fill, selected layers, stabilised layers including MC-NME where instructed, G1 crushed-stone base, asphalt surfacing, EME asphalt where specified, seals and slurry finishes. Earthworks and cuttings include soft and hard excavation, controlled blasting, pre-splitting, boulder handling and two-stage crushing of hard cut material into approved products. Addendum No. 3 confirms that no separate standalone screening plant is required.</w:t>
      </w:r>
      <w:r>
        <w:br w:type="textWrapping"/>
      </w:r>
      <w:r>
        <w:br w:type="textWrapping"/>
      </w:r>
      <w:r>
        <w:t>Traffic accommodation is managed as a full construction work stream with temporary deviations, signage, barriers, delineators, trained flag persons, temporary surfacing and pedestrian management. Drainage and culverts cover pipe and box culverts, subsoil drains, side drains, channels, gabions and stone pitching, with descriptions corrected per Addendum No. 3. Cut slopes and shotcrete involve battering of overburden, controlled blasting, shotcrete protection to mudstone seams and face finishing; no ground anchors, soil nails or dental shotcrete are priced.</w:t>
      </w:r>
      <w:r>
        <w:br w:type="textWrapping"/>
      </w:r>
      <w:r>
        <w:br w:type="textWrapping"/>
      </w:r>
      <w:r>
        <w:t>MSE retaining walls comprise precast concrete panel facing, metallic reinforcing strips and G5A backfill. Bridges and structures include pedestrian bridges, underpasses, the B10 road-over-rail bridge, precast member manufacture, transport and erection. Pavements utilise commercial materials, processed crushed material, MC-NME where instructed, asphalt surfacing, seals and markings. Electrical works cover street lighting, poles, cabling and energisation. Community access roads are procured through Schedule A2 provisional sums by Targeted Enterprises; Appendix 10 quantities are illustrative only.</w:t>
      </w:r>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80"/>
        <w:gridCol w:w="2880"/>
        <w:gridCol w:w="2880"/>
      </w:tblGrid>
      <w:tr w14:paraId="3D1A8DF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070DD32E">
            <w:r>
              <w:rPr>
                <w:b/>
              </w:rPr>
              <w:t>Principal Work Package</w:t>
            </w:r>
          </w:p>
        </w:tc>
        <w:tc>
          <w:tcPr>
            <w:tcW w:w="2880" w:type="dxa"/>
          </w:tcPr>
          <w:p w14:paraId="399BC37D">
            <w:r>
              <w:rPr>
                <w:b/>
              </w:rPr>
              <w:t>Project-Specific Understanding</w:t>
            </w:r>
          </w:p>
        </w:tc>
        <w:tc>
          <w:tcPr>
            <w:tcW w:w="2880" w:type="dxa"/>
          </w:tcPr>
          <w:p w14:paraId="5806E244">
            <w:r>
              <w:rPr>
                <w:b/>
              </w:rPr>
              <w:t>Critical Interface</w:t>
            </w:r>
          </w:p>
        </w:tc>
      </w:tr>
      <w:tr w14:paraId="3FCDA4B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47E2F92">
            <w:r>
              <w:t>Live-route traffic accommodation</w:t>
            </w:r>
          </w:p>
        </w:tc>
        <w:tc>
          <w:tcPr>
            <w:tcW w:w="2880" w:type="dxa"/>
          </w:tcPr>
          <w:p w14:paraId="450FA9C2">
            <w:r>
              <w:t>The N2 must remain safe and functional throughout; 6 peri-urban carriageway stages + 8 urban sub-sections with traffic-cell release protocols.</w:t>
            </w:r>
          </w:p>
        </w:tc>
        <w:tc>
          <w:tcPr>
            <w:tcW w:w="2880" w:type="dxa"/>
          </w:tcPr>
          <w:p w14:paraId="45A2E4A0">
            <w:r>
              <w:t>Public traffic, pedestrians, emergency access, authorities, programme staging and penalties (R30,000/day)</w:t>
            </w:r>
          </w:p>
        </w:tc>
      </w:tr>
      <w:tr w14:paraId="02EAEDA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6526CF3E">
            <w:r>
              <w:t>Earthworks, cuttings and blasting</w:t>
            </w:r>
          </w:p>
        </w:tc>
        <w:tc>
          <w:tcPr>
            <w:tcW w:w="2880" w:type="dxa"/>
          </w:tcPr>
          <w:p w14:paraId="50EF8E57">
            <w:r>
              <w:t>702,300 m³ hard excavation by blasting + 175,600 m³ non-blasting in peri-urban corridor; 122,700 m³ two-stage crushing; pre-splitting to 80° slopes.</w:t>
            </w:r>
          </w:p>
        </w:tc>
        <w:tc>
          <w:tcPr>
            <w:tcW w:w="2880" w:type="dxa"/>
          </w:tcPr>
          <w:p w14:paraId="6475F467">
            <w:r>
              <w:t>MHSA/DMRE compliance, 500m exclusion zones, vibration monitoring, traffic safety, communities</w:t>
            </w:r>
          </w:p>
        </w:tc>
      </w:tr>
      <w:tr w14:paraId="4DA1841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63657273">
            <w:r>
              <w:t>Drainage and culvert works</w:t>
            </w:r>
          </w:p>
        </w:tc>
        <w:tc>
          <w:tcPr>
            <w:tcW w:w="2880" w:type="dxa"/>
          </w:tcPr>
          <w:p w14:paraId="5159B187">
            <w:r>
              <w:t>143,150 m drainage + 4 major culverts; drainage-first strategy before layerworks; 21 watercourse crossings with dry-season window (May–Aug).</w:t>
            </w:r>
          </w:p>
        </w:tc>
        <w:tc>
          <w:tcPr>
            <w:tcW w:w="2880" w:type="dxa"/>
          </w:tcPr>
          <w:p w14:paraId="510367A9">
            <w:r>
              <w:t>Rainfall risk, watercourse GA conditions, cofferdam diversions, erosion control</w:t>
            </w:r>
          </w:p>
        </w:tc>
      </w:tr>
      <w:tr w14:paraId="4B861F2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037A3EE5">
            <w:r>
              <w:t>Pavement layerworks and surfacing</w:t>
            </w:r>
          </w:p>
        </w:tc>
        <w:tc>
          <w:tcPr>
            <w:tcW w:w="2880" w:type="dxa"/>
          </w:tcPr>
          <w:p w14:paraId="0453CC8C">
            <w:r>
              <w:t>G7/G6/G5A/G1 layers + MC-NME stabilisation; 3,130 t asphalt aggregate; A-P1 ~596,900 m² + EME ~78,500 m² in constrained urban sections.</w:t>
            </w:r>
          </w:p>
        </w:tc>
        <w:tc>
          <w:tcPr>
            <w:tcW w:w="2880" w:type="dxa"/>
          </w:tcPr>
          <w:p w14:paraId="0808E55F">
            <w:r>
              <w:t>Material approvals, trial sections, temperature control, IRI payment brackets, winter ban (May–Sep)</w:t>
            </w:r>
          </w:p>
        </w:tc>
      </w:tr>
      <w:tr w14:paraId="1F613BC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1081CBC9">
            <w:r>
              <w:t>Structures (bridges, MSE, shotcrete)</w:t>
            </w:r>
          </w:p>
        </w:tc>
        <w:tc>
          <w:tcPr>
            <w:tcW w:w="2880" w:type="dxa"/>
          </w:tcPr>
          <w:p w14:paraId="1C70F914">
            <w:r>
              <w:t>10 bridges + 4 culverts; 224,700 m² shotcrete; 184,250 m³ MSE backfill; B10 Ian Woods road-over-rail with TFR interface.</w:t>
            </w:r>
          </w:p>
        </w:tc>
        <w:tc>
          <w:tcPr>
            <w:tcW w:w="2880" w:type="dxa"/>
          </w:tcPr>
          <w:p w14:paraId="089327EC">
            <w:r>
              <w:t>Precast supply chain (11,542 panels), rail possession windows, geotechnical uncertainty, concurrent road sections</w:t>
            </w:r>
          </w:p>
        </w:tc>
      </w:tr>
      <w:tr w14:paraId="25B0897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18A7EDF5">
            <w:r>
              <w:t>Community participation (35% CPG)</w:t>
            </w:r>
          </w:p>
        </w:tc>
        <w:tc>
          <w:tcPr>
            <w:tcW w:w="2880" w:type="dxa"/>
          </w:tcPr>
          <w:p w14:paraId="53AACA3E">
            <w:r>
              <w:t>10 TE work packages (~R473M); CIDB 1-4 grading spread; 6-batch QCTO training; Schedule A2 community access roads (R240M provisional sum).</w:t>
            </w:r>
          </w:p>
        </w:tc>
        <w:tc>
          <w:tcPr>
            <w:tcW w:w="2880" w:type="dxa"/>
          </w:tcPr>
          <w:p w14:paraId="02816E9A">
            <w:r>
              <w:t>TE procurement complexity, PLC governance, CIDB capacity constraints, CPP milestone penalties</w:t>
            </w:r>
          </w:p>
        </w:tc>
      </w:tr>
    </w:tbl>
    <w:p w14:paraId="09715099">
      <w:pPr>
        <w:pStyle w:val="3"/>
      </w:pPr>
      <w:bookmarkStart w:id="7" w:name="_Toc1663"/>
      <w:r>
        <w:t>1.2 Site Conditions and Constraints</w:t>
      </w:r>
      <w:bookmarkEnd w:id="7"/>
    </w:p>
    <w:p w14:paraId="13233926">
      <w:r>
        <w:t>The upgrade of National Route N2 Section 18 between Viedgesville and Mthatha transforms approximately 19.4 km of existing single-carriageway national road into a full dual carriageway built to N2 standard. The route traverses three markedly different environments — open peri-urban terrain with major cuttings and fills, a densely serviced urban corridor, and a high-density urban approach into the Mthatha town centre — each demanding a distinct construction strategy. The earthworks balance is tight: approximately 342,000 m³ of soft excavation, 22,050 m³ of boulder excavation Class A, 29,400 m³ of boulder excavation Class B, 702,300 m³ of hard excavation by blasting and 175,600 m³ of hard excavation other than blasting, of which approximately 122,700 m³ of suitable hard-cut material will be processed through two-stage crushing, and significant volumes of commercial fill and pavement materials to be procured, processed and placed within 48 months. Ten bridge and culvert structures, extensive MSE retaining walls, shotcrete slope protection, comprehensive drainage, electrical installations and road furniture complete the scope.</w:t>
      </w:r>
      <w:r>
        <w:br w:type="textWrapping"/>
      </w:r>
      <w:r>
        <w:br w:type="textWrapping"/>
      </w:r>
      <w:r>
        <w:rPr>
          <w:rStyle w:val="38"/>
          <w:rFonts w:hint="eastAsia"/>
          <w:lang w:val="en-US" w:eastAsia="zh-CN"/>
        </w:rPr>
        <w:t>1.2.1</w:t>
      </w:r>
      <w:r>
        <w:rPr>
          <w:rStyle w:val="38"/>
        </w:rPr>
        <w:t xml:space="preserve"> Construction Zones</w:t>
      </w:r>
      <w:r>
        <w:br w:type="textWrapping"/>
      </w:r>
      <w:r>
        <w:br w:type="textWrapping"/>
      </w:r>
      <w:r>
        <w:t>The peri-urban zone accounts for 12.66 km and is the primary production corridor. It contains the major hard cuttings from which both two-stage crushing plants will produce up to 122,700 m³ of processed material, as well as the sites for both crusher plants, the main site office, laboratory, plant yard and explosives magazine. The terrain is undulating with ground crossfalls of 5% to 25%, and the existing N2 alignment requires significant widening on both sides. Construction is staged as six carriageway stages, each following a disciplined sequence of traffic accommodation, earthworks, drainage, layerworks and surfacing before the traffic switch.</w:t>
      </w:r>
      <w:r>
        <w:br w:type="textWrapping"/>
      </w:r>
      <w:r>
        <w:br w:type="textWrapping"/>
      </w:r>
      <w:r>
        <w:t>Urban Section 1 runs for 4.66 km through Mthatha’s peri-urban and built-up area. Dense underground services intersect with the roadworks at every turn. Pedestrian movement is heavy and access to residences, businesses and institutions must be maintained at all times. The construction method is service-led: before any excavation or milling begins in a sub-section, a service release pack comprising GPR results, trial-hole records, service-owner correspondence and pedestrian access confirmation must be completed. Each of the four NB/SB pairs is approximately 1.165 km long and is constructed sequentially.</w:t>
      </w:r>
      <w:r>
        <w:br w:type="textWrapping"/>
      </w:r>
      <w:r>
        <w:br w:type="textWrapping"/>
      </w:r>
      <w:r>
        <w:t>Urban Section 2 extends 2.48 km into the Mthatha town centre. Working space is severely restricted and services are concentrated. The construction approach transfers the traffic control systems and pavement crews established in Urban Section 1, maintaining continuity while adapting to the tighter constraints. This section commences in April 2029 after S1 is substantially advanced.</w:t>
      </w:r>
      <w:r>
        <w:br w:type="textWrapping"/>
      </w:r>
      <w:r>
        <w:br w:type="textWrapping"/>
      </w:r>
      <w:r>
        <w:rPr>
          <w:rStyle w:val="38"/>
          <w:rFonts w:hint="eastAsia"/>
          <w:lang w:val="en-US" w:eastAsia="zh-CN"/>
        </w:rPr>
        <w:t>1.2.2</w:t>
      </w:r>
      <w:r>
        <w:rPr>
          <w:rStyle w:val="38"/>
        </w:rPr>
        <w:t xml:space="preserve"> </w:t>
      </w:r>
      <w:r>
        <w:rPr>
          <w:rStyle w:val="38"/>
          <w:rFonts w:hint="eastAsia" w:asciiTheme="minorHAnsi" w:hAnsiTheme="minorHAnsi"/>
          <w:color w:val="104862" w:themeColor="accent1" w:themeShade="BF"/>
          <w:lang w:val="en-US" w:eastAsia="zh-CN"/>
        </w:rPr>
        <w:t xml:space="preserve"> Main Works Packages</w:t>
      </w:r>
      <w:r>
        <w:br w:type="textWrapping"/>
      </w:r>
      <w:r>
        <w:br w:type="textWrapping"/>
      </w:r>
      <w:r>
        <w:t>Roadworks encompass the full widening to dual carriageway standard: roadbed preparation, fill, selected layers, stabilised layers including MC-NME where instructed, G1 crushed-stone base, asphalt surfacing, EME asphalt where specified, seals and slurry finishes. Earthworks and cuttings include soft and hard excavation, controlled blasting, pre-splitting, boulder handling and two-stage crushing of hard cut material into approved products. Addendum No. 3 confirms that no separate standalone screening plant is required.</w:t>
      </w:r>
      <w:r>
        <w:br w:type="textWrapping"/>
      </w:r>
      <w:r>
        <w:br w:type="textWrapping"/>
      </w:r>
      <w:r>
        <w:t>Traffic accommodation is managed as a full construction work stream with temporary deviations, signage, barriers, delineators, trained flag persons, temporary surfacing and pedestrian management. Drainage and culverts cover pipe and box culverts, subsoil drains, side drains, channels, gabions and stone pitching, with descriptions corrected per Addendum No. 3. Cut slopes and shotcrete involve battering of overburden, controlled blasting, shotcrete protection to mudstone seams and face finishing; no ground anchors, soil nails or dental shotcrete are priced.</w:t>
      </w:r>
      <w:r>
        <w:br w:type="textWrapping"/>
      </w:r>
      <w:r>
        <w:br w:type="textWrapping"/>
      </w:r>
      <w:r>
        <w:t>MSE retaining walls comprise precast concrete panel facing, metallic reinforcing strips and G5A backfill. Bridges and structures include pedestrian bridges, underpasses, the B10 road-over-rail bridge, precast member manufacture, transport and erection. Pavements utilise commercial materials, processed crushed material, MC-NME where instructed, asphalt surfacing, seals and markings. Electrical works cover street lighting, poles, cabling and energisation. Community access roads are procured through Schedule A2 provisional sums by Targeted Enterprises; Appendix 10 quantities are illustrative only.</w:t>
      </w:r>
      <w:r>
        <w:br w:type="textWrapping"/>
      </w:r>
      <w:r>
        <w:br w:type="textWrapping"/>
      </w:r>
      <w:r>
        <w:rPr>
          <w:rStyle w:val="38"/>
          <w:rFonts w:hint="eastAsia"/>
          <w:lang w:val="en-US" w:eastAsia="zh-CN"/>
        </w:rPr>
        <w:t>1.2.</w:t>
      </w:r>
      <w:r>
        <w:rPr>
          <w:rStyle w:val="38"/>
          <w:rFonts w:hint="eastAsia" w:asciiTheme="minorHAnsi" w:hAnsiTheme="minorHAnsi"/>
          <w:color w:val="104862" w:themeColor="accent1" w:themeShade="BF"/>
          <w:lang w:val="en-US" w:eastAsia="zh-CN"/>
        </w:rPr>
        <w:t>3 Key Site Constraints</w:t>
      </w:r>
      <w:r>
        <w:br w:type="textWrapping"/>
      </w:r>
      <w:r>
        <w:br w:type="textWrapping"/>
      </w:r>
      <w:r>
        <w:t>The N2 is live and busy throughout construction. Traffic accommodation is a construction activity with its own method statements, dedicated resources and Engineer approvals. Every work front is released only after the temporary traffic arrangement is accepted.</w:t>
      </w:r>
      <w:r>
        <w:br w:type="textWrapping"/>
      </w:r>
      <w:r>
        <w:br w:type="textWrapping"/>
      </w:r>
      <w:r>
        <w:t>The earthworks balance is tight before losses. Shrinkage, swell, weathering and classification losses erode the available fill. Two-stage crushing converts hard rock into specified products that supplement commercial sources.</w:t>
      </w:r>
      <w:r>
        <w:br w:type="textWrapping"/>
      </w:r>
      <w:r>
        <w:br w:type="textWrapping"/>
      </w:r>
      <w:r>
        <w:t>Early production cannot wait for large cuttings to open. Commercial fill and pioneer material must be available from March 2027. The procurement strategy front-loads commercial source approvals and stockpile building during mobilisation.</w:t>
      </w:r>
      <w:r>
        <w:br w:type="textWrapping"/>
      </w:r>
      <w:r>
        <w:br w:type="textWrapping"/>
      </w:r>
      <w:r>
        <w:t>Blasting, crushing and stockpile management form an integrated production chain. DMRE appointments, exclusion zones, plant commissioning, product classification and material traceability must be planned as a single system.</w:t>
      </w:r>
      <w:r>
        <w:br w:type="textWrapping"/>
      </w:r>
      <w:r>
        <w:br w:type="textWrapping"/>
      </w:r>
      <w:r>
        <w:t>Urban services are a work-front release constraint. Approximately 294 identified items require GPR scanning, trial holes and service-owner coordination before excavation starts. Long lead times for utility relocations can affect the critical path.</w:t>
      </w:r>
      <w:r>
        <w:br w:type="textWrapping"/>
      </w:r>
      <w:r>
        <w:br w:type="textWrapping"/>
      </w:r>
      <w:r>
        <w:t>MSE walls and shotcrete are critical-path interfaces. Cut-slope stability, pre-splitting quality and traffic safety are tightly coupled. These are structural elements that must progress in step with the earthworks they retain.</w:t>
      </w:r>
      <w:r>
        <w:br w:type="textWrapping"/>
      </w:r>
      <w:r>
        <w:br w:type="textWrapping"/>
      </w:r>
      <w:r>
        <w:t>Targeted Enterprises must be scheduled early. TE procurement, QCTO-aligned training and community liaison must commence during mobilisation to avoid delays once construction begins.</w:t>
      </w:r>
      <w:r>
        <w:br w:type="textWrapping"/>
      </w:r>
      <w:r>
        <w:br w:type="textWrapping"/>
      </w:r>
      <w:r>
        <w:rPr>
          <w:rStyle w:val="38"/>
          <w:rFonts w:hint="eastAsia"/>
          <w:lang w:val="en-US" w:eastAsia="zh-CN"/>
        </w:rPr>
        <w:t>1.2.</w:t>
      </w:r>
      <w:r>
        <w:rPr>
          <w:rStyle w:val="38"/>
          <w:rFonts w:hint="eastAsia" w:asciiTheme="minorHAnsi" w:hAnsiTheme="minorHAnsi"/>
          <w:color w:val="104862" w:themeColor="accent1" w:themeShade="BF"/>
          <w:lang w:val="en-US" w:eastAsia="zh-CN"/>
        </w:rPr>
        <w:t>4 Construction Zone Map</w:t>
      </w:r>
      <w:r>
        <w:br w:type="textWrapping"/>
      </w:r>
      <w:r>
        <w:br w:type="textWrapping"/>
      </w:r>
      <w:r>
        <w:t>A site establishment and construction zone layout showing the three zones, peri-urban sub-stages, urban sub-sections, key facility locations, haul routes and site establishment areas is provided as Attachment 4.</w:t>
      </w:r>
    </w:p>
    <w:p w14:paraId="1B23DEFC">
      <w:r>
        <w:t>The N2 is live and busy throughout construction. Traffic accommodation is a construction activity with its own method statements, dedicated resources and Engineer approvals. Every work front is released only after the temporary traffic arrangement is accepted.</w:t>
      </w:r>
      <w:r>
        <w:br w:type="textWrapping"/>
      </w:r>
      <w:r>
        <w:br w:type="textWrapping"/>
      </w:r>
      <w:r>
        <w:t>The earthworks balance is tight before losses. Shrinkage, swell, weathering and classification losses erode the available fill. Two-stage crushing converts hard rock into specified products that supplement commercial sources.</w:t>
      </w:r>
      <w:r>
        <w:br w:type="textWrapping"/>
      </w:r>
      <w:r>
        <w:br w:type="textWrapping"/>
      </w:r>
      <w:r>
        <w:t>Early production cannot wait for large cuttings to open. Commercial fill and pioneer material must be available from March 2027. The procurement strategy front-loads commercial source approvals and stockpile building during mobilisation.</w:t>
      </w:r>
      <w:r>
        <w:br w:type="textWrapping"/>
      </w:r>
      <w:r>
        <w:br w:type="textWrapping"/>
      </w:r>
      <w:r>
        <w:t>Blasting, crushing and stockpile management form an integrated production chain. DMRE appointments, exclusion zones, plant commissioning, product classification and material traceability must be planned as a single system.</w:t>
      </w:r>
      <w:r>
        <w:br w:type="textWrapping"/>
      </w:r>
      <w:r>
        <w:br w:type="textWrapping"/>
      </w:r>
      <w:r>
        <w:t>Urban services are a work-front release constraint. Approximately 294 identified items require GPR scanning, trial holes and service-owner coordination before excavation starts. Long lead times for utility relocations can affect the critical path.</w:t>
      </w:r>
      <w:r>
        <w:br w:type="textWrapping"/>
      </w:r>
      <w:r>
        <w:br w:type="textWrapping"/>
      </w:r>
      <w:r>
        <w:t>MSE walls and shotcrete are critical-path interfaces. Cut-slope stability, pre-splitting quality and traffic safety are tightly coupled. These are structural elements that must progress in step with the earthworks they retain.</w:t>
      </w:r>
      <w:r>
        <w:br w:type="textWrapping"/>
      </w:r>
      <w:r>
        <w:br w:type="textWrapping"/>
      </w:r>
      <w:r>
        <w:t>Targeted Enterprises must be scheduled early. TE procurement, QCTO-aligned training and community liaison must commence during mobilisation to avoid delays once construction begins.</w:t>
      </w:r>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80"/>
        <w:gridCol w:w="2880"/>
        <w:gridCol w:w="2880"/>
      </w:tblGrid>
      <w:tr w14:paraId="0930218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0B9C24DD">
            <w:pPr>
              <w:spacing w:after="0" w:line="240" w:lineRule="auto"/>
            </w:pPr>
            <w:r>
              <w:rPr>
                <w:b/>
              </w:rPr>
              <w:t>Constraint / Condition</w:t>
            </w:r>
          </w:p>
        </w:tc>
        <w:tc>
          <w:tcPr>
            <w:tcW w:w="2880" w:type="dxa"/>
          </w:tcPr>
          <w:p w14:paraId="267A9F1D">
            <w:pPr>
              <w:spacing w:after="0" w:line="240" w:lineRule="auto"/>
            </w:pPr>
            <w:r>
              <w:rPr>
                <w:b/>
              </w:rPr>
              <w:t>Impact on Works</w:t>
            </w:r>
          </w:p>
        </w:tc>
        <w:tc>
          <w:tcPr>
            <w:tcW w:w="2880" w:type="dxa"/>
          </w:tcPr>
          <w:p w14:paraId="14067988">
            <w:pPr>
              <w:spacing w:after="0" w:line="240" w:lineRule="auto"/>
            </w:pPr>
            <w:r>
              <w:rPr>
                <w:b/>
              </w:rPr>
              <w:t>Proposed Response</w:t>
            </w:r>
          </w:p>
        </w:tc>
      </w:tr>
      <w:tr w14:paraId="271FE84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1B4D9FB3">
            <w:pPr>
              <w:spacing w:after="0" w:line="240" w:lineRule="auto"/>
            </w:pPr>
            <w:r>
              <w:t>Live N2 national route traffic</w:t>
            </w:r>
          </w:p>
        </w:tc>
        <w:tc>
          <w:tcPr>
            <w:tcW w:w="2880" w:type="dxa"/>
          </w:tcPr>
          <w:p w14:paraId="24D4CCA0">
            <w:pPr>
              <w:spacing w:after="0" w:line="240" w:lineRule="auto"/>
            </w:pPr>
            <w:r>
              <w:t>Reduced production, safety risk</w:t>
            </w:r>
          </w:p>
        </w:tc>
        <w:tc>
          <w:tcPr>
            <w:tcW w:w="2880" w:type="dxa"/>
          </w:tcPr>
          <w:p w14:paraId="3F4DDEDB">
            <w:pPr>
              <w:spacing w:after="0" w:line="240" w:lineRule="auto"/>
            </w:pPr>
            <w:r>
              <w:t>Sectional traffic accommodation, 6 peri-urban stages</w:t>
            </w:r>
          </w:p>
        </w:tc>
      </w:tr>
      <w:tr w14:paraId="6B10095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0768659C">
            <w:pPr>
              <w:spacing w:after="0" w:line="240" w:lineRule="auto"/>
            </w:pPr>
            <w:r>
              <w:t>702,300 m³ hard excavation by blasting + 175,600 m³ non-blasting</w:t>
            </w:r>
          </w:p>
        </w:tc>
        <w:tc>
          <w:tcPr>
            <w:tcW w:w="2880" w:type="dxa"/>
          </w:tcPr>
          <w:p w14:paraId="20AF3B67">
            <w:pPr>
              <w:spacing w:after="0" w:line="240" w:lineRule="auto"/>
            </w:pPr>
            <w:r>
              <w:t>DMRE compliance, MHSA appointments</w:t>
            </w:r>
          </w:p>
        </w:tc>
        <w:tc>
          <w:tcPr>
            <w:tcW w:w="2880" w:type="dxa"/>
          </w:tcPr>
          <w:p w14:paraId="3B957150">
            <w:pPr>
              <w:spacing w:after="0" w:line="240" w:lineRule="auto"/>
            </w:pPr>
            <w:r>
              <w:t>Mine Manager appointed Day 1, electronic detonators, 500m exclusion zones</w:t>
            </w:r>
          </w:p>
        </w:tc>
      </w:tr>
      <w:tr w14:paraId="3554C3C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4218D651">
            <w:pPr>
              <w:spacing w:after="0" w:line="240" w:lineRule="auto"/>
            </w:pPr>
            <w:r>
              <w:t>294 known underground services (urban)</w:t>
            </w:r>
          </w:p>
        </w:tc>
        <w:tc>
          <w:tcPr>
            <w:tcW w:w="2880" w:type="dxa"/>
          </w:tcPr>
          <w:p w14:paraId="6C7CDCB7">
            <w:pPr>
              <w:spacing w:after="0" w:line="240" w:lineRule="auto"/>
            </w:pPr>
            <w:r>
              <w:t>Excavation delay, electrocution risk</w:t>
            </w:r>
          </w:p>
        </w:tc>
        <w:tc>
          <w:tcPr>
            <w:tcW w:w="2880" w:type="dxa"/>
          </w:tcPr>
          <w:p w14:paraId="4537CAFB">
            <w:pPr>
              <w:spacing w:after="0" w:line="240" w:lineRule="auto"/>
            </w:pPr>
            <w:r>
              <w:t>GPR survey, hand excavation, Services Safety Officer</w:t>
            </w:r>
          </w:p>
        </w:tc>
      </w:tr>
      <w:tr w14:paraId="013F0C7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341823AD">
            <w:pPr>
              <w:spacing w:after="0" w:line="240" w:lineRule="auto"/>
            </w:pPr>
            <w:r>
              <w:t>Rainy season (Oct–Mar)</w:t>
            </w:r>
          </w:p>
        </w:tc>
        <w:tc>
          <w:tcPr>
            <w:tcW w:w="2880" w:type="dxa"/>
          </w:tcPr>
          <w:p w14:paraId="0B981C03">
            <w:pPr>
              <w:spacing w:after="0" w:line="240" w:lineRule="auto"/>
            </w:pPr>
            <w:r>
              <w:t>Earthworks and asphalt delay</w:t>
            </w:r>
          </w:p>
        </w:tc>
        <w:tc>
          <w:tcPr>
            <w:tcW w:w="2880" w:type="dxa"/>
          </w:tcPr>
          <w:p w14:paraId="5B94E227">
            <w:pPr>
              <w:spacing w:after="0" w:line="240" w:lineRule="auto"/>
            </w:pPr>
            <w:r>
              <w:t>Drainage-first strategy, dry season production focus</w:t>
            </w:r>
          </w:p>
        </w:tc>
      </w:tr>
      <w:tr w14:paraId="383380E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388A23E2">
            <w:pPr>
              <w:spacing w:after="0" w:line="240" w:lineRule="auto"/>
            </w:pPr>
            <w:r>
              <w:t>21 watercourse crossings</w:t>
            </w:r>
          </w:p>
        </w:tc>
        <w:tc>
          <w:tcPr>
            <w:tcW w:w="2880" w:type="dxa"/>
          </w:tcPr>
          <w:p w14:paraId="1580939A">
            <w:pPr>
              <w:spacing w:after="0" w:line="240" w:lineRule="auto"/>
            </w:pPr>
            <w:r>
              <w:t>Dry-season window constraint (May–Aug)</w:t>
            </w:r>
          </w:p>
        </w:tc>
        <w:tc>
          <w:tcPr>
            <w:tcW w:w="2880" w:type="dxa"/>
          </w:tcPr>
          <w:p w14:paraId="5487359B">
            <w:pPr>
              <w:spacing w:after="0" w:line="240" w:lineRule="auto"/>
            </w:pPr>
            <w:r>
              <w:t>Equipment pre-positioned by April, cofferdam diversions</w:t>
            </w:r>
          </w:p>
        </w:tc>
      </w:tr>
      <w:tr w14:paraId="7FE6615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244F46A8">
            <w:pPr>
              <w:spacing w:after="0" w:line="240" w:lineRule="auto"/>
            </w:pPr>
            <w:r>
              <w:t>MSE wall panel supply (11,542 units)</w:t>
            </w:r>
          </w:p>
        </w:tc>
        <w:tc>
          <w:tcPr>
            <w:tcW w:w="2880" w:type="dxa"/>
          </w:tcPr>
          <w:p w14:paraId="0A81AE80">
            <w:pPr>
              <w:spacing w:after="0" w:line="240" w:lineRule="auto"/>
            </w:pPr>
            <w:r>
              <w:t>Long-lead procurement risk</w:t>
            </w:r>
          </w:p>
        </w:tc>
        <w:tc>
          <w:tcPr>
            <w:tcW w:w="2880" w:type="dxa"/>
          </w:tcPr>
          <w:p w14:paraId="5BC79002">
            <w:pPr>
              <w:spacing w:after="0" w:line="240" w:lineRule="auto"/>
            </w:pPr>
            <w:r>
              <w:t>Dual-supplier strategy, 2-month safety stock</w:t>
            </w:r>
          </w:p>
        </w:tc>
      </w:tr>
      <w:tr w14:paraId="77D110D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4D736387">
            <w:pPr>
              <w:spacing w:after="0" w:line="240" w:lineRule="auto"/>
            </w:pPr>
            <w:r>
              <w:t>Eskom cable relocation (180 cables)</w:t>
            </w:r>
          </w:p>
        </w:tc>
        <w:tc>
          <w:tcPr>
            <w:tcW w:w="2880" w:type="dxa"/>
          </w:tcPr>
          <w:p w14:paraId="59CD8F6C">
            <w:pPr>
              <w:spacing w:after="0" w:line="240" w:lineRule="auto"/>
            </w:pPr>
            <w:r>
              <w:t>8–12 month lead cycle, critical path</w:t>
            </w:r>
          </w:p>
        </w:tc>
        <w:tc>
          <w:tcPr>
            <w:tcW w:w="2880" w:type="dxa"/>
          </w:tcPr>
          <w:p w14:paraId="130C4085">
            <w:pPr>
              <w:spacing w:after="0" w:line="240" w:lineRule="auto"/>
            </w:pPr>
            <w:r>
              <w:t>Wayleave applications within 60 days of Commencement</w:t>
            </w:r>
          </w:p>
        </w:tc>
      </w:tr>
      <w:tr w14:paraId="3667411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C26B21D">
            <w:pPr>
              <w:spacing w:after="0" w:line="240" w:lineRule="auto"/>
            </w:pPr>
            <w:r>
              <w:t>Community participation (35% CPG)</w:t>
            </w:r>
          </w:p>
        </w:tc>
        <w:tc>
          <w:tcPr>
            <w:tcW w:w="2880" w:type="dxa"/>
          </w:tcPr>
          <w:p w14:paraId="3FBFA301">
            <w:pPr>
              <w:spacing w:after="0" w:line="240" w:lineRule="auto"/>
            </w:pPr>
            <w:r>
              <w:t>TE procurement complexity</w:t>
            </w:r>
          </w:p>
        </w:tc>
        <w:tc>
          <w:tcPr>
            <w:tcW w:w="2880" w:type="dxa"/>
          </w:tcPr>
          <w:p w14:paraId="02EFAC17">
            <w:pPr>
              <w:spacing w:after="0" w:line="240" w:lineRule="auto"/>
            </w:pPr>
            <w:r>
              <w:t>Front-load low-threshold packages, full-time TECM</w:t>
            </w:r>
          </w:p>
        </w:tc>
      </w:tr>
    </w:tbl>
    <w:p w14:paraId="47E318B7">
      <w:pPr>
        <w:pStyle w:val="3"/>
      </w:pPr>
      <w:bookmarkStart w:id="8" w:name="_Toc1582"/>
      <w:r>
        <w:t>1.3 Employer's Objectives and Critical Success Factors</w:t>
      </w:r>
      <w:bookmarkEnd w:id="8"/>
    </w:p>
    <w:p w14:paraId="012AF8B7">
      <w:r>
        <w:t>The Employer's primary objectives for this contract are:</w:t>
      </w:r>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4320"/>
        <w:gridCol w:w="4320"/>
      </w:tblGrid>
      <w:tr w14:paraId="1EFF887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2442E424">
            <w:pPr>
              <w:spacing w:after="0" w:line="240" w:lineRule="auto"/>
            </w:pPr>
            <w:r>
              <w:rPr>
                <w:b/>
              </w:rPr>
              <w:t>Critical Success Factor</w:t>
            </w:r>
          </w:p>
        </w:tc>
        <w:tc>
          <w:tcPr>
            <w:tcW w:w="4320" w:type="dxa"/>
          </w:tcPr>
          <w:p w14:paraId="10013385">
            <w:pPr>
              <w:spacing w:after="0" w:line="240" w:lineRule="auto"/>
            </w:pPr>
            <w:r>
              <w:rPr>
                <w:b/>
              </w:rPr>
              <w:t>Contractor's Response</w:t>
            </w:r>
          </w:p>
        </w:tc>
      </w:tr>
      <w:tr w14:paraId="2E3F081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3FBD6169">
            <w:pPr>
              <w:spacing w:after="0" w:line="240" w:lineRule="auto"/>
            </w:pPr>
            <w:r>
              <w:t>On-time completion within 53 months</w:t>
            </w:r>
          </w:p>
        </w:tc>
        <w:tc>
          <w:tcPr>
            <w:tcW w:w="4320" w:type="dxa"/>
          </w:tcPr>
          <w:p w14:paraId="6D248F8B">
            <w:pPr>
              <w:spacing w:after="0" w:line="240" w:lineRule="auto"/>
            </w:pPr>
            <w:r>
              <w:t>84-day terminal float, proactive float management, recovery plans at 14-day slippage trigger</w:t>
            </w:r>
          </w:p>
        </w:tc>
      </w:tr>
      <w:tr w14:paraId="4090008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076944E3">
            <w:pPr>
              <w:spacing w:after="0" w:line="240" w:lineRule="auto"/>
            </w:pPr>
            <w:r>
              <w:t>Maintain N2 traffic flow and public safety</w:t>
            </w:r>
          </w:p>
        </w:tc>
        <w:tc>
          <w:tcPr>
            <w:tcW w:w="4320" w:type="dxa"/>
          </w:tcPr>
          <w:p w14:paraId="6C113AA4">
            <w:pPr>
              <w:spacing w:after="0" w:line="240" w:lineRule="auto"/>
            </w:pPr>
            <w:r>
              <w:t>Dedicated Traffic Safety Officer, 6-stage peri-urban accommodation, zero unauthorised lane occupation</w:t>
            </w:r>
          </w:p>
        </w:tc>
      </w:tr>
      <w:tr w14:paraId="11C12BC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686F1447">
            <w:pPr>
              <w:spacing w:after="0" w:line="240" w:lineRule="auto"/>
            </w:pPr>
            <w:r>
              <w:t>Achieve pavement and structural quality standards</w:t>
            </w:r>
          </w:p>
        </w:tc>
        <w:tc>
          <w:tcPr>
            <w:tcW w:w="4320" w:type="dxa"/>
          </w:tcPr>
          <w:p w14:paraId="13DD41B1">
            <w:pPr>
              <w:spacing w:after="0" w:line="240" w:lineRule="auto"/>
            </w:pPr>
            <w:r>
              <w:t>Independent laboratory (R48M PC Sum), SARDS testing, ITP hold points, PPG guarantee</w:t>
            </w:r>
          </w:p>
        </w:tc>
      </w:tr>
      <w:tr w14:paraId="4F386B8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044D2DE8">
            <w:pPr>
              <w:spacing w:after="0" w:line="240" w:lineRule="auto"/>
            </w:pPr>
            <w:r>
              <w:t>Achieve 35% CPG with meaningful TE participation</w:t>
            </w:r>
          </w:p>
        </w:tc>
        <w:tc>
          <w:tcPr>
            <w:tcW w:w="4320" w:type="dxa"/>
          </w:tcPr>
          <w:p w14:paraId="560BA533">
            <w:pPr>
              <w:spacing w:after="0" w:line="240" w:lineRule="auto"/>
            </w:pPr>
            <w:r>
              <w:t>10 work packages (R473M), CIDB 1-4 grading spread, QCTO training programme</w:t>
            </w:r>
          </w:p>
        </w:tc>
      </w:tr>
      <w:tr w14:paraId="72D0FAC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5A2EF165">
            <w:pPr>
              <w:spacing w:after="0" w:line="240" w:lineRule="auto"/>
            </w:pPr>
            <w:r>
              <w:t>Minimise environmental impact</w:t>
            </w:r>
          </w:p>
        </w:tc>
        <w:tc>
          <w:tcPr>
            <w:tcW w:w="4320" w:type="dxa"/>
          </w:tcPr>
          <w:p w14:paraId="6880E152">
            <w:pPr>
              <w:spacing w:after="0" w:line="240" w:lineRule="auto"/>
            </w:pPr>
            <w:r>
              <w:t>DEO and ECO team, EMPr compliance, watercourse dry-season working, dust and noise controls</w:t>
            </w:r>
          </w:p>
        </w:tc>
      </w:tr>
      <w:tr w14:paraId="42F4A5D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25204596">
            <w:pPr>
              <w:spacing w:after="0" w:line="240" w:lineRule="auto"/>
            </w:pPr>
            <w:r>
              <w:t>Zero fatalities and minimal LTIs</w:t>
            </w:r>
          </w:p>
        </w:tc>
        <w:tc>
          <w:tcPr>
            <w:tcW w:w="4320" w:type="dxa"/>
          </w:tcPr>
          <w:p w14:paraId="70029013">
            <w:pPr>
              <w:spacing w:after="0" w:line="240" w:lineRule="auto"/>
            </w:pPr>
            <w:r>
              <w:t>CHSO (SACPCMP registered), Mine Manager (MHSA), weekly safety audits, task-specific PPE matrix</w:t>
            </w:r>
          </w:p>
        </w:tc>
      </w:tr>
    </w:tbl>
    <w:p w14:paraId="597722F6">
      <w:r>
        <w:br w:type="page"/>
      </w:r>
    </w:p>
    <w:p w14:paraId="5611FE74">
      <w:pPr>
        <w:pStyle w:val="2"/>
      </w:pPr>
      <w:bookmarkStart w:id="9" w:name="_Toc16381"/>
      <w:r>
        <w:t>2. Overall Delivery Strategy</w:t>
      </w:r>
      <w:bookmarkEnd w:id="9"/>
    </w:p>
    <w:p w14:paraId="6491DCD6">
      <w:pPr>
        <w:pStyle w:val="3"/>
      </w:pPr>
      <w:bookmarkStart w:id="10" w:name="_Toc20523"/>
      <w:r>
        <w:t>2.1 Work Breakdown Structure</w:t>
      </w:r>
      <w:bookmarkEnd w:id="10"/>
    </w:p>
    <w:p w14:paraId="75709F9D">
      <w:r>
        <w:t>The Works are organised into the following principal work packages, aligned with the COTO 2020 chapter structure and the BOQ Series:</w:t>
      </w:r>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160"/>
        <w:gridCol w:w="2160"/>
        <w:gridCol w:w="2160"/>
        <w:gridCol w:w="2160"/>
      </w:tblGrid>
      <w:tr w14:paraId="50D7EB6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7D694280">
            <w:pPr>
              <w:spacing w:after="0" w:line="240" w:lineRule="auto"/>
            </w:pPr>
            <w:r>
              <w:rPr>
                <w:b/>
              </w:rPr>
              <w:t>WBS</w:t>
            </w:r>
          </w:p>
        </w:tc>
        <w:tc>
          <w:tcPr>
            <w:tcW w:w="2160" w:type="dxa"/>
          </w:tcPr>
          <w:p w14:paraId="448F1D36">
            <w:pPr>
              <w:spacing w:after="0" w:line="240" w:lineRule="auto"/>
            </w:pPr>
            <w:r>
              <w:rPr>
                <w:b/>
              </w:rPr>
              <w:t>Work Package</w:t>
            </w:r>
          </w:p>
        </w:tc>
        <w:tc>
          <w:tcPr>
            <w:tcW w:w="2160" w:type="dxa"/>
          </w:tcPr>
          <w:p w14:paraId="78EFF611">
            <w:pPr>
              <w:spacing w:after="0" w:line="240" w:lineRule="auto"/>
            </w:pPr>
            <w:r>
              <w:rPr>
                <w:b/>
              </w:rPr>
              <w:t>COTO Chapter</w:t>
            </w:r>
          </w:p>
        </w:tc>
        <w:tc>
          <w:tcPr>
            <w:tcW w:w="2160" w:type="dxa"/>
          </w:tcPr>
          <w:p w14:paraId="5DD4E665">
            <w:pPr>
              <w:spacing w:after="0" w:line="240" w:lineRule="auto"/>
            </w:pPr>
            <w:r>
              <w:rPr>
                <w:b/>
              </w:rPr>
              <w:t>Key Quantities</w:t>
            </w:r>
          </w:p>
        </w:tc>
      </w:tr>
      <w:tr w14:paraId="1FB0CDF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9A1BEDA">
            <w:pPr>
              <w:spacing w:after="0" w:line="240" w:lineRule="auto"/>
            </w:pPr>
            <w:r>
              <w:t>1</w:t>
            </w:r>
          </w:p>
        </w:tc>
        <w:tc>
          <w:tcPr>
            <w:tcW w:w="2160" w:type="dxa"/>
          </w:tcPr>
          <w:p w14:paraId="017614F7">
            <w:pPr>
              <w:spacing w:after="0" w:line="240" w:lineRule="auto"/>
            </w:pPr>
            <w:r>
              <w:t>Mobilisation and Site Establishment</w:t>
            </w:r>
          </w:p>
        </w:tc>
        <w:tc>
          <w:tcPr>
            <w:tcW w:w="2160" w:type="dxa"/>
          </w:tcPr>
          <w:p w14:paraId="73D61CC5">
            <w:pPr>
              <w:spacing w:after="0" w:line="240" w:lineRule="auto"/>
            </w:pPr>
            <w:r>
              <w:t>Ch 1</w:t>
            </w:r>
          </w:p>
        </w:tc>
        <w:tc>
          <w:tcPr>
            <w:tcW w:w="2160" w:type="dxa"/>
          </w:tcPr>
          <w:p w14:paraId="0F7E2958">
            <w:pPr>
              <w:spacing w:after="0" w:line="240" w:lineRule="auto"/>
            </w:pPr>
            <w:r>
              <w:t>5-month establishment period</w:t>
            </w:r>
          </w:p>
        </w:tc>
      </w:tr>
      <w:tr w14:paraId="563F38F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A0224E6">
            <w:pPr>
              <w:spacing w:after="0" w:line="240" w:lineRule="auto"/>
            </w:pPr>
            <w:r>
              <w:t>2</w:t>
            </w:r>
          </w:p>
        </w:tc>
        <w:tc>
          <w:tcPr>
            <w:tcW w:w="2160" w:type="dxa"/>
          </w:tcPr>
          <w:p w14:paraId="30C85D74">
            <w:pPr>
              <w:spacing w:after="0" w:line="240" w:lineRule="auto"/>
            </w:pPr>
            <w:r>
              <w:t>Traffic Accommodation</w:t>
            </w:r>
          </w:p>
        </w:tc>
        <w:tc>
          <w:tcPr>
            <w:tcW w:w="2160" w:type="dxa"/>
          </w:tcPr>
          <w:p w14:paraId="0B248959">
            <w:pPr>
              <w:spacing w:after="0" w:line="240" w:lineRule="auto"/>
            </w:pPr>
            <w:r>
              <w:t>Ch 1</w:t>
            </w:r>
          </w:p>
        </w:tc>
        <w:tc>
          <w:tcPr>
            <w:tcW w:w="2160" w:type="dxa"/>
          </w:tcPr>
          <w:p w14:paraId="4356F900">
            <w:pPr>
              <w:spacing w:after="0" w:line="240" w:lineRule="auto"/>
            </w:pPr>
            <w:r>
              <w:t>6 peri-urban stages + 8 urban sub-sections</w:t>
            </w:r>
          </w:p>
        </w:tc>
      </w:tr>
      <w:tr w14:paraId="50B6E1E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5BB60D49">
            <w:pPr>
              <w:spacing w:after="0" w:line="240" w:lineRule="auto"/>
            </w:pPr>
            <w:r>
              <w:t>3</w:t>
            </w:r>
          </w:p>
        </w:tc>
        <w:tc>
          <w:tcPr>
            <w:tcW w:w="2160" w:type="dxa"/>
          </w:tcPr>
          <w:p w14:paraId="03AE6FC2">
            <w:pPr>
              <w:spacing w:after="0" w:line="240" w:lineRule="auto"/>
            </w:pPr>
            <w:r>
              <w:t>Survey, Setting Out and Services Verification</w:t>
            </w:r>
          </w:p>
        </w:tc>
        <w:tc>
          <w:tcPr>
            <w:tcW w:w="2160" w:type="dxa"/>
          </w:tcPr>
          <w:p w14:paraId="6592A60F">
            <w:pPr>
              <w:spacing w:after="0" w:line="240" w:lineRule="auto"/>
            </w:pPr>
            <w:r>
              <w:t>Ch 1/2</w:t>
            </w:r>
          </w:p>
        </w:tc>
        <w:tc>
          <w:tcPr>
            <w:tcW w:w="2160" w:type="dxa"/>
          </w:tcPr>
          <w:p w14:paraId="6F87923A">
            <w:pPr>
              <w:spacing w:after="0" w:line="240" w:lineRule="auto"/>
            </w:pPr>
            <w:r>
              <w:t>294 services, GPR survey, 19.4 km route</w:t>
            </w:r>
          </w:p>
        </w:tc>
      </w:tr>
      <w:tr w14:paraId="45A8222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54214C68">
            <w:pPr>
              <w:spacing w:after="0" w:line="240" w:lineRule="auto"/>
            </w:pPr>
            <w:r>
              <w:t>4</w:t>
            </w:r>
          </w:p>
        </w:tc>
        <w:tc>
          <w:tcPr>
            <w:tcW w:w="2160" w:type="dxa"/>
          </w:tcPr>
          <w:p w14:paraId="3789A041">
            <w:pPr>
              <w:spacing w:after="0" w:line="240" w:lineRule="auto"/>
            </w:pPr>
            <w:r>
              <w:t>Clearing, Grubbing and Site Preparation</w:t>
            </w:r>
          </w:p>
        </w:tc>
        <w:tc>
          <w:tcPr>
            <w:tcW w:w="2160" w:type="dxa"/>
          </w:tcPr>
          <w:p w14:paraId="1E62A5D6">
            <w:pPr>
              <w:spacing w:after="0" w:line="240" w:lineRule="auto"/>
            </w:pPr>
            <w:r>
              <w:t>Ch 3/5</w:t>
            </w:r>
          </w:p>
        </w:tc>
        <w:tc>
          <w:tcPr>
            <w:tcW w:w="2160" w:type="dxa"/>
          </w:tcPr>
          <w:p w14:paraId="5AA089EB">
            <w:pPr>
              <w:spacing w:after="0" w:line="240" w:lineRule="auto"/>
            </w:pPr>
            <w:r>
              <w:t>73 ha clearing, topsoil stripping</w:t>
            </w:r>
          </w:p>
        </w:tc>
      </w:tr>
      <w:tr w14:paraId="5A83EB9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3FA2FA2">
            <w:pPr>
              <w:spacing w:after="0" w:line="240" w:lineRule="auto"/>
            </w:pPr>
            <w:r>
              <w:t>5</w:t>
            </w:r>
          </w:p>
        </w:tc>
        <w:tc>
          <w:tcPr>
            <w:tcW w:w="2160" w:type="dxa"/>
          </w:tcPr>
          <w:p w14:paraId="71EC15BB">
            <w:pPr>
              <w:spacing w:after="0" w:line="240" w:lineRule="auto"/>
            </w:pPr>
            <w:r>
              <w:t>Earthworks and Subgrade Preparation</w:t>
            </w:r>
          </w:p>
        </w:tc>
        <w:tc>
          <w:tcPr>
            <w:tcW w:w="2160" w:type="dxa"/>
          </w:tcPr>
          <w:p w14:paraId="3E5C72BF">
            <w:pPr>
              <w:spacing w:after="0" w:line="240" w:lineRule="auto"/>
            </w:pPr>
            <w:r>
              <w:t>Ch 4/5</w:t>
            </w:r>
          </w:p>
        </w:tc>
        <w:tc>
          <w:tcPr>
            <w:tcW w:w="2160" w:type="dxa"/>
          </w:tcPr>
          <w:p w14:paraId="53660009">
            <w:pPr>
              <w:spacing w:after="0" w:line="240" w:lineRule="auto"/>
            </w:pPr>
            <w:r>
              <w:t>850,000 m³ soft + 122,700 m³ hard rock</w:t>
            </w:r>
          </w:p>
        </w:tc>
      </w:tr>
      <w:tr w14:paraId="4ADA57D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F27E050">
            <w:pPr>
              <w:spacing w:after="0" w:line="240" w:lineRule="auto"/>
            </w:pPr>
            <w:r>
              <w:t>6</w:t>
            </w:r>
          </w:p>
        </w:tc>
        <w:tc>
          <w:tcPr>
            <w:tcW w:w="2160" w:type="dxa"/>
          </w:tcPr>
          <w:p w14:paraId="2B8FF6CC">
            <w:pPr>
              <w:spacing w:after="0" w:line="240" w:lineRule="auto"/>
            </w:pPr>
            <w:r>
              <w:t>Drainage and Culvert Works</w:t>
            </w:r>
          </w:p>
        </w:tc>
        <w:tc>
          <w:tcPr>
            <w:tcW w:w="2160" w:type="dxa"/>
          </w:tcPr>
          <w:p w14:paraId="6AB94524">
            <w:pPr>
              <w:spacing w:after="0" w:line="240" w:lineRule="auto"/>
            </w:pPr>
            <w:r>
              <w:t>Ch 3</w:t>
            </w:r>
          </w:p>
        </w:tc>
        <w:tc>
          <w:tcPr>
            <w:tcW w:w="2160" w:type="dxa"/>
          </w:tcPr>
          <w:p w14:paraId="082DF93B">
            <w:pPr>
              <w:spacing w:after="0" w:line="240" w:lineRule="auto"/>
            </w:pPr>
            <w:r>
              <w:t>143,150 m drains, 4 major culverts</w:t>
            </w:r>
          </w:p>
        </w:tc>
      </w:tr>
      <w:tr w14:paraId="05761D7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05852680">
            <w:pPr>
              <w:spacing w:after="0" w:line="240" w:lineRule="auto"/>
            </w:pPr>
            <w:r>
              <w:t>7</w:t>
            </w:r>
          </w:p>
        </w:tc>
        <w:tc>
          <w:tcPr>
            <w:tcW w:w="2160" w:type="dxa"/>
          </w:tcPr>
          <w:p w14:paraId="257D1C73">
            <w:pPr>
              <w:spacing w:after="0" w:line="240" w:lineRule="auto"/>
            </w:pPr>
            <w:r>
              <w:t>Pavement Layerworks</w:t>
            </w:r>
          </w:p>
        </w:tc>
        <w:tc>
          <w:tcPr>
            <w:tcW w:w="2160" w:type="dxa"/>
          </w:tcPr>
          <w:p w14:paraId="5DDB1E98">
            <w:pPr>
              <w:spacing w:after="0" w:line="240" w:lineRule="auto"/>
            </w:pPr>
            <w:r>
              <w:t>Ch 4/5</w:t>
            </w:r>
          </w:p>
        </w:tc>
        <w:tc>
          <w:tcPr>
            <w:tcW w:w="2160" w:type="dxa"/>
          </w:tcPr>
          <w:p w14:paraId="08D7991C">
            <w:pPr>
              <w:spacing w:after="0" w:line="240" w:lineRule="auto"/>
            </w:pPr>
            <w:r>
              <w:t>G7/G6/G5A/G1 layers, MC-NME stabilisation</w:t>
            </w:r>
          </w:p>
        </w:tc>
      </w:tr>
      <w:tr w14:paraId="640F0A5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9B17C9F">
            <w:pPr>
              <w:spacing w:after="0" w:line="240" w:lineRule="auto"/>
            </w:pPr>
            <w:r>
              <w:t>8</w:t>
            </w:r>
          </w:p>
        </w:tc>
        <w:tc>
          <w:tcPr>
            <w:tcW w:w="2160" w:type="dxa"/>
          </w:tcPr>
          <w:p w14:paraId="18EA10F2">
            <w:pPr>
              <w:spacing w:after="0" w:line="240" w:lineRule="auto"/>
            </w:pPr>
            <w:r>
              <w:t>Asphalt and Surfacing</w:t>
            </w:r>
          </w:p>
        </w:tc>
        <w:tc>
          <w:tcPr>
            <w:tcW w:w="2160" w:type="dxa"/>
          </w:tcPr>
          <w:p w14:paraId="2E56DC8E">
            <w:pPr>
              <w:spacing w:after="0" w:line="240" w:lineRule="auto"/>
            </w:pPr>
            <w:r>
              <w:t>Ch 9</w:t>
            </w:r>
          </w:p>
        </w:tc>
        <w:tc>
          <w:tcPr>
            <w:tcW w:w="2160" w:type="dxa"/>
          </w:tcPr>
          <w:p w14:paraId="21235D7E">
            <w:pPr>
              <w:spacing w:after="0" w:line="240" w:lineRule="auto"/>
            </w:pPr>
            <w:r>
              <w:t>3,830 t asphalt, EME high-modulus base</w:t>
            </w:r>
          </w:p>
        </w:tc>
      </w:tr>
      <w:tr w14:paraId="24175F2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42618BDD">
            <w:pPr>
              <w:spacing w:after="0" w:line="240" w:lineRule="auto"/>
            </w:pPr>
            <w:r>
              <w:t>9</w:t>
            </w:r>
          </w:p>
        </w:tc>
        <w:tc>
          <w:tcPr>
            <w:tcW w:w="2160" w:type="dxa"/>
          </w:tcPr>
          <w:p w14:paraId="1E1E6DCC">
            <w:pPr>
              <w:spacing w:after="0" w:line="240" w:lineRule="auto"/>
            </w:pPr>
            <w:r>
              <w:t>Structures (Bridges, MSE Walls, Shotcrete)</w:t>
            </w:r>
          </w:p>
        </w:tc>
        <w:tc>
          <w:tcPr>
            <w:tcW w:w="2160" w:type="dxa"/>
          </w:tcPr>
          <w:p w14:paraId="683A65CD">
            <w:pPr>
              <w:spacing w:after="0" w:line="240" w:lineRule="auto"/>
            </w:pPr>
            <w:r>
              <w:t>Ch 12/13</w:t>
            </w:r>
          </w:p>
        </w:tc>
        <w:tc>
          <w:tcPr>
            <w:tcW w:w="2160" w:type="dxa"/>
          </w:tcPr>
          <w:p w14:paraId="2BBD6D86">
            <w:pPr>
              <w:spacing w:after="0" w:line="240" w:lineRule="auto"/>
            </w:pPr>
            <w:r>
              <w:t>10 bridges, 4 culverts, 224,700 m² shotcrete, 184,250 m³ MSE</w:t>
            </w:r>
          </w:p>
        </w:tc>
      </w:tr>
      <w:tr w14:paraId="584EF42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BAE393E">
            <w:pPr>
              <w:spacing w:after="0" w:line="240" w:lineRule="auto"/>
            </w:pPr>
            <w:r>
              <w:t>10</w:t>
            </w:r>
          </w:p>
        </w:tc>
        <w:tc>
          <w:tcPr>
            <w:tcW w:w="2160" w:type="dxa"/>
          </w:tcPr>
          <w:p w14:paraId="3F23FF7A">
            <w:pPr>
              <w:spacing w:after="0" w:line="240" w:lineRule="auto"/>
            </w:pPr>
            <w:r>
              <w:t>Electrical and Lighting</w:t>
            </w:r>
          </w:p>
        </w:tc>
        <w:tc>
          <w:tcPr>
            <w:tcW w:w="2160" w:type="dxa"/>
          </w:tcPr>
          <w:p w14:paraId="1C570CD2">
            <w:pPr>
              <w:spacing w:after="0" w:line="240" w:lineRule="auto"/>
            </w:pPr>
            <w:r>
              <w:t>SANS 10098-1</w:t>
            </w:r>
          </w:p>
        </w:tc>
        <w:tc>
          <w:tcPr>
            <w:tcW w:w="2160" w:type="dxa"/>
          </w:tcPr>
          <w:p w14:paraId="1741E722">
            <w:pPr>
              <w:spacing w:after="0" w:line="240" w:lineRule="auto"/>
            </w:pPr>
            <w:r>
              <w:t>1,593 luminaires, 107 km cable</w:t>
            </w:r>
          </w:p>
        </w:tc>
      </w:tr>
      <w:tr w14:paraId="3B24C6D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4027572">
            <w:pPr>
              <w:spacing w:after="0" w:line="240" w:lineRule="auto"/>
            </w:pPr>
            <w:r>
              <w:t>11</w:t>
            </w:r>
          </w:p>
        </w:tc>
        <w:tc>
          <w:tcPr>
            <w:tcW w:w="2160" w:type="dxa"/>
          </w:tcPr>
          <w:p w14:paraId="359CBAC2">
            <w:pPr>
              <w:spacing w:after="0" w:line="240" w:lineRule="auto"/>
            </w:pPr>
            <w:r>
              <w:t>Road Furniture, Signage and Markings</w:t>
            </w:r>
          </w:p>
        </w:tc>
        <w:tc>
          <w:tcPr>
            <w:tcW w:w="2160" w:type="dxa"/>
          </w:tcPr>
          <w:p w14:paraId="3E8B60E1">
            <w:pPr>
              <w:spacing w:after="0" w:line="240" w:lineRule="auto"/>
            </w:pPr>
            <w:r>
              <w:t>Ch 11</w:t>
            </w:r>
          </w:p>
        </w:tc>
        <w:tc>
          <w:tcPr>
            <w:tcW w:w="2160" w:type="dxa"/>
          </w:tcPr>
          <w:p w14:paraId="67FD47EF">
            <w:pPr>
              <w:spacing w:after="0" w:line="240" w:lineRule="auto"/>
            </w:pPr>
            <w:r>
              <w:t>Guardrails, signs, studs, thermoplastic markings</w:t>
            </w:r>
          </w:p>
        </w:tc>
      </w:tr>
      <w:tr w14:paraId="29A7C4D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B9C8AF1">
            <w:pPr>
              <w:spacing w:after="0" w:line="240" w:lineRule="auto"/>
            </w:pPr>
            <w:r>
              <w:t>12</w:t>
            </w:r>
          </w:p>
        </w:tc>
        <w:tc>
          <w:tcPr>
            <w:tcW w:w="2160" w:type="dxa"/>
          </w:tcPr>
          <w:p w14:paraId="4F4FCE28">
            <w:pPr>
              <w:spacing w:after="0" w:line="240" w:lineRule="auto"/>
            </w:pPr>
            <w:r>
              <w:t>Testing, Snagging and Handover</w:t>
            </w:r>
          </w:p>
        </w:tc>
        <w:tc>
          <w:tcPr>
            <w:tcW w:w="2160" w:type="dxa"/>
          </w:tcPr>
          <w:p w14:paraId="32912B36">
            <w:pPr>
              <w:spacing w:after="0" w:line="240" w:lineRule="auto"/>
            </w:pPr>
            <w:r>
              <w:t>Ch 20</w:t>
            </w:r>
          </w:p>
        </w:tc>
        <w:tc>
          <w:tcPr>
            <w:tcW w:w="2160" w:type="dxa"/>
          </w:tcPr>
          <w:p w14:paraId="5E7E8E0C">
            <w:pPr>
              <w:spacing w:after="0" w:line="240" w:lineRule="auto"/>
            </w:pPr>
            <w:r>
              <w:t>SARDS, ITP, as-built records, TOC</w:t>
            </w:r>
          </w:p>
        </w:tc>
      </w:tr>
    </w:tbl>
    <w:p w14:paraId="256D517E">
      <w:pPr>
        <w:pStyle w:val="3"/>
      </w:pPr>
      <w:bookmarkStart w:id="11" w:name="_Toc28224"/>
      <w:r>
        <w:t>2.2 Phasing and Work Fronts</w:t>
      </w:r>
      <w:bookmarkEnd w:id="11"/>
    </w:p>
    <w:p w14:paraId="1153C042">
      <w:r>
        <w:t>The peri-urban zone is programmed as six carriageway stages, each following the same production logic: services survey and protection, traffic accommodation, earthworks to top of fill, drainage, selected layers, stabilised layer curing, G1 base, surfacing, road markings and traffic switch.</w:t>
      </w:r>
      <w:r>
        <w:br w:type="textWrapping"/>
      </w:r>
      <w:r>
        <w:br w:type="textWrapping"/>
      </w:r>
      <w:r>
        <w:t>The staging sequence allows the earthworks fleet to move continuously from one stage to the next without demobilisation gaps. Stages A1 and A3 overlap in the central corridor, allowing two major cut-to-fill operations to run concurrently during the peak years of 2028 and 2029.</w:t>
      </w:r>
    </w:p>
    <w:p w14:paraId="33E78A6B">
      <w:r>
        <w:t>The peri-urban zone is programmed as six carriageway stages, each following the same production logic: services survey and protection, traffic accommodation, earthworks to top of fill, drainage, selected layers, stabilised layer curing, G1 base, surfacing, road markings and traffic switch.</w:t>
      </w:r>
      <w:r>
        <w:br w:type="textWrapping"/>
      </w:r>
      <w:r>
        <w:br w:type="textWrapping"/>
      </w:r>
      <w:r>
        <w:t>The staging sequence allows the earthworks fleet to move continuously from one stage to the next without demobilisation gaps. Stages A1 and A3 overlap in the central corridor, allowing two major cut-to-fill operations to run concurrently during the peak years of 2028 and 2029.</w:t>
      </w:r>
    </w:p>
    <w:p w14:paraId="707292AA">
      <w:pPr>
        <w:pStyle w:val="3"/>
      </w:pPr>
      <w:bookmarkStart w:id="12" w:name="_Toc20949"/>
      <w:r>
        <w:t>2.3 Sequencing Logic</w:t>
      </w:r>
      <w:bookmarkEnd w:id="12"/>
    </w:p>
    <w:p w14:paraId="2692DB65">
      <w:r>
        <w:t>The construction sequence follows these governing principles:</w:t>
      </w:r>
    </w:p>
    <w:p w14:paraId="32F51D3E">
      <w:r>
        <w:t>Drainage works are prioritised before bulk layerworks to reduce the risk of water ingress into prepared pavement layers during rainfall events.</w:t>
      </w:r>
    </w:p>
    <w:p w14:paraId="386B43CF">
      <w:r>
        <w:t>Utility confirmation (GPR survey and trial pits) precedes any excavation in urban sections. Eskom wayleave applications are submitted within 60 days of Commencement.</w:t>
      </w:r>
    </w:p>
    <w:p w14:paraId="068857F6">
      <w:r>
        <w:t>Trial sections (minimum 200 m) are constructed and approved before full-scale production of MC-NME stabilisation and EME asphalt.</w:t>
      </w:r>
    </w:p>
    <w:p w14:paraId="3F5B0DF2">
      <w:r>
        <w:t>Material source approvals and stockpile building occur during mobilisation so that commercial fill and pioneer material are available from March 2027.</w:t>
      </w:r>
    </w:p>
    <w:p w14:paraId="7E5A87B8">
      <w:r>
        <w:t>Asphalt surfacing follows base layer acceptance and is restricted to the October–April window.</w:t>
      </w:r>
    </w:p>
    <w:p w14:paraId="3D984EDA">
      <w:r>
        <w:t>Road markings are applied only after final surfacing acceptance. Temporary markings during traffic staging are removed before permanent application.</w:t>
      </w:r>
    </w:p>
    <w:p w14:paraId="1B9DB504">
      <w:r>
        <w:t>Snagging and as-built record compilation run progressively, not deferred to terminal float.</w:t>
      </w:r>
    </w:p>
    <w:p w14:paraId="139DB3A8">
      <w:pPr>
        <w:pStyle w:val="3"/>
      </w:pPr>
      <w:bookmarkStart w:id="13" w:name="_Toc12426"/>
      <w:r>
        <w:t>2.4 Key Milestones</w:t>
      </w:r>
      <w:bookmarkEnd w:id="13"/>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80"/>
        <w:gridCol w:w="2880"/>
        <w:gridCol w:w="2880"/>
      </w:tblGrid>
      <w:tr w14:paraId="64C170A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4EC03A7B">
            <w:r>
              <w:rPr>
                <w:b/>
              </w:rPr>
              <w:t>Milestone</w:t>
            </w:r>
          </w:p>
        </w:tc>
        <w:tc>
          <w:tcPr>
            <w:tcW w:w="2880" w:type="dxa"/>
          </w:tcPr>
          <w:p w14:paraId="734809AA">
            <w:r>
              <w:rPr>
                <w:b/>
              </w:rPr>
              <w:t>Target Date</w:t>
            </w:r>
          </w:p>
        </w:tc>
        <w:tc>
          <w:tcPr>
            <w:tcW w:w="2880" w:type="dxa"/>
          </w:tcPr>
          <w:p w14:paraId="2A9D3209">
            <w:r>
              <w:rPr>
                <w:b/>
              </w:rPr>
              <w:t>Significance</w:t>
            </w:r>
          </w:p>
        </w:tc>
      </w:tr>
      <w:tr w14:paraId="37D7BD0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8E5ABDE">
            <w:r>
              <w:t>Letter of Acceptance</w:t>
            </w:r>
          </w:p>
        </w:tc>
        <w:tc>
          <w:tcPr>
            <w:tcW w:w="2880" w:type="dxa"/>
          </w:tcPr>
          <w:p w14:paraId="3530B7B8">
            <w:r>
              <w:t>17 Sep 2026</w:t>
            </w:r>
          </w:p>
        </w:tc>
        <w:tc>
          <w:tcPr>
            <w:tcW w:w="2880" w:type="dxa"/>
          </w:tcPr>
          <w:p w14:paraId="660208C0">
            <w:r>
              <w:t>Contract award; mobilisation preparations begin</w:t>
            </w:r>
          </w:p>
        </w:tc>
      </w:tr>
      <w:tr w14:paraId="4944D99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216FCCC8">
            <w:r>
              <w:t>Commencement Meeting</w:t>
            </w:r>
          </w:p>
        </w:tc>
        <w:tc>
          <w:tcPr>
            <w:tcW w:w="2880" w:type="dxa"/>
          </w:tcPr>
          <w:p w14:paraId="320FAA28">
            <w:r>
              <w:t>21 Oct 2026</w:t>
            </w:r>
          </w:p>
        </w:tc>
        <w:tc>
          <w:tcPr>
            <w:tcW w:w="2880" w:type="dxa"/>
          </w:tcPr>
          <w:p w14:paraId="02EDA892">
            <w:r>
              <w:t>Formal commencement; mobilisation period starts</w:t>
            </w:r>
          </w:p>
        </w:tc>
      </w:tr>
      <w:tr w14:paraId="5FDB58C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75B0EBEF">
            <w:r>
              <w:t>Site Access Certificate</w:t>
            </w:r>
          </w:p>
        </w:tc>
        <w:tc>
          <w:tcPr>
            <w:tcW w:w="2880" w:type="dxa"/>
          </w:tcPr>
          <w:p w14:paraId="3997DFB3">
            <w:r>
              <w:t>20 Mar 2027</w:t>
            </w:r>
          </w:p>
        </w:tc>
        <w:tc>
          <w:tcPr>
            <w:tcW w:w="2880" w:type="dxa"/>
          </w:tcPr>
          <w:p w14:paraId="7CFB4B8F">
            <w:r>
              <w:t>Site access milestone before full production</w:t>
            </w:r>
          </w:p>
        </w:tc>
      </w:tr>
      <w:tr w14:paraId="6117574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1BAB819F">
            <w:r>
              <w:t>Construction Works Commence</w:t>
            </w:r>
          </w:p>
        </w:tc>
        <w:tc>
          <w:tcPr>
            <w:tcW w:w="2880" w:type="dxa"/>
          </w:tcPr>
          <w:p w14:paraId="547C2046">
            <w:r>
              <w:t>15 Apr 2027</w:t>
            </w:r>
          </w:p>
        </w:tc>
        <w:tc>
          <w:tcPr>
            <w:tcW w:w="2880" w:type="dxa"/>
          </w:tcPr>
          <w:p w14:paraId="20AA4DE0">
            <w:r>
              <w:t>First physical construction works (Activity 0044)</w:t>
            </w:r>
          </w:p>
        </w:tc>
      </w:tr>
      <w:tr w14:paraId="56D33D2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61848ACC">
            <w:r>
              <w:t>Crusher Commissioning Complete</w:t>
            </w:r>
          </w:p>
        </w:tc>
        <w:tc>
          <w:tcPr>
            <w:tcW w:w="2880" w:type="dxa"/>
          </w:tcPr>
          <w:p w14:paraId="2AE48235">
            <w:r>
              <w:t>05 May 2027</w:t>
            </w:r>
          </w:p>
        </w:tc>
        <w:tc>
          <w:tcPr>
            <w:tcW w:w="2880" w:type="dxa"/>
          </w:tcPr>
          <w:p w14:paraId="10B40E49">
            <w:r>
              <w:t>Both plants operational; sustained processing begins</w:t>
            </w:r>
          </w:p>
        </w:tc>
      </w:tr>
      <w:tr w14:paraId="28A72D1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6EDFB1BE">
            <w:r>
              <w:t>First Peri-urban Stage Start (A1)</w:t>
            </w:r>
          </w:p>
        </w:tc>
        <w:tc>
          <w:tcPr>
            <w:tcW w:w="2880" w:type="dxa"/>
          </w:tcPr>
          <w:p w14:paraId="44ECE5AE">
            <w:r>
              <w:t>16 Apr 2027</w:t>
            </w:r>
          </w:p>
        </w:tc>
        <w:tc>
          <w:tcPr>
            <w:tcW w:w="2880" w:type="dxa"/>
          </w:tcPr>
          <w:p w14:paraId="7175018E">
            <w:r>
              <w:t>First major production stage; sets the template</w:t>
            </w:r>
          </w:p>
        </w:tc>
      </w:tr>
      <w:tr w14:paraId="25A1E9B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102B520E">
            <w:r>
              <w:t>Urban Section 1 Start</w:t>
            </w:r>
          </w:p>
        </w:tc>
        <w:tc>
          <w:tcPr>
            <w:tcW w:w="2880" w:type="dxa"/>
          </w:tcPr>
          <w:p w14:paraId="7D9A22D9">
            <w:r>
              <w:t>16 Apr 2027</w:t>
            </w:r>
          </w:p>
        </w:tc>
        <w:tc>
          <w:tcPr>
            <w:tcW w:w="2880" w:type="dxa"/>
          </w:tcPr>
          <w:p w14:paraId="15EF0A83">
            <w:r>
              <w:t>Parallel urban commencement; service-led release</w:t>
            </w:r>
          </w:p>
        </w:tc>
      </w:tr>
      <w:tr w14:paraId="76CC10B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051C3C98">
            <w:r>
              <w:t>Urban Section 2 Start</w:t>
            </w:r>
          </w:p>
        </w:tc>
        <w:tc>
          <w:tcPr>
            <w:tcW w:w="2880" w:type="dxa"/>
          </w:tcPr>
          <w:p w14:paraId="1C24D9F6">
            <w:r>
              <w:t>26 Apr 2029</w:t>
            </w:r>
          </w:p>
        </w:tc>
        <w:tc>
          <w:tcPr>
            <w:tcW w:w="2880" w:type="dxa"/>
          </w:tcPr>
          <w:p w14:paraId="77FF88C0">
            <w:r>
              <w:t>Controls and resources transferred from S1</w:t>
            </w:r>
          </w:p>
        </w:tc>
      </w:tr>
      <w:tr w14:paraId="4444D45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6F44470D">
            <w:r>
              <w:t>Structures Programme Complete</w:t>
            </w:r>
          </w:p>
        </w:tc>
        <w:tc>
          <w:tcPr>
            <w:tcW w:w="2880" w:type="dxa"/>
          </w:tcPr>
          <w:p w14:paraId="63970AA7">
            <w:r>
              <w:t>10 Dec 2030</w:t>
            </w:r>
          </w:p>
        </w:tc>
        <w:tc>
          <w:tcPr>
            <w:tcW w:w="2880" w:type="dxa"/>
          </w:tcPr>
          <w:p w14:paraId="3E72EBF2">
            <w:r>
              <w:t>All 10 bridges, 4 culverts, MSE and shotcrete complete</w:t>
            </w:r>
          </w:p>
        </w:tc>
      </w:tr>
      <w:tr w14:paraId="3485226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72981B36">
            <w:r>
              <w:t>Roads Physical Works Complete</w:t>
            </w:r>
          </w:p>
        </w:tc>
        <w:tc>
          <w:tcPr>
            <w:tcW w:w="2880" w:type="dxa"/>
          </w:tcPr>
          <w:p w14:paraId="3B6B3172">
            <w:r>
              <w:t>10 Dec 2030</w:t>
            </w:r>
          </w:p>
        </w:tc>
        <w:tc>
          <w:tcPr>
            <w:tcW w:w="2880" w:type="dxa"/>
          </w:tcPr>
          <w:p w14:paraId="6FBA2450">
            <w:r>
              <w:t>All roadworks, surfacing and finishing complete</w:t>
            </w:r>
          </w:p>
        </w:tc>
      </w:tr>
      <w:tr w14:paraId="3D49696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14FB8D2B">
            <w:r>
              <w:t>Taking-Over Certificate (TOC)</w:t>
            </w:r>
          </w:p>
        </w:tc>
        <w:tc>
          <w:tcPr>
            <w:tcW w:w="2880" w:type="dxa"/>
          </w:tcPr>
          <w:p w14:paraId="295645C5">
            <w:r>
              <w:t>20 Mar 2031</w:t>
            </w:r>
          </w:p>
        </w:tc>
        <w:tc>
          <w:tcPr>
            <w:tcW w:w="2880" w:type="dxa"/>
          </w:tcPr>
          <w:p w14:paraId="360AB23F">
            <w:r>
              <w:t>Contractual completion; 84-day terminal float absorbed</w:t>
            </w:r>
          </w:p>
        </w:tc>
      </w:tr>
    </w:tbl>
    <w:p w14:paraId="7C516824">
      <w:r>
        <w:t>Bridge and structure completion dates are extracted from the Tender Programme R0 (Attachment 1):</w:t>
      </w:r>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160"/>
        <w:gridCol w:w="2160"/>
        <w:gridCol w:w="2160"/>
        <w:gridCol w:w="2160"/>
      </w:tblGrid>
      <w:tr w14:paraId="5ACA85B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0C69021D">
            <w:r>
              <w:rPr>
                <w:b/>
              </w:rPr>
              <w:t>Structure</w:t>
            </w:r>
          </w:p>
        </w:tc>
        <w:tc>
          <w:tcPr>
            <w:tcW w:w="2160" w:type="dxa"/>
          </w:tcPr>
          <w:p w14:paraId="0F818BB5">
            <w:r>
              <w:rPr>
                <w:b/>
              </w:rPr>
              <w:t>Location</w:t>
            </w:r>
          </w:p>
        </w:tc>
        <w:tc>
          <w:tcPr>
            <w:tcW w:w="2160" w:type="dxa"/>
          </w:tcPr>
          <w:p w14:paraId="09A23B2E">
            <w:r>
              <w:rPr>
                <w:b/>
              </w:rPr>
              <w:t>Start</w:t>
            </w:r>
          </w:p>
        </w:tc>
        <w:tc>
          <w:tcPr>
            <w:tcW w:w="2160" w:type="dxa"/>
          </w:tcPr>
          <w:p w14:paraId="41270D5E">
            <w:r>
              <w:rPr>
                <w:b/>
              </w:rPr>
              <w:t>Completion</w:t>
            </w:r>
          </w:p>
        </w:tc>
      </w:tr>
      <w:tr w14:paraId="04F07E3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1EE772A">
            <w:r>
              <w:t>B03 Mbane Pedestrian Overpass</w:t>
            </w:r>
          </w:p>
        </w:tc>
        <w:tc>
          <w:tcPr>
            <w:tcW w:w="2160" w:type="dxa"/>
          </w:tcPr>
          <w:p w14:paraId="26E58A24">
            <w:r>
              <w:t>KM 71.642</w:t>
            </w:r>
          </w:p>
        </w:tc>
        <w:tc>
          <w:tcPr>
            <w:tcW w:w="2160" w:type="dxa"/>
          </w:tcPr>
          <w:p w14:paraId="67BC0559">
            <w:r>
              <w:t>Sep 2027</w:t>
            </w:r>
          </w:p>
        </w:tc>
        <w:tc>
          <w:tcPr>
            <w:tcW w:w="2160" w:type="dxa"/>
          </w:tcPr>
          <w:p w14:paraId="3BD01CD8">
            <w:r>
              <w:t>Mar 2029</w:t>
            </w:r>
          </w:p>
        </w:tc>
      </w:tr>
      <w:tr w14:paraId="7435422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0F178D21">
            <w:r>
              <w:t>B07 QWE-QWE Underpass</w:t>
            </w:r>
          </w:p>
        </w:tc>
        <w:tc>
          <w:tcPr>
            <w:tcW w:w="2160" w:type="dxa"/>
          </w:tcPr>
          <w:p w14:paraId="75BC234D">
            <w:r>
              <w:t>KM 72.504</w:t>
            </w:r>
          </w:p>
        </w:tc>
        <w:tc>
          <w:tcPr>
            <w:tcW w:w="2160" w:type="dxa"/>
          </w:tcPr>
          <w:p w14:paraId="5F342883">
            <w:r>
              <w:t>Jan 2028</w:t>
            </w:r>
          </w:p>
        </w:tc>
        <w:tc>
          <w:tcPr>
            <w:tcW w:w="2160" w:type="dxa"/>
          </w:tcPr>
          <w:p w14:paraId="08A4D163">
            <w:r>
              <w:t>Sep 2028</w:t>
            </w:r>
          </w:p>
        </w:tc>
      </w:tr>
      <w:tr w14:paraId="7A2B0AE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76D2DFC8">
            <w:r>
              <w:t>B01 Pedestrian Bridge</w:t>
            </w:r>
          </w:p>
        </w:tc>
        <w:tc>
          <w:tcPr>
            <w:tcW w:w="2160" w:type="dxa"/>
          </w:tcPr>
          <w:p w14:paraId="52354BED">
            <w:r>
              <w:t>KM 67.222</w:t>
            </w:r>
          </w:p>
        </w:tc>
        <w:tc>
          <w:tcPr>
            <w:tcW w:w="2160" w:type="dxa"/>
          </w:tcPr>
          <w:p w14:paraId="1711D198">
            <w:r>
              <w:t>Nov 2028</w:t>
            </w:r>
          </w:p>
        </w:tc>
        <w:tc>
          <w:tcPr>
            <w:tcW w:w="2160" w:type="dxa"/>
          </w:tcPr>
          <w:p w14:paraId="1004FE3C">
            <w:r>
              <w:t>Feb 2030</w:t>
            </w:r>
          </w:p>
        </w:tc>
      </w:tr>
      <w:tr w14:paraId="52BED8A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72F8A63">
            <w:r>
              <w:t>B02 Qokana Pedestrian Overpass</w:t>
            </w:r>
          </w:p>
        </w:tc>
        <w:tc>
          <w:tcPr>
            <w:tcW w:w="2160" w:type="dxa"/>
          </w:tcPr>
          <w:p w14:paraId="78A63866">
            <w:r>
              <w:t>KM 68.883</w:t>
            </w:r>
          </w:p>
        </w:tc>
        <w:tc>
          <w:tcPr>
            <w:tcW w:w="2160" w:type="dxa"/>
          </w:tcPr>
          <w:p w14:paraId="0B4B70D5">
            <w:r>
              <w:t>Nov 2028</w:t>
            </w:r>
          </w:p>
        </w:tc>
        <w:tc>
          <w:tcPr>
            <w:tcW w:w="2160" w:type="dxa"/>
          </w:tcPr>
          <w:p w14:paraId="1850BB08">
            <w:r>
              <w:t>Mar 2030</w:t>
            </w:r>
          </w:p>
        </w:tc>
      </w:tr>
      <w:tr w14:paraId="0D2DAA9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79E60AE9">
            <w:r>
              <w:t>B06 Maqhiibeni Underpass</w:t>
            </w:r>
          </w:p>
        </w:tc>
        <w:tc>
          <w:tcPr>
            <w:tcW w:w="2160" w:type="dxa"/>
          </w:tcPr>
          <w:p w14:paraId="6998871C">
            <w:r>
              <w:t>KM 68.193</w:t>
            </w:r>
          </w:p>
        </w:tc>
        <w:tc>
          <w:tcPr>
            <w:tcW w:w="2160" w:type="dxa"/>
          </w:tcPr>
          <w:p w14:paraId="6C70D3DB">
            <w:r>
              <w:t>Apr 2029</w:t>
            </w:r>
          </w:p>
        </w:tc>
        <w:tc>
          <w:tcPr>
            <w:tcW w:w="2160" w:type="dxa"/>
          </w:tcPr>
          <w:p w14:paraId="4A5EDD09">
            <w:r>
              <w:t>Oct 2029</w:t>
            </w:r>
          </w:p>
        </w:tc>
      </w:tr>
      <w:tr w14:paraId="78402E0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484C9853">
            <w:r>
              <w:t>B04 Nyandeni Pedestrian Overpass</w:t>
            </w:r>
          </w:p>
        </w:tc>
        <w:tc>
          <w:tcPr>
            <w:tcW w:w="2160" w:type="dxa"/>
          </w:tcPr>
          <w:p w14:paraId="1DED6FCE">
            <w:r>
              <w:t>KM 74.236</w:t>
            </w:r>
          </w:p>
        </w:tc>
        <w:tc>
          <w:tcPr>
            <w:tcW w:w="2160" w:type="dxa"/>
          </w:tcPr>
          <w:p w14:paraId="09344F89">
            <w:r>
              <w:t>Oct 2029</w:t>
            </w:r>
          </w:p>
        </w:tc>
        <w:tc>
          <w:tcPr>
            <w:tcW w:w="2160" w:type="dxa"/>
          </w:tcPr>
          <w:p w14:paraId="692E3A71">
            <w:r>
              <w:t>Dec 2030</w:t>
            </w:r>
          </w:p>
        </w:tc>
      </w:tr>
      <w:tr w14:paraId="1699EEC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18FA4BB">
            <w:r>
              <w:t>B05 Payne Pedestrian Overpass</w:t>
            </w:r>
          </w:p>
        </w:tc>
        <w:tc>
          <w:tcPr>
            <w:tcW w:w="2160" w:type="dxa"/>
          </w:tcPr>
          <w:p w14:paraId="3375F271">
            <w:r>
              <w:t>KM 75.103</w:t>
            </w:r>
          </w:p>
        </w:tc>
        <w:tc>
          <w:tcPr>
            <w:tcW w:w="2160" w:type="dxa"/>
          </w:tcPr>
          <w:p w14:paraId="1F575915">
            <w:r>
              <w:t>Oct 2029</w:t>
            </w:r>
          </w:p>
        </w:tc>
        <w:tc>
          <w:tcPr>
            <w:tcW w:w="2160" w:type="dxa"/>
          </w:tcPr>
          <w:p w14:paraId="3D97342E">
            <w:r>
              <w:t>Dec 2030</w:t>
            </w:r>
          </w:p>
        </w:tc>
      </w:tr>
      <w:tr w14:paraId="006AE87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73807C6D">
            <w:r>
              <w:t>B08 Payne Portal Underpass</w:t>
            </w:r>
          </w:p>
        </w:tc>
        <w:tc>
          <w:tcPr>
            <w:tcW w:w="2160" w:type="dxa"/>
          </w:tcPr>
          <w:p w14:paraId="2C5F2637">
            <w:r>
              <w:t>KM 75.875</w:t>
            </w:r>
          </w:p>
        </w:tc>
        <w:tc>
          <w:tcPr>
            <w:tcW w:w="2160" w:type="dxa"/>
          </w:tcPr>
          <w:p w14:paraId="7765F22B">
            <w:r>
              <w:t>Jan 2030</w:t>
            </w:r>
          </w:p>
        </w:tc>
        <w:tc>
          <w:tcPr>
            <w:tcW w:w="2160" w:type="dxa"/>
          </w:tcPr>
          <w:p w14:paraId="190F192A">
            <w:r>
              <w:t>Aug 2030</w:t>
            </w:r>
          </w:p>
        </w:tc>
      </w:tr>
      <w:tr w14:paraId="3F51C49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198946F">
            <w:r>
              <w:t>B09 Payne Farm Portal Underpass</w:t>
            </w:r>
          </w:p>
        </w:tc>
        <w:tc>
          <w:tcPr>
            <w:tcW w:w="2160" w:type="dxa"/>
          </w:tcPr>
          <w:p w14:paraId="1AB386E4">
            <w:r>
              <w:t>KM 77.153</w:t>
            </w:r>
          </w:p>
        </w:tc>
        <w:tc>
          <w:tcPr>
            <w:tcW w:w="2160" w:type="dxa"/>
          </w:tcPr>
          <w:p w14:paraId="619A205C">
            <w:r>
              <w:t>Dec 2029</w:t>
            </w:r>
          </w:p>
        </w:tc>
        <w:tc>
          <w:tcPr>
            <w:tcW w:w="2160" w:type="dxa"/>
          </w:tcPr>
          <w:p w14:paraId="3D746BF9">
            <w:r>
              <w:t>Aug 2030</w:t>
            </w:r>
          </w:p>
        </w:tc>
      </w:tr>
      <w:tr w14:paraId="773B50F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4FD62F5A">
            <w:r>
              <w:t>B10 Ian Woods Road-over-Rail</w:t>
            </w:r>
          </w:p>
        </w:tc>
        <w:tc>
          <w:tcPr>
            <w:tcW w:w="2160" w:type="dxa"/>
          </w:tcPr>
          <w:p w14:paraId="13721046">
            <w:r>
              <w:t>KM 78.450</w:t>
            </w:r>
          </w:p>
        </w:tc>
        <w:tc>
          <w:tcPr>
            <w:tcW w:w="2160" w:type="dxa"/>
          </w:tcPr>
          <w:p w14:paraId="7DF7493C">
            <w:r>
              <w:t>Jan 2030</w:t>
            </w:r>
          </w:p>
        </w:tc>
        <w:tc>
          <w:tcPr>
            <w:tcW w:w="2160" w:type="dxa"/>
          </w:tcPr>
          <w:p w14:paraId="01FB4F40">
            <w:r>
              <w:t>Aug 2030</w:t>
            </w:r>
          </w:p>
        </w:tc>
      </w:tr>
    </w:tbl>
    <w:p w14:paraId="295EFE6D"/>
    <w:p w14:paraId="5773B984">
      <w:r>
        <w:br w:type="page"/>
      </w:r>
    </w:p>
    <w:p w14:paraId="3375F845">
      <w:pPr>
        <w:pStyle w:val="2"/>
      </w:pPr>
      <w:bookmarkStart w:id="14" w:name="_Toc28478"/>
      <w:r>
        <w:t>3. Proposed Construction Methodology</w:t>
      </w:r>
      <w:bookmarkEnd w:id="14"/>
    </w:p>
    <w:p w14:paraId="191FB4AF">
      <w:pPr>
        <w:pStyle w:val="3"/>
      </w:pPr>
      <w:bookmarkStart w:id="15" w:name="_Toc32024"/>
      <w:r>
        <w:t>3.1 Mobilisation and Site Establishment</w:t>
      </w:r>
      <w:bookmarkEnd w:id="15"/>
    </w:p>
    <w:p w14:paraId="1572BBF9">
      <w:r>
        <w:t>The December–January annual shutdown falls within M3 and M4. No disruptive activities — blasting, major lifts, traffic switches or large continuous pours — are scheduled during this period. Office functions, security, environmental monitoring and planning continue throughout.</w:t>
      </w:r>
    </w:p>
    <w:p w14:paraId="3ABF2B55">
      <w:r>
        <w:t>The five-month mobilisation period from 22 October 2026 to 22 March 2027 exists for one purpose: to place the contract in a state of readiness for controlled production from day one of the construction phase. Mobilisation is an active establishment programme — it is a structured programme of establishment activities that ensures the Contractor arrives at the construction commencement date with an operational site office, an accredited laboratory, a commissioned crusher, a surveyed and service-cleared first work front, accepted traffic accommodation, lodged guarantees and insurances, completed statutory appointments, a trained and medically fit workforce, and the first batch of Targeted Enterprise packages already in the market. Each month of mobilisation has defined deliverables, and completion of the mobilisation period is measured against those deliverables, not merely against the passage of time.</w:t>
      </w:r>
      <w:r>
        <w:br w:type="textWrapping"/>
      </w:r>
      <w:r>
        <w:br w:type="textWrapping"/>
      </w:r>
      <w:r>
        <w:rPr>
          <w:rStyle w:val="38"/>
          <w:rFonts w:hint="eastAsia" w:asciiTheme="minorHAnsi" w:hAnsiTheme="minorHAnsi"/>
          <w:color w:val="104862" w:themeColor="accent1" w:themeShade="BF"/>
          <w:lang w:val="en-US" w:eastAsia="zh-CN"/>
        </w:rPr>
        <w:t>3.1.1 Monthly Mobilisation Schedule</w:t>
      </w:r>
      <w:r>
        <w:br w:type="textWrapping"/>
      </w:r>
      <w:r>
        <w:br w:type="textWrapping"/>
      </w:r>
      <w:r>
        <w:t>The December–January annual shutdown falls within M3 and M4. No disruptive activities — blasting, major lifts, traffic switches or large continuous pours — are scheduled during this period. Office functions, security, environmental monitoring and planning continue throughout.</w:t>
      </w:r>
      <w:r>
        <w:br w:type="textWrapping"/>
      </w:r>
      <w:r>
        <w:br w:type="textWrapping"/>
      </w:r>
      <w:r>
        <w:rPr>
          <w:rStyle w:val="38"/>
          <w:rFonts w:hint="eastAsia" w:asciiTheme="minorHAnsi" w:hAnsiTheme="minorHAnsi"/>
          <w:color w:val="104862" w:themeColor="accent1" w:themeShade="BF"/>
          <w:lang w:val="en-US" w:eastAsia="zh-CN"/>
        </w:rPr>
        <w:t>3.1.2 Site Establishment</w:t>
      </w:r>
      <w:r>
        <w:br w:type="textWrapping"/>
      </w:r>
      <w:r>
        <w:br w:type="textWrapping"/>
      </w:r>
      <w:r>
        <w:t>The main site establishment is concentrated in the central peri-urban zone (KM 73 area), positioned to serve both the peri-urban and urban work fronts efficiently. The main site office and welfare facilities are sized for the peak workforce of approximately 1,400 personnel, with a medical room, induction hall, canteen and ablution facilities meeting statutory requirements. The Engineer’s facilities are provided in accordance with the Contract and maintained for the full contract period. The independent site laboratory is established adjacent to the main site office at a PC Sum of R48 million and must be fully accredited and operational before the first earthworks acceptance test — a non-negotiable prerequisite that drives the M3 establishment programme.</w:t>
      </w:r>
      <w:r>
        <w:br w:type="textWrapping"/>
      </w:r>
      <w:r>
        <w:br w:type="textWrapping"/>
      </w:r>
      <w:r>
        <w:t>The two crusher plants are located adjacent to the major hard cuttings in the peri-urban zone, each with its own pad, access road, utility connections, dust suppression, stormwater controls, safety exclusion zones and stockpile zoning. Plant 1 is commissioned during M4 with trial production complete before the end of M5; Plant 2 follows to maintain material supply continuity and provide production redundancy. The plant yard and workshop are established with a fuel depot, maintenance bay, wash bay and security controls, positioned for rapid deployment of earthworks fleet to any work front. The explosives magazine is sited at an isolated location per DMRE requirements and licensed before any blasting commences.</w:t>
      </w:r>
      <w:r>
        <w:br w:type="textWrapping"/>
      </w:r>
      <w:r>
        <w:br w:type="textWrapping"/>
      </w:r>
      <w:r>
        <w:t>PPE stores hold baseline, visitor and task-specific personal protective equipment with issue records and replacement stock available before any work-front mobilisation. Traffic accommodation stores maintain signs, arrow boards, barriers, delineators, lighting, cones and emergency-response items for continuous live-route operation. Community and TE support facilities provide space for induction, training, mentoring, TE coordination, PLC liaison and records management. A site layout drawing showing all establishment components is provided as Attachment 4.</w:t>
      </w:r>
      <w:r>
        <w:br w:type="textWrapping"/>
      </w:r>
      <w:r>
        <w:br w:type="textWrapping"/>
      </w:r>
      <w:r>
        <w:rPr>
          <w:rStyle w:val="38"/>
          <w:rFonts w:hint="eastAsia" w:asciiTheme="minorHAnsi" w:hAnsiTheme="minorHAnsi"/>
          <w:color w:val="104862" w:themeColor="accent1" w:themeShade="BF"/>
          <w:lang w:val="en-US" w:eastAsia="zh-CN"/>
        </w:rPr>
        <w:t>3.1.3 Logistics and Material Supply Chain</w:t>
      </w:r>
      <w:r>
        <w:br w:type="textWrapping"/>
      </w:r>
      <w:r>
        <w:br w:type="textWrapping"/>
      </w:r>
      <w:r>
        <w:t>Material logistics are planned around a fundamental sequencing requirement: commercial fill and pavement materials must be available before the hard cuttings open, processed crushed material must be stockpiled before layerworks commences, and asphalt aggregates must be procured before surfacing begins in each section. The supply chain therefore operates on three parallel tracks. Commercial sources — borrow pits, quarries and approved suppliers — are investigated, sampled and submitted for approval during M3, with first deliveries scheduled for the opening earthworks stages. Two-stage crushing of hard cut material begins with crusher commissioning in M4–M5 and ramps up through 2027 and 2028, with processed products stockpiled by class, source, date and test status pending laboratory approval and Engineer acceptance. Asphalt aggregates, concrete aggregates, gabion rock and specialised materials are procured through the Contractor’s established supply network, with orders placed well in advance of the surfacing and structure programmes.</w:t>
      </w:r>
      <w:r>
        <w:br w:type="textWrapping"/>
      </w:r>
      <w:r>
        <w:br w:type="textWrapping"/>
      </w:r>
      <w:r>
        <w:t>Haul routes, public-road interfaces and abnormal deliveries are coordinated with the traffic accommodation plan and community liaison controls. Material traceability is maintained from source through stockpile to final work-front placement, with the independent laboratory providing the testing and hold-point regime that governs release. Monthly materials reviews confirm that approved stockpile volumes are sufficient for the next three months of planned production, providing an early warning if source approvals, crushing rates or delivery schedules require adjustment.</w:t>
      </w:r>
    </w:p>
    <w:p w14:paraId="6F85C86D">
      <w:pPr>
        <w:pStyle w:val="3"/>
      </w:pPr>
      <w:bookmarkStart w:id="16" w:name="_Toc9819"/>
      <w:r>
        <w:t>3.2 Traffic Accommodation and Road User Safety</w:t>
      </w:r>
      <w:bookmarkEnd w:id="16"/>
    </w:p>
    <w:p w14:paraId="32A34D66">
      <w:r>
        <w:t>The N2 between Viedgesville and Mthatha is a live national route carrying significant through-traffic, local commuter movement and pedestrian activity throughout the contract period. Traffic accommodation is not a background coordination item on this project; it is a full construction workstream in its own right, with dedicated method statements, resources, inspection records and Engineer approvals. Every roadworks stage is released for construction only after the temporary traffic arrangement, pedestrian provision, local access, signage, barriers, delineation and emergency access have been checked, recorded and accepted by the Engineer.</w:t>
      </w:r>
      <w:r>
        <w:br w:type="textWrapping"/>
      </w:r>
      <w:r>
        <w:br w:type="textWrapping"/>
      </w:r>
      <w:r>
        <w:t>The accommodation strategy is shaped around three distinct construction zones, each requiring a different traffic management approach.</w:t>
      </w:r>
      <w:r>
        <w:br w:type="textWrapping"/>
      </w:r>
      <w:r>
        <w:br w:type="textWrapping"/>
      </w:r>
      <w:r>
        <w:t>In the peri-urban zone (KM 65.6 to KM 78.26), work is staged across six  earthworks stages. Each stage occupies one side of the existing carriageway while two-way public traffic is maintained on the other. Traffic switches occur only after the new surfacing, temporary markings, barriers and signage on the completed side have been accepted. Temporary bypasses and diversions are constructed where the geometry of the new road requires departure from the existing alignment.</w:t>
      </w:r>
      <w:r>
        <w:br w:type="textWrapping"/>
      </w:r>
      <w:r>
        <w:br w:type="textWrapping"/>
      </w:r>
      <w:r>
        <w:t>In Urban Section 1 (KM 78.26 to KM 82.92), works are divided into four northbound-southbound pairs, each approximately 1.165 km long. Each pair is treated as a contained traffic cell: pedestrian routes, bus and taxi stopping points, residential accesses and service corridors are protected before any excavation or milling begins. The cell is not opened to completed traffic until the finished carriageway, permanent markings and signage are in place.</w:t>
      </w:r>
      <w:r>
        <w:br w:type="textWrapping"/>
      </w:r>
      <w:r>
        <w:br w:type="textWrapping"/>
      </w:r>
      <w:r>
        <w:t>In Urban Section 2 (KM 82.92 to KM 85.40), traffic controls are transferred from the Urban Section 1 system and adapted for the shorter sub-sections. The same principles of service protection, pedestrian continuity and staged release apply.</w:t>
      </w:r>
      <w:r>
        <w:br w:type="textWrapping"/>
      </w:r>
      <w:r>
        <w:br w:type="textWrapping"/>
      </w:r>
      <w:r>
        <w:t>STOP/GO operations are used only for short-duration tie-ins, abnormal deliveries, testing events or physically constrained operations. They require the Engineer’s prior approval and must remain within the maximum permitted duration. STOP/GO is not used as a routine production method.</w:t>
      </w:r>
      <w:r>
        <w:br w:type="textWrapping"/>
      </w:r>
      <w:r>
        <w:br w:type="textWrapping"/>
      </w:r>
      <w:r>
        <w:t>During the December–January annual shutdown and outside normal working hours, the safest available traffic configuration is maintained in place. No high-risk traffic switches, major closures or disruptive works are programmed during the shutdown period. The 84-day terminal float provides schedule buffer to absorb this constraint without impacting the Taking Over Certificate milestone.</w:t>
      </w:r>
      <w:r>
        <w:br w:type="textWrapping"/>
      </w:r>
      <w:r>
        <w:br w:type="textWrapping"/>
      </w:r>
      <w:r>
        <w:t>Structures and lifting operations that affect the carriageway or pedestrian routes are governed by specific exclusion zones, temporary barriers, pedestrian diversions and, where required, traffic holds approved in advance of the lift.</w:t>
      </w:r>
    </w:p>
    <w:p w14:paraId="024ABB50">
      <w:r>
        <w:t>A dedicated Traffic Safety Officer is deployed full-time to oversee the live-route traffic management system. The officer reports to the Construction Manager and interfaces directly with the Engineer on all traffic-stage approvals.</w:t>
      </w:r>
      <w:r>
        <w:br w:type="textWrapping"/>
      </w:r>
      <w:r>
        <w:br w:type="textWrapping"/>
      </w:r>
      <w:r>
        <w:t>Resources include sign and arrow-board vehicles, traffic control vehicles, trained flag persons, temporary barriers, delineators, reflective markers, speed-reduction signage, pedestrian protection systems and emergency-response arrangements. Traffic accommodation stores, holding replacement signs, cones, lighting units, barrier sections and emergency items, are established during mobilisation and maintained for the full construction period.</w:t>
      </w:r>
      <w:r>
        <w:br w:type="textWrapping"/>
      </w:r>
      <w:r>
        <w:br w:type="textWrapping"/>
      </w:r>
      <w:r>
        <w:t>These resources remain assigned to each traffic stage until the Engineer formally accepts the stage, not merely until the construction crew leaves the work front. Damaged or missing traffic furniture is replaced within 24 hours to maintain the integrity of the live-route system.</w:t>
      </w:r>
    </w:p>
    <w:p w14:paraId="1FDDB4A4">
      <w:r>
        <w:t>The contract attaches significant financial penalties to traffic non-compliance. The Contractor’s site management team is briefed on these penalties at induction and they are reinforced at every traffic-stage planning meeting.</w:t>
      </w:r>
    </w:p>
    <w:p w14:paraId="508062D8">
      <w:pPr>
        <w:pStyle w:val="3"/>
      </w:pPr>
      <w:bookmarkStart w:id="17" w:name="_Toc24587"/>
      <w:r>
        <w:t>3.3 Survey, Setting Out and Existing Services Verification</w:t>
      </w:r>
      <w:bookmarkEnd w:id="17"/>
    </w:p>
    <w:p w14:paraId="3A5FAB43">
      <w:r>
        <w:t>The urban sections contain 294 recorded services (Appendix 11). A full-coverage GPR survey is commissioned before excavation begins. Within 2 metres of any confirmed service, excavation proceeds exclusively by hand under a dedicated Services Safety Officer. Eskom cable relocation (180 underground cables, 8 overhead lines) carries an 8-12 month lead cycle and is the critical path for urban construction. Wayleave applications are submitted within 60 days of Commencement. Stormwater data is absent; supplementary survey is commissioned and hand-excavation with GPR is maintained until verified. Any unrecorded services discovered are treated as Variations.</w:t>
      </w:r>
    </w:p>
    <w:p w14:paraId="27017F08">
      <w:pPr>
        <w:pStyle w:val="3"/>
      </w:pPr>
      <w:bookmarkStart w:id="18" w:name="_Toc18627"/>
      <w:r>
        <w:t>3.4 Clearing, Grubbing and Site Preparation</w:t>
      </w:r>
      <w:bookmarkEnd w:id="18"/>
    </w:p>
    <w:p w14:paraId="42B442B7">
      <w:r>
        <w:t>Vegetation clearing and topsoil stripping are performed ahead of earthworks in each section. Topsoil is stripped separately and stockpiled at low height for rehabilitation use. Alien invasive species are identified and removed per the EMPr. Pre-clearance surveys for protected plant species are conducted by the DEO. Clearing limits are demarcated and no vegetation outside the approved corridor is disturbed. Erosion and sediment controls are installed immediately after clearing.</w:t>
      </w:r>
    </w:p>
    <w:p w14:paraId="344E2790">
      <w:pPr>
        <w:pStyle w:val="3"/>
      </w:pPr>
      <w:bookmarkStart w:id="19" w:name="_Toc27314"/>
      <w:r>
        <w:t>3.5 Earthworks and Subgrade Preparation</w:t>
      </w:r>
      <w:bookmarkEnd w:id="19"/>
    </w:p>
    <w:p w14:paraId="34B23589">
      <w:r>
        <w:t>The earthworks strategy is driven by the geology of the route, which passes through alternating sandstone, mudstone and colluvial deposits between Viedgesville and Mthatha. Earthworks are classified as soft excavation (colluvium, weathered overburden and residual soil that can be ripped by dozer or excavated without blasting) and hard excavation (competent sandstone and mudstone requiring controlled blasting). Hard excavation is concentrated in the deeper cuttings of the peri-urban zone, particularly in the KM 65.6 to KM 73.3 corridor where cut heights exceed 8 to 12 metres in places.</w:t>
      </w:r>
      <w:r>
        <w:br w:type="textWrapping"/>
      </w:r>
      <w:r>
        <w:br w:type="textWrapping"/>
      </w:r>
      <w:r>
        <w:t>Soft excavation is handled by conventional ripping with dozers and loading into ADTs for haulage to adjacent fill areas or designated spoil sites. Material classification is confirmed by the Engineer before excavation commences, and the Contractor maintains separate records for soft and hard excavation quantities to support claims and progress measurement.</w:t>
      </w:r>
      <w:r>
        <w:br w:type="textWrapping"/>
      </w:r>
      <w:r>
        <w:br w:type="textWrapping"/>
      </w:r>
      <w:r>
        <w:rPr>
          <w:rStyle w:val="38"/>
          <w:rFonts w:hint="eastAsia" w:asciiTheme="minorHAnsi" w:hAnsiTheme="minorHAnsi"/>
          <w:color w:val="104862" w:themeColor="accent1" w:themeShade="BF"/>
          <w:lang w:val="en-US" w:eastAsia="zh-CN"/>
        </w:rPr>
        <w:t>3.5.1 Controlled Blasting and Pre-Splitting</w:t>
      </w:r>
    </w:p>
    <w:p w14:paraId="2D4A11CA">
      <w:r>
        <w:t>Controlled blasting is the principal hard-rock excavation method. All blasting is performed under the direct supervision of the Mine Manager appointed under the Mine Health and Safety Act, using licensed shotfirers holding valid DMRE Blasting Certificates of Competency.</w:t>
      </w:r>
      <w:r>
        <w:br w:type="textWrapping"/>
      </w:r>
      <w:r>
        <w:br w:type="textWrapping"/>
      </w:r>
      <w:r>
        <w:t>A pre-splitting technique is employed along all final cut faces to produce a clean, stable slope before bulk production blasting proceeds. Pre-split holes are drilled to the designed slope angle (typically 80 degrees in rock) at close spacing and detonated before the production blast, creating a fracture plane that limits overbreak and protects the final face from damage. After each production blast, the face is scaled, cleaned and inspected before any further work or support is applied.</w:t>
      </w:r>
      <w:r>
        <w:br w:type="textWrapping"/>
      </w:r>
      <w:r>
        <w:br w:type="textWrapping"/>
      </w:r>
      <w:r>
        <w:t>Blasting exclusion zones, pre-blast condition surveys, vibration monitoring, siren warning protocols and post-blast inspections are described in Section 11.2.2. The blasting methodology complies with the DMRE 2024 Code of Practice for the use of explosives in surface mining and civil construction.</w:t>
      </w:r>
    </w:p>
    <w:p w14:paraId="076854F6">
      <w:r>
        <w:t>The two-stage crushing strategy is central to the earthworks methodology. Two mobile two-stage crushing plants are established on site between 05 February 2027 and 05 May 2027, each comprising a primary jaw crusher, secondary cone crusher and integrated screening unit. The combined output processes approximately 122,700 m3 of suitable hard cut material into approved products for selected subgrade layers, capping or pioneer layers, culvert bedding and backfill, and other accepted uses.</w:t>
      </w:r>
      <w:r>
        <w:br w:type="textWrapping"/>
      </w:r>
      <w:r>
        <w:br w:type="textWrapping"/>
      </w:r>
      <w:r>
        <w:t>Each production line is established as a self-contained mobile processing line. The primary jaw crusher receives blasted or ripped rock and reduces oversize feed, with dust suppression, safe exclusion zones and daily wear inspections. The secondary cone crusher produces the required reduced grading before screening, with closed-side setting adjusted to product requirements and confirmed by grading tests. Feed excavators and loaders manage stockpiles and load approved product, with stockpile zoning by source, product class, test status and approval status. Water carts and dust controls operate at feed hoppers, conveyors and stockpiles under environmental and MHSA controls.</w:t>
      </w:r>
    </w:p>
    <w:p w14:paraId="763FDA1C">
      <w:r>
        <w:t>Earthworks fill is placed in controlled layers not exceeding 150 mm compacted thickness, with moisture conditioning to within plus or minus 2% of optimum and compaction to the specified density (93% to 98% Modified AASHTO depending on layer class). Fill areas are crowned with a minimum 2% crossfall before the wet season to promote runoff and protect partially completed earthworks. The haul fleet peaks at 84 ADTs supported by 16 excavators, 20 graders and 22 water carts as shown by the  Plant Histogram.</w:t>
      </w:r>
    </w:p>
    <w:p w14:paraId="35104EC0">
      <w:pPr>
        <w:pStyle w:val="3"/>
      </w:pPr>
      <w:bookmarkStart w:id="20" w:name="_Toc22611"/>
      <w:r>
        <w:t>3.6 Drainage and Culvert Works</w:t>
      </w:r>
      <w:bookmarkEnd w:id="20"/>
    </w:p>
    <w:p w14:paraId="3849477A">
      <w:r>
        <w:t>Drainage construction runs ahead of pavement works in every section, ensuring that subsoil drains, side drains and outfalls are functional before fill placement or layer construction begins. This drainage-first strategy is fundamental to earthworks quality: fill placed over poorly drained formations is at risk of moisture-related failure, and pavement layers placed over incomplete drainage are vulnerable to water damage.</w:t>
      </w:r>
      <w:r>
        <w:br w:type="textWrapping"/>
      </w:r>
      <w:r>
        <w:br w:type="textWrapping"/>
      </w:r>
      <w:r>
        <w:t>The drainage scope includes pipe culverts, box culverts, subsoil drains, side drains, median drains, chute drains and headwall or wing-wall structures. Culvert construction follows a disciplined sequence: excavation to formation level with appropriate trench support, foundation preparation and compaction, bedding placement, pipe or precast unit installation, joint treatment, wing-wall and headwall construction, backfill in controlled layers and compaction around the structure.</w:t>
      </w:r>
      <w:r>
        <w:br w:type="textWrapping"/>
      </w:r>
      <w:r>
        <w:br w:type="textWrapping"/>
      </w:r>
      <w:r>
        <w:t>No culvert is backfilled until concrete strength, dimensional checks, joint records and Engineer hold points are complete. Temporary drainage is maintained around all open excavations to prevent flooding and trench instability, with dewatering pumps held on standby where ground conditions require. Sheet-piling or battering of trench walls is used in wet or unstable ground. Drainage construction is programmed to complete before each wet season, with open sections audited in September each year to confirm that functional drainage is in place before October rainfall.</w:t>
      </w:r>
    </w:p>
    <w:p w14:paraId="345F5116">
      <w:r>
        <w:t>Twenty-one watercourse crossings are identified (5 major waterways, 9 minor, 7 wetland). All in-watercourse works are restricted to the May-August dry-season window. Temporary diversions with sandbag cofferdams maintain hydraulic capacity during construction. GA conditions require upstream-to-downstream working, 35m buffer zones, and 1:100-year flood line exclusion for camps and storage. Water quality is monitored weekly. Precast culvert installation follows: diversion, cofferdam, dewatering, foundation, bedding, unit placement, joints, headwalls, backfill (after 20 MPa confirmed), and reinstatement.</w:t>
      </w:r>
    </w:p>
    <w:p w14:paraId="3E1F9184">
      <w:pPr>
        <w:pStyle w:val="3"/>
      </w:pPr>
      <w:bookmarkStart w:id="21" w:name="_Toc7702"/>
      <w:r>
        <w:t>3.7 Pavement Layerworks</w:t>
      </w:r>
      <w:bookmarkEnd w:id="21"/>
    </w:p>
    <w:p w14:paraId="201AEE47">
      <w:r>
        <w:t>The pavement is constructed from the bottom up in a controlled layer sequence: G7 selected subgrade, G6 subbase, G5A base (or MC-NME stabilised layer where instructed), G1 crushed stone base course, and asphalt surfacing. Each layer is placed only after the underlying layer has been tested, accepted and released by the Engineer through the SARDS-linked inspection and test plan system.</w:t>
      </w:r>
      <w:r>
        <w:br w:type="textWrapping"/>
      </w:r>
      <w:r>
        <w:br w:type="textWrapping"/>
      </w:r>
      <w:r>
        <w:rPr>
          <w:rStyle w:val="38"/>
          <w:rFonts w:hint="eastAsia" w:asciiTheme="minorHAnsi" w:hAnsiTheme="minorHAnsi"/>
          <w:color w:val="104862" w:themeColor="accent1" w:themeShade="BF"/>
          <w:lang w:val="en-US" w:eastAsia="zh-CN"/>
        </w:rPr>
        <w:t>3.7.1 MC-NME Cold In-Situ Stabilisation</w:t>
      </w:r>
      <w:r>
        <w:br w:type="textWrapping"/>
      </w:r>
      <w:r>
        <w:br w:type="textWrapping"/>
      </w:r>
      <w:r>
        <w:t>Where the design instructs the use of cold in-situ stabilisation with MC-NME (material-compatible nano modified emulsion), the process is treated as a controlled pavement operation, not as a general substitute for conventional layers. The host material mineralogy is confirmed by XRD analysis to ensure chemical compatibility with the anionic nano-silane modifier. A full mix design is produced by the independent laboratory, determining the optimum MC-NME application rate, optimum moisture content and target density.</w:t>
      </w:r>
      <w:r>
        <w:br w:type="textWrapping"/>
      </w:r>
      <w:r>
        <w:br w:type="textWrapping"/>
      </w:r>
      <w:r>
        <w:t>A trial section of at least 200 metres is constructed and approved before any production stabilisation begins. The MC-NME application rate, moisture conditioning, mixing, shaping, compaction and curing follow TRH24 recommended practice. Wet ITS and retained tensile strength are verified against the specification, with ITSwet exceeding 120 kPa and retained tensile strength exceeding 80%. The MC-NME supplier provides a compatibility certificate based on XRD analysis and guarantees minimum 4-month product stability on site.</w:t>
      </w:r>
      <w:r>
        <w:br w:type="textWrapping"/>
      </w:r>
      <w:r>
        <w:br w:type="textWrapping"/>
      </w:r>
      <w:r>
        <w:t>MC-NME is a complementary stabilisation method for upgrading naturally available materials in lower pavement layers and on access roads. It is not a replacement for G1 crushed stone base on the mainline dual carriageway.</w:t>
      </w:r>
      <w:r>
        <w:br w:type="textWrapping"/>
      </w:r>
      <w:r>
        <w:br w:type="textWrapping"/>
      </w:r>
      <w:r>
        <w:rPr>
          <w:rStyle w:val="38"/>
          <w:rFonts w:hint="eastAsia" w:asciiTheme="minorHAnsi" w:hAnsiTheme="minorHAnsi"/>
          <w:color w:val="104862" w:themeColor="accent1" w:themeShade="BF"/>
          <w:lang w:val="en-US" w:eastAsia="zh-CN"/>
        </w:rPr>
        <w:t>3.7.2 G1 Base Course</w:t>
      </w:r>
      <w:r>
        <w:br w:type="textWrapping"/>
      </w:r>
      <w:r>
        <w:br w:type="textWrapping"/>
      </w:r>
      <w:r>
        <w:t>G1 crushed stone base course remains mandatory for the mainline dual carriageway wherever the design calls for it. All G1 acceptance criteria are treated as mandatory per the COTO amendment to clause A5.3.7.8, including grading, PI, CBR, density and particle shape requirements. Compaction standards follow COTO Chapter 5, with density testing performed at the frequencies required by the specification and evaluated statistically through SARDS.</w:t>
      </w:r>
      <w:r>
        <w:br w:type="textWrapping"/>
      </w:r>
      <w:r>
        <w:br w:type="textWrapping"/>
      </w:r>
      <w:r>
        <w:rPr>
          <w:rStyle w:val="38"/>
          <w:rFonts w:hint="eastAsia" w:asciiTheme="minorHAnsi" w:hAnsiTheme="minorHAnsi"/>
          <w:color w:val="104862" w:themeColor="accent1" w:themeShade="BF"/>
          <w:lang w:val="en-US" w:eastAsia="zh-CN"/>
        </w:rPr>
        <w:t>3.7.3 Asphalt Surfacing</w:t>
      </w:r>
      <w:r>
        <w:br w:type="textWrapping"/>
      </w:r>
      <w:r>
        <w:br w:type="textWrapping"/>
      </w:r>
      <w:r>
        <w:t>Asphalt surfacing is laid only on dry, clean, prime-coated base surfaces when ambient and surface temperatures meet specification. Temperature monitoring is continuous during paving: laying temperature is maintained above 140 degrees Celsius and compaction commences above 100 degrees Celsius. Density is verified by coring, with cores taken close to joints as required by COTO clause A9.1.8.8(a). Surface texture is verified by sand-patch testing and profilometer assessment against the IRI payment bracket system. The mix design is re-validated whenever a binder supplier change occurs, per COTO clause A9.1.4.3.</w:t>
      </w:r>
      <w:r>
        <w:br w:type="textWrapping"/>
      </w:r>
      <w:r>
        <w:br w:type="textWrapping"/>
      </w:r>
      <w:r>
        <w:t>A transfer vehicle is used per COTO clause A9.1.6.8 to ensure continuous paver feed and minimise temperature segregation. Ride quality is assessed by profilometer after sweeping, with adjustment coefficients applied for rehabilitated base, rehabilitated plus new base, and new pavement conditions.</w:t>
      </w:r>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80"/>
        <w:gridCol w:w="2880"/>
        <w:gridCol w:w="2880"/>
      </w:tblGrid>
      <w:tr w14:paraId="6244488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7AADD830">
            <w:r>
              <w:rPr>
                <w:b/>
              </w:rPr>
              <w:t>Layer / Operation</w:t>
            </w:r>
          </w:p>
        </w:tc>
        <w:tc>
          <w:tcPr>
            <w:tcW w:w="2880" w:type="dxa"/>
          </w:tcPr>
          <w:p w14:paraId="0B3D99B2">
            <w:r>
              <w:rPr>
                <w:b/>
              </w:rPr>
              <w:t>BOQ V11 Basis</w:t>
            </w:r>
          </w:p>
        </w:tc>
        <w:tc>
          <w:tcPr>
            <w:tcW w:w="2880" w:type="dxa"/>
          </w:tcPr>
          <w:p w14:paraId="4195EC8A">
            <w:r>
              <w:rPr>
                <w:b/>
              </w:rPr>
              <w:t>Method and Key Controls</w:t>
            </w:r>
          </w:p>
        </w:tc>
      </w:tr>
      <w:tr w14:paraId="4B772BE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483179E">
            <w:r>
              <w:t>G7 lower selected layer</w:t>
            </w:r>
          </w:p>
        </w:tc>
        <w:tc>
          <w:tcPr>
            <w:tcW w:w="2880" w:type="dxa"/>
          </w:tcPr>
          <w:p w14:paraId="679F507E">
            <w:r>
              <w:t>Per work front schedule</w:t>
            </w:r>
          </w:p>
        </w:tc>
        <w:tc>
          <w:tcPr>
            <w:tcW w:w="2880" w:type="dxa"/>
          </w:tcPr>
          <w:p w14:paraId="70ED147A">
            <w:r>
              <w:t>Spread, moisture condition, compact to 95% MDD; verify grading and PI; 150mm max layer thickness</w:t>
            </w:r>
          </w:p>
        </w:tc>
      </w:tr>
      <w:tr w14:paraId="179C0BB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2410647C">
            <w:r>
              <w:t>G6 upper selected layer</w:t>
            </w:r>
          </w:p>
        </w:tc>
        <w:tc>
          <w:tcPr>
            <w:tcW w:w="2880" w:type="dxa"/>
          </w:tcPr>
          <w:p w14:paraId="01702B33">
            <w:r>
              <w:t>Per work front schedule</w:t>
            </w:r>
          </w:p>
        </w:tc>
        <w:tc>
          <w:tcPr>
            <w:tcW w:w="2880" w:type="dxa"/>
          </w:tcPr>
          <w:p w14:paraId="6B7571FF">
            <w:r>
              <w:t>Place on accepted G7; compact to 95% MDD; maintain drainage; thickness and level control</w:t>
            </w:r>
          </w:p>
        </w:tc>
      </w:tr>
      <w:tr w14:paraId="32193D3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43E53D8C">
            <w:r>
              <w:t>G5A subbase / base</w:t>
            </w:r>
          </w:p>
        </w:tc>
        <w:tc>
          <w:tcPr>
            <w:tcW w:w="2880" w:type="dxa"/>
          </w:tcPr>
          <w:p w14:paraId="1889E0B2">
            <w:r>
              <w:t>Per work front schedule</w:t>
            </w:r>
          </w:p>
        </w:tc>
        <w:tc>
          <w:tcPr>
            <w:tcW w:w="2880" w:type="dxa"/>
          </w:tcPr>
          <w:p w14:paraId="6194D3CF">
            <w:r>
              <w:t>Import or crushed product; compact to 97% MDD; verify grading, PI and strength</w:t>
            </w:r>
          </w:p>
        </w:tc>
      </w:tr>
      <w:tr w14:paraId="5359F6B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2A08A6A4">
            <w:r>
              <w:t>MC-NME stabilised layer</w:t>
            </w:r>
          </w:p>
        </w:tc>
        <w:tc>
          <w:tcPr>
            <w:tcW w:w="2880" w:type="dxa"/>
          </w:tcPr>
          <w:p w14:paraId="1900998B">
            <w:r>
              <w:t>Where instructed by design</w:t>
            </w:r>
          </w:p>
        </w:tc>
        <w:tc>
          <w:tcPr>
            <w:tcW w:w="2880" w:type="dxa"/>
          </w:tcPr>
          <w:p w14:paraId="3CE275BD">
            <w:r>
              <w:t>Mix design approval, 200m trial section, emulsion content control, UCS and wet ITS testing</w:t>
            </w:r>
          </w:p>
        </w:tc>
      </w:tr>
      <w:tr w14:paraId="42B8351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01FD8AEC">
            <w:r>
              <w:t>G1 crushed stone base</w:t>
            </w:r>
          </w:p>
        </w:tc>
        <w:tc>
          <w:tcPr>
            <w:tcW w:w="2880" w:type="dxa"/>
          </w:tcPr>
          <w:p w14:paraId="75689B24">
            <w:r>
              <w:t>C5.5.8.2: 21,000 m³</w:t>
            </w:r>
          </w:p>
        </w:tc>
        <w:tc>
          <w:tcPr>
            <w:tcW w:w="2880" w:type="dxa"/>
          </w:tcPr>
          <w:p w14:paraId="0319267C">
            <w:r>
              <w:t>200mm nominal depth; 98% MDD; cross-mixing; grading, PI and shape compliance per COTO A5.3.7.8</w:t>
            </w:r>
          </w:p>
        </w:tc>
      </w:tr>
      <w:tr w14:paraId="10AE2EA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4E729551">
            <w:r>
              <w:t>Prime coat / tack coat</w:t>
            </w:r>
          </w:p>
        </w:tc>
        <w:tc>
          <w:tcPr>
            <w:tcW w:w="2880" w:type="dxa"/>
          </w:tcPr>
          <w:p w14:paraId="291020E4">
            <w:r>
              <w:t>C9.1.3: 542,800 ℓ</w:t>
            </w:r>
          </w:p>
        </w:tc>
        <w:tc>
          <w:tcPr>
            <w:tcW w:w="2880" w:type="dxa"/>
          </w:tcPr>
          <w:p w14:paraId="061478FB">
            <w:r>
              <w:t>Stable-grade emulsion; calibrated spreader; restricted area hand-spray; joint treatment</w:t>
            </w:r>
          </w:p>
        </w:tc>
      </w:tr>
    </w:tbl>
    <w:p w14:paraId="2E7EE596">
      <w:r>
        <w:t>Where the design instructs the use of cold in-situ stabilisation with MC-NME (material-compatible nano modified emulsion), the process is treated as a controlled pavement operation, not as a general substitute for conventional layers. The host material mineralogy is confirmed by XRD analysis to ensure chemical compatibility with the anionic nano-silane modifier. A full mix design is produced by the independent laboratory, determining the optimum MC-NME application rate, optimum moisture content and target density.</w:t>
      </w:r>
      <w:r>
        <w:br w:type="textWrapping"/>
      </w:r>
      <w:r>
        <w:br w:type="textWrapping"/>
      </w:r>
      <w:r>
        <w:t>A trial section of at least 200 metres is constructed and approved before any production stabilisation begins. The MC-NME application rate, moisture conditioning, mixing, shaping, compaction and curing follow TRH24 recommended practice. Wet ITS and retained tensile strength are verified against the specification, with ITSwet exceeding 120 kPa and retained tensile strength exceeding 80%. The MC-NME supplier provides a compatibility certificate based on XRD analysis and guarantees minimum 4-month product stability on site.</w:t>
      </w:r>
      <w:r>
        <w:br w:type="textWrapping"/>
      </w:r>
      <w:r>
        <w:br w:type="textWrapping"/>
      </w:r>
      <w:r>
        <w:t>MC-NME is a complementary stabilisation method for upgrading naturally available materials in lower pavement layers and on access roads. It is not a replacement for G1 crushed stone base on the mainline dual carriageway.</w:t>
      </w:r>
    </w:p>
    <w:p w14:paraId="10AF008D">
      <w:r>
        <w:t>G1 crushed stone base course remains mandatory for the mainline dual carriageway wherever the design calls for it. All G1 acceptance criteria are treated as mandatory per the COTO amendment to clause A5.3.7.8, including grading, PI, CBR, density and particle shape requirements. Compaction standards follow COTO Chapter 5, with density testing performed at the frequencies required by the specification and evaluated statistically through SARDS.</w:t>
      </w:r>
    </w:p>
    <w:p w14:paraId="599C8AA0">
      <w:pPr>
        <w:pStyle w:val="3"/>
      </w:pPr>
      <w:bookmarkStart w:id="22" w:name="_Toc17927"/>
      <w:r>
        <w:t>3.8 Asphalt and Surfacing Works</w:t>
      </w:r>
      <w:bookmarkEnd w:id="22"/>
    </w:p>
    <w:p w14:paraId="6C1133A6">
      <w:r>
        <w:t>Asphalt surfacing is laid only on dry, clean, prime-coated base surfaces when ambient and surface temperatures meet specification. Temperature monitoring is continuous during paving: laying temperature is maintained above 140 degrees Celsius and compaction commences above 100 degrees Celsius. Density is verified by coring, with cores taken close to joints as required by COTO clause A9.1.8.8(a). Surface texture is verified by sand-patch testing and profilometer assessment against the IRI payment bracket system. The mix design is re-validated whenever a binder supplier change occurs, per COTO clause A9.1.4.3.</w:t>
      </w:r>
      <w:r>
        <w:br w:type="textWrapping"/>
      </w:r>
      <w:r>
        <w:br w:type="textWrapping"/>
      </w:r>
      <w:r>
        <w:t>A transfer vehicle is used per COTO clause A9.1.6.8 to ensure continuous paver feed and minimise temperature segregation. Ride quality is assessed by profilometer after sweeping, with adjustment coefficients applied for rehabilitated base, rehabilitated plus new base, and new pavement conditions.</w:t>
      </w:r>
    </w:p>
    <w:p w14:paraId="6759328D">
      <w:r>
        <w:t>The Enrobes a Module Eleve (EME) asphalt base is a high-modulus mix used exclusively in the urban sections (KM 78.26 to KM 85.40), where pavement depth is constrained by existing services and access levels. EME is characterised by a stiffness modulus exceeding 14,000 MPa and a void content below 6%, delivering superior structural capacity within a reduced layer thickness of 100 to 140 mm.</w:t>
      </w:r>
      <w:r>
        <w:br w:type="textWrapping"/>
      </w:r>
      <w:r>
        <w:br w:type="textWrapping"/>
      </w:r>
      <w:r>
        <w:t>A dedicated mix design is submitted during the mobilisation period, supported by binder characterisation, aggregate grading verification, stiffness modulus testing, fatigue resistance assessment and water sensitivity evaluation (ITSR greater than 80%). Approximately 3,000 tonnes of high-modulus binder are reserved with a national supplier and transported under cold-chain protocols with heated storage on site. The aggregate source is an approved quarry producing 14 mm nominal aggregate meeting the EME grading envelope, with continuous quality monitoring.</w:t>
      </w:r>
      <w:r>
        <w:br w:type="textWrapping"/>
      </w:r>
      <w:r>
        <w:br w:type="textWrapping"/>
      </w:r>
      <w:r>
        <w:t>A trial section of at least 200 metres is constructed and approved before full-scale production. Production paving uses a tracked paver with screed heating, and the compaction train follows a disciplined sequence: breakdown rolling with vibratory steel drum (8 to 12 passes), intermediate rolling with pneumatic-tyred or steel drum (4 to 6 passes), and finish rolling with static steel drum (2 to 4 passes). Density is verified by coring to exceed 97% of Marshall maximum density, and stiffness testing confirms the 14,000 MPa modulus target. Quality acceptance extends to core density, void analysis, temperature records, layer thickness verification, surface regularity assessment and water sensitivity testing.</w:t>
      </w:r>
      <w:r>
        <w:br w:type="textWrapping"/>
      </w:r>
      <w:r>
        <w:br w:type="textWrapping"/>
      </w:r>
      <w:r>
        <w:t>EME asphalt base is placed over the approved underlying layers (MC-NME stabilised sub-base or conventional crushed stone base). The interface is controlled by tack coat application rate, surface cleanliness and temperature of the underlying layer. Where EME and conventional asphalt sections adjoin, a transition detail ensures compatible stiffness and joint performance.</w:t>
      </w:r>
    </w:p>
    <w:p w14:paraId="562E2A4E">
      <w:pPr>
        <w:pStyle w:val="3"/>
      </w:pPr>
      <w:bookmarkStart w:id="23" w:name="_Toc13049"/>
      <w:r>
        <w:t>3.9 Structures, MSE Retaining Walls and Shotcrete</w:t>
      </w:r>
      <w:bookmarkEnd w:id="23"/>
    </w:p>
    <w:p w14:paraId="01AF99D0">
      <w:r>
        <w:t>The structures scope comprises 10 bridges and 4 major culverts, programmed concurrently with the adjacent road sections so that structure completion does not delay pavement release. The bridge programme is staged across the full construction period, with the earliest structures starting in 2027 and the final structures completing in late 2030.</w:t>
      </w:r>
      <w:r>
        <w:br w:type="textWrapping"/>
      </w:r>
      <w:r>
        <w:br w:type="textWrapping"/>
      </w:r>
      <w:r>
        <w:rPr>
          <w:rStyle w:val="38"/>
          <w:rFonts w:hint="eastAsia" w:asciiTheme="minorHAnsi" w:hAnsiTheme="minorHAnsi"/>
          <w:color w:val="104862" w:themeColor="accent1" w:themeShade="BF"/>
          <w:lang w:val="en-US" w:eastAsia="zh-CN"/>
        </w:rPr>
        <w:t>3.9.1 Bridge Construction Methodology</w:t>
      </w:r>
      <w:r>
        <w:br w:type="textWrapping"/>
      </w:r>
      <w:r>
        <w:br w:type="textWrapping"/>
      </w:r>
      <w:r>
        <w:t>Pedestrian overpass bridges follow a consistent methodology. Foundations and substructures are constructed in situ using conventional formwork, reinforcement and concrete placement. Precast concrete members are manufactured off site or in an approved yard, released by QA records, transported under lifting plans and erected under approved crane plans and traffic controls. Addendum No.3 confirms the Schedule of Quantities for precast items C13.4.9 and C13.4.11, and the CMS plans precast manufacture, delivery, lifting and erection as explicit bridge activities.</w:t>
      </w:r>
      <w:r>
        <w:br w:type="textWrapping"/>
      </w:r>
      <w:r>
        <w:br w:type="textWrapping"/>
      </w:r>
      <w:r>
        <w:t>Underpass bridges and portal structures are constructed by sequenced excavation, temporary drainage, foundation preparation, in-situ concrete or precast unit placement, backfill and approach works aligned with the adjacent roadworks and drainage stages. Excavation support, dewatering and safe access are designed for each structure’s specific ground conditions.</w:t>
      </w:r>
      <w:r>
        <w:br w:type="textWrapping"/>
      </w:r>
      <w:r>
        <w:br w:type="textWrapping"/>
      </w:r>
      <w:r>
        <w:t>The B10 Ian Woods road-over-rail bridge at KM 78.450 is a distinct work item requiring rail authority approvals, track possessions, protection arrangements, lifting plans and work-at-height controls. These are programmed as long-lead constraints, and rail-interface work does not begin until all approvals are in place. Lifting over or adjacent to the rail corridor requires specific permits, exclusion zones and possession windows coordinated with the rail operator.</w:t>
      </w:r>
      <w:r>
        <w:br w:type="textWrapping"/>
      </w:r>
      <w:r>
        <w:br w:type="textWrapping"/>
      </w:r>
      <w:r>
        <w:t>Bridge B10 (Ian Woods road-over-rail) requires TFR Rail Protection Agreement, rail possession windows (22:00-04:00, ~4 productive hours per window), and a dedicated Rail Protection Officer. Beam erection method is determined during detailed design with full off-site simulation. Supplementary geotechnical investigation is commissioned within 3 months of Commencement. A minimum 6-month programme float is reserved for B10.</w:t>
      </w:r>
      <w:r>
        <w:br w:type="textWrapping"/>
      </w:r>
      <w:r>
        <w:br w:type="textWrapping"/>
      </w:r>
      <w:r>
        <w:t>Two structural teams operate at peak, each comprising a structures foreman, survey support, formwork crew, rebar crew, concrete crew, lifting supervisor and craneage as required, with dedicated QA and HSE coverage. Precast manufacture and erection are managed as separate supply-chain activities with their own inspection, transport and lifting records. Concrete, reinforcement, precast manufacture, bearings, joints, lifting points, grouting, curing and as-built dimensions are controlled through inspection and test plans and Engineer hold points.</w:t>
      </w:r>
      <w:r>
        <w:br w:type="textWrapping"/>
      </w:r>
      <w:r>
        <w:rPr>
          <w:rStyle w:val="38"/>
          <w:rFonts w:hint="eastAsia" w:asciiTheme="minorHAnsi" w:hAnsiTheme="minorHAnsi"/>
          <w:color w:val="104862" w:themeColor="accent1" w:themeShade="BF"/>
          <w:lang w:val="en-US" w:eastAsia="zh-CN"/>
        </w:rPr>
        <w:br w:type="textWrapping"/>
      </w:r>
      <w:r>
        <w:rPr>
          <w:rStyle w:val="38"/>
          <w:rFonts w:hint="eastAsia" w:asciiTheme="minorHAnsi" w:hAnsiTheme="minorHAnsi"/>
          <w:color w:val="104862" w:themeColor="accent1" w:themeShade="BF"/>
          <w:lang w:val="en-US" w:eastAsia="zh-CN"/>
        </w:rPr>
        <w:t>3.9.2 Culvert Construction</w:t>
      </w:r>
      <w:r>
        <w:rPr>
          <w:rStyle w:val="38"/>
          <w:rFonts w:hint="eastAsia" w:asciiTheme="minorHAnsi" w:hAnsiTheme="minorHAnsi"/>
          <w:color w:val="104862" w:themeColor="accent1" w:themeShade="BF"/>
          <w:lang w:val="en-US" w:eastAsia="zh-CN"/>
        </w:rPr>
        <w:br w:type="textWrapping"/>
      </w:r>
      <w:r>
        <w:br w:type="textWrapping"/>
      </w:r>
      <w:r>
        <w:t>Four major culvert and access structures are included in the  structures programme. Culvert construction follows the adjacent roadworks stage and is planned around traffic accommodation, temporary drainage and safe access. The method includes excavation, foundation preparation, bedding, in-situ concrete or precast unit placement as specified, joint treatment, wing walls and headwalls, backfill, compaction and reinstatement. No culvert is backfilled until concrete strength, dimensional checks, joint records and Engineer hold points are complete.</w:t>
      </w:r>
    </w:p>
    <w:p w14:paraId="7C03120E">
      <w:r>
        <w:t>Pedestrian overpass bridges follow a consistent methodology. Foundations and substructures are constructed in situ using conventional formwork, reinforcement and concrete placement. Precast concrete members are manufactured off site or in an approved yard, released by QA records, transported under lifting plans and erected under approved crane plans and traffic controls. Addendum No.3 confirms the Schedule of Quantities for precast items C13.4.9 and C13.4.11, and the CMS plans precast manufacture, delivery, lifting and erection as explicit bridge activities.</w:t>
      </w:r>
      <w:r>
        <w:br w:type="textWrapping"/>
      </w:r>
      <w:r>
        <w:br w:type="textWrapping"/>
      </w:r>
      <w:r>
        <w:t>Underpass bridges and portal structures are constructed by sequenced excavation, temporary drainage, foundation preparation, in-situ concrete or precast unit placement, backfill and approach works aligned with the adjacent roadworks and drainage stages. Excavation support, dewatering and safe access are designed for each structure’s specific ground conditions.</w:t>
      </w:r>
      <w:r>
        <w:br w:type="textWrapping"/>
      </w:r>
      <w:r>
        <w:br w:type="textWrapping"/>
      </w:r>
      <w:r>
        <w:t>The B10 Ian Woods road-over-rail bridge at KM 78.450 is a distinct work item requiring rail authority approvals, track possessions, protection arrangements, lifting plans and work-at-height controls. These are programmed as long-lead constraints, and rail-interface work does not begin until all approvals are in place. Lifting over or adjacent to the rail corridor requires specific permits, exclusion zones and possession windows coordinated with the rail operator.</w:t>
      </w:r>
      <w:r>
        <w:br w:type="textWrapping"/>
      </w:r>
      <w:r>
        <w:br w:type="textWrapping"/>
      </w:r>
      <w:r>
        <w:t>Bridge B10 (Ian Woods road-over-rail) requires TFR Rail Protection Agreement, rail possession windows (22:00-04:00, ~4 productive hours per window), and a dedicated Rail Protection Officer. Beam erection method is determined during detailed design with full off-site simulation. Supplementary geotechnical investigation is commissioned within 3 months of Commencement. A minimum 6-month programme float is reserved for B10.</w:t>
      </w:r>
      <w:r>
        <w:br w:type="textWrapping"/>
      </w:r>
      <w:r>
        <w:br w:type="textWrapping"/>
      </w:r>
      <w:r>
        <w:t>Two structural teams operate at peak, each comprising a structures foreman, survey support, formwork crew, rebar crew, concrete crew, lifting supervisor and craneage as required, with dedicated QA and HSE coverage. Precast manufacture and erection are managed as separate supply-chain activities with their own inspection, transport and lifting records. Concrete, reinforcement, precast manufacture, bearings, joints, lifting points, grouting, curing and as-built dimensions are controlled through inspection and test plans and Engineer hold points.</w:t>
      </w:r>
    </w:p>
    <w:p w14:paraId="110F0863">
      <w:r>
        <w:t>Four major culvert and access structures are included in the  structures programme. Culvert construction follows the adjacent roadworks stage and is planned around traffic accommodation, temporary drainage and safe access. The method includes excavation, foundation preparation, bedding, in-situ concrete or precast unit placement as specified, joint treatment, wing walls and headwalls, backfill, compaction and reinstatement. No culvert is backfilled until concrete strength, dimensional checks, joint records and Engineer hold points are complete.</w:t>
      </w:r>
    </w:p>
    <w:p w14:paraId="1BC0B11C">
      <w:r>
        <w:t>The cut-slope methodology is based on the geotechnical conditions confirmed during tender: the upper 1.0 to 1.5 metres of overburden is stripped and battered back at a 1:2 slope, and the underlying sandstone and mudstone rock is control-blasted to an 80-degree slope using pre-splitting techniques described in Section 8.1. The sequence is: confirm geotechnical conditions and survey limits; strip and batter the upper overburden; excavate, rip or control-blast the underlying rock to the designed slope; scale loose material and clean the face; install drainage and shotcrete protection where required; and construct retaining walls, MSE walls and associated backfill before releasing the formation for pavement layer construction.</w:t>
      </w:r>
      <w:r>
        <w:br w:type="textWrapping"/>
      </w:r>
      <w:r>
        <w:br w:type="textWrapping"/>
      </w:r>
      <w:r>
        <w:t>Shotcrete is applied to mudstone seams and weathered zones where the drawings require it, protecting the softer material from weathering that could undermine overlying sandstone blocks and create a falling-rock risk to the side drain. Face preparation involves blasting to line, scaling loose material, cleaning the face and confirming acceptance before shotcrete application. Face drainage, including weepholes and subsoil outlets, is installed before shotcrete. Shotcrete is applied in specified thicknesses and layers, with mesh or fibres only where shown by the drawings. Mesh support fixings are treated as shotcrete support accessories only. Shotcrete thickness, rebound, curing, cube strength, surface finish, drainage and coverage are recorded for every treated face. Work below cut faces is controlled by exclusion zones, spotters, temporary barriers and daily face inspections.</w:t>
      </w:r>
      <w:r>
        <w:br w:type="textWrapping"/>
      </w:r>
      <w:r>
        <w:br w:type="textWrapping"/>
      </w:r>
      <w:r>
        <w:t>MSE retaining walls are constructed where the design requires reinforced concrete facing panels with metallic reinforcing strips and G5A selected backfill. The construction sequence follows foundation preparation and levelling pad construction, panel erection with approved lifting equipment and temporary bracing, strip installation to specified levels and connections, G5A backfill placement in controlled layers, and compaction with light equipment near the wall face. Heavy rollers are not used close to the wall face unless permitted by the wall supplier and the Engineer. Coping, parapets, drainage and approach works are completed before the adjacent pavement layers are released. Critical controls are panel supply, strip lead time, approved G5A source, compaction near the face, drainage behind the wall and survey control.</w:t>
      </w:r>
      <w:r>
        <w:br w:type="textWrapping"/>
      </w:r>
      <w:r>
        <w:br w:type="textWrapping"/>
      </w:r>
      <w:r>
        <w:t>Concrete barriers and parapets are cast after the supporting wall or bridge element has achieved the required acceptance status. Barrier construction is phased so that incomplete drops, exposed reinforcement and unprotected edges are not left adjacent to live traffic.</w:t>
      </w:r>
    </w:p>
    <w:p w14:paraId="4A6F8CD6">
      <w:pPr>
        <w:pStyle w:val="3"/>
      </w:pPr>
      <w:bookmarkStart w:id="24" w:name="_Toc3207"/>
      <w:r>
        <w:t>3.10 Road Furniture, Signage and Road Markings</w:t>
      </w:r>
      <w:bookmarkEnd w:id="24"/>
    </w:p>
    <w:p w14:paraId="0F7A9A27">
      <w:r>
        <w:t>Road furniture and markings are installed during the finishing phase, predominantly in 2029 and 2030, and are programmed to follow the final surfacing of each section. Permanent thermoplastic road markings are hot-applied after the final surfacing course is in place and accepted. Retroreflectivity is measured by mobile retroreflectometer against SANS minimum values. Edge lines, lane lines and centre lines are applied per the road marking design drawings, with alignment checked by survey and width and thickness verified.</w:t>
      </w:r>
      <w:r>
        <w:br w:type="textWrapping"/>
      </w:r>
      <w:r>
        <w:br w:type="textWrapping"/>
      </w:r>
      <w:r>
        <w:t>Road studs are RSA-T type with corrected dimensions of 100 mm by 100 mm per COTO amendment, installed with adhesive bonding to the pavement surface per the road marking design. Road signs are manufactured to SANS specifications with retroreflective sheeting class per sign design, installed on approved posts at design heights. Flexible post delineators are installed at specified spacing with retroreflective sleeves per the traffic accommodation design. Kilometre posts are placed at 1 km intervals with chainage verified by survey. Concrete and metal beam barriers are installed per the road safety audit, with terminal ends treated to approved details.</w:t>
      </w:r>
      <w:r>
        <w:br w:type="textWrapping"/>
      </w:r>
      <w:r>
        <w:br w:type="textWrapping"/>
      </w:r>
      <w:r>
        <w:t>Temporary markings used during traffic staging are removed before permanent markings are applied. Markings are not applied until the final surfacing course is in place and accepted by the Engineer.</w:t>
      </w:r>
    </w:p>
    <w:p w14:paraId="0E7F06F7">
      <w:pPr>
        <w:pStyle w:val="3"/>
      </w:pPr>
      <w:bookmarkStart w:id="25" w:name="_Toc29343"/>
      <w:r>
        <w:t>3.11 Testing, Inspection and Handover</w:t>
      </w:r>
      <w:bookmarkEnd w:id="25"/>
    </w:p>
    <w:p w14:paraId="692AEC70">
      <w:r>
        <w:t>Each principal work activity is controlled through a project-specific Inspection and Test Plan defining test type, frequency, acceptance criteria and Engineer involvement. Hold Points require work to stop until passed and released. Witness Points invite the Engineer to attend. Review Points require record submission without production stop. Surveillance involves ongoing monitoring with periodic checks.</w:t>
      </w:r>
    </w:p>
    <w:p w14:paraId="5367C76A">
      <w:r>
        <w:t>All quality records are maintained in a structured filing system accessible to the Engineer for the full contract duration plus the defects notification period. Records include laboratory test sheets, field test records, SARDS data, ITP sign-off sheets, hold-point release records, witness point records, NCR files with root cause analyses and closure records, material source approvals, M&amp;U plans, mix designs, product certifications, batch tickets, delivery tickets, temperature logs, core results, PPG certificates, annual review reports and survey as-built records. PPG documentation is retained for the full guarantee period of each section.</w:t>
      </w:r>
    </w:p>
    <w:p w14:paraId="307C01D2">
      <w:r>
        <w:br w:type="page"/>
      </w:r>
    </w:p>
    <w:p w14:paraId="1D06E46B">
      <w:pPr>
        <w:pStyle w:val="2"/>
      </w:pPr>
      <w:bookmarkStart w:id="26" w:name="_Toc11325"/>
      <w:r>
        <w:t>4. Programme and Time Management</w:t>
      </w:r>
      <w:bookmarkEnd w:id="26"/>
    </w:p>
    <w:p w14:paraId="07D247E9">
      <w:pPr>
        <w:pStyle w:val="3"/>
      </w:pPr>
      <w:bookmarkStart w:id="27" w:name="_Toc12066"/>
      <w:r>
        <w:t>4.1 Preliminary Programme</w:t>
      </w:r>
      <w:bookmarkEnd w:id="27"/>
    </w:p>
    <w:p w14:paraId="5567D18B">
      <w:r>
        <w:t>The Tender Programme R0 (Attachment 1) provides the full activity-level programme with 2,030+ activities, critical path, dependencies, float and sectional completion dates. The programme is prepared in accordance with FIDIC 1999 Red Book Clause 8.3.</w:t>
      </w:r>
    </w:p>
    <w:p w14:paraId="4CE42BA3">
      <w:pPr>
        <w:pStyle w:val="3"/>
      </w:pPr>
      <w:bookmarkStart w:id="28" w:name="_Toc31978"/>
      <w:r>
        <w:t>4.2 Key Dates and Milestones</w:t>
      </w:r>
      <w:bookmarkEnd w:id="28"/>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80"/>
        <w:gridCol w:w="2880"/>
        <w:gridCol w:w="2880"/>
      </w:tblGrid>
      <w:tr w14:paraId="43B0D43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2D44AEB2">
            <w:r>
              <w:rPr>
                <w:b/>
              </w:rPr>
              <w:t>Milestone</w:t>
            </w:r>
          </w:p>
        </w:tc>
        <w:tc>
          <w:tcPr>
            <w:tcW w:w="2880" w:type="dxa"/>
          </w:tcPr>
          <w:p w14:paraId="4BC4945B">
            <w:r>
              <w:rPr>
                <w:b/>
              </w:rPr>
              <w:t>Target Date</w:t>
            </w:r>
          </w:p>
        </w:tc>
        <w:tc>
          <w:tcPr>
            <w:tcW w:w="2880" w:type="dxa"/>
          </w:tcPr>
          <w:p w14:paraId="087F6C82">
            <w:r>
              <w:rPr>
                <w:b/>
              </w:rPr>
              <w:t>Significance</w:t>
            </w:r>
          </w:p>
        </w:tc>
      </w:tr>
      <w:tr w14:paraId="63EC62F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00114BC4">
            <w:r>
              <w:t>Letter of Acceptance</w:t>
            </w:r>
          </w:p>
        </w:tc>
        <w:tc>
          <w:tcPr>
            <w:tcW w:w="2880" w:type="dxa"/>
          </w:tcPr>
          <w:p w14:paraId="67EC9A55">
            <w:r>
              <w:t>17 Sep 2026</w:t>
            </w:r>
          </w:p>
        </w:tc>
        <w:tc>
          <w:tcPr>
            <w:tcW w:w="2880" w:type="dxa"/>
          </w:tcPr>
          <w:p w14:paraId="63950E86">
            <w:r>
              <w:t>Contract award; mobilisation preparations begin</w:t>
            </w:r>
          </w:p>
        </w:tc>
      </w:tr>
      <w:tr w14:paraId="097A36D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1623BD73">
            <w:r>
              <w:t>Commencement Meeting</w:t>
            </w:r>
          </w:p>
        </w:tc>
        <w:tc>
          <w:tcPr>
            <w:tcW w:w="2880" w:type="dxa"/>
          </w:tcPr>
          <w:p w14:paraId="3786F557">
            <w:r>
              <w:t>21 Oct 2026</w:t>
            </w:r>
          </w:p>
        </w:tc>
        <w:tc>
          <w:tcPr>
            <w:tcW w:w="2880" w:type="dxa"/>
          </w:tcPr>
          <w:p w14:paraId="36445149">
            <w:r>
              <w:t>Formal commencement; mobilisation period starts</w:t>
            </w:r>
          </w:p>
        </w:tc>
      </w:tr>
      <w:tr w14:paraId="11FC6B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36B5F01">
            <w:r>
              <w:t>Site Access Certificate</w:t>
            </w:r>
          </w:p>
        </w:tc>
        <w:tc>
          <w:tcPr>
            <w:tcW w:w="2880" w:type="dxa"/>
          </w:tcPr>
          <w:p w14:paraId="4F43C2D0">
            <w:r>
              <w:t>20 Mar 2027</w:t>
            </w:r>
          </w:p>
        </w:tc>
        <w:tc>
          <w:tcPr>
            <w:tcW w:w="2880" w:type="dxa"/>
          </w:tcPr>
          <w:p w14:paraId="6E231C4F">
            <w:r>
              <w:t>Site access milestone before full production</w:t>
            </w:r>
          </w:p>
        </w:tc>
      </w:tr>
      <w:tr w14:paraId="526F4EF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6BDC3F4A">
            <w:r>
              <w:t>Construction Works Commence</w:t>
            </w:r>
          </w:p>
        </w:tc>
        <w:tc>
          <w:tcPr>
            <w:tcW w:w="2880" w:type="dxa"/>
          </w:tcPr>
          <w:p w14:paraId="62146025">
            <w:r>
              <w:t>15 Apr 2027</w:t>
            </w:r>
          </w:p>
        </w:tc>
        <w:tc>
          <w:tcPr>
            <w:tcW w:w="2880" w:type="dxa"/>
          </w:tcPr>
          <w:p w14:paraId="6CC16B12">
            <w:r>
              <w:t>First physical construction works (Activity 0044)</w:t>
            </w:r>
          </w:p>
        </w:tc>
      </w:tr>
      <w:tr w14:paraId="7012EDA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75B68A9">
            <w:r>
              <w:t>Crusher Commissioning Complete</w:t>
            </w:r>
          </w:p>
        </w:tc>
        <w:tc>
          <w:tcPr>
            <w:tcW w:w="2880" w:type="dxa"/>
          </w:tcPr>
          <w:p w14:paraId="72F79572">
            <w:r>
              <w:t>05 May 2027</w:t>
            </w:r>
          </w:p>
        </w:tc>
        <w:tc>
          <w:tcPr>
            <w:tcW w:w="2880" w:type="dxa"/>
          </w:tcPr>
          <w:p w14:paraId="7172CD3F">
            <w:r>
              <w:t>Both plants operational; sustained processing begins</w:t>
            </w:r>
          </w:p>
        </w:tc>
      </w:tr>
      <w:tr w14:paraId="09AC42B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2F0ECFB4">
            <w:r>
              <w:t>First Peri-urban Stage Start (A1)</w:t>
            </w:r>
          </w:p>
        </w:tc>
        <w:tc>
          <w:tcPr>
            <w:tcW w:w="2880" w:type="dxa"/>
          </w:tcPr>
          <w:p w14:paraId="5D7641C7">
            <w:r>
              <w:t>16 Apr 2027</w:t>
            </w:r>
          </w:p>
        </w:tc>
        <w:tc>
          <w:tcPr>
            <w:tcW w:w="2880" w:type="dxa"/>
          </w:tcPr>
          <w:p w14:paraId="725CC020">
            <w:r>
              <w:t>First major production stage; sets the template</w:t>
            </w:r>
          </w:p>
        </w:tc>
      </w:tr>
      <w:tr w14:paraId="6F5D37C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FC792C9">
            <w:r>
              <w:t>Urban Section 1 Start</w:t>
            </w:r>
          </w:p>
        </w:tc>
        <w:tc>
          <w:tcPr>
            <w:tcW w:w="2880" w:type="dxa"/>
          </w:tcPr>
          <w:p w14:paraId="5014F2CD">
            <w:r>
              <w:t>16 Apr 2027</w:t>
            </w:r>
          </w:p>
        </w:tc>
        <w:tc>
          <w:tcPr>
            <w:tcW w:w="2880" w:type="dxa"/>
          </w:tcPr>
          <w:p w14:paraId="32FB381E">
            <w:r>
              <w:t>Parallel urban commencement; service-led release</w:t>
            </w:r>
          </w:p>
        </w:tc>
      </w:tr>
      <w:tr w14:paraId="2247200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48B9CA0E">
            <w:r>
              <w:t>Urban Section 2 Start</w:t>
            </w:r>
          </w:p>
        </w:tc>
        <w:tc>
          <w:tcPr>
            <w:tcW w:w="2880" w:type="dxa"/>
          </w:tcPr>
          <w:p w14:paraId="1E44E806">
            <w:r>
              <w:t>26 Apr 2029</w:t>
            </w:r>
          </w:p>
        </w:tc>
        <w:tc>
          <w:tcPr>
            <w:tcW w:w="2880" w:type="dxa"/>
          </w:tcPr>
          <w:p w14:paraId="123A7AF3">
            <w:r>
              <w:t>Controls and resources transferred from S1</w:t>
            </w:r>
          </w:p>
        </w:tc>
      </w:tr>
      <w:tr w14:paraId="71BCBCC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6AB58074">
            <w:r>
              <w:t>Structures Programme Complete</w:t>
            </w:r>
          </w:p>
        </w:tc>
        <w:tc>
          <w:tcPr>
            <w:tcW w:w="2880" w:type="dxa"/>
          </w:tcPr>
          <w:p w14:paraId="14DDAF97">
            <w:r>
              <w:t>10 Dec 2030</w:t>
            </w:r>
          </w:p>
        </w:tc>
        <w:tc>
          <w:tcPr>
            <w:tcW w:w="2880" w:type="dxa"/>
          </w:tcPr>
          <w:p w14:paraId="5A121913">
            <w:r>
              <w:t>All 10 bridges, 4 culverts, MSE and shotcrete complete</w:t>
            </w:r>
          </w:p>
        </w:tc>
      </w:tr>
      <w:tr w14:paraId="7FF6E24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0633FF9F">
            <w:r>
              <w:t>Roads Physical Works Complete</w:t>
            </w:r>
          </w:p>
        </w:tc>
        <w:tc>
          <w:tcPr>
            <w:tcW w:w="2880" w:type="dxa"/>
          </w:tcPr>
          <w:p w14:paraId="31C9EDBB">
            <w:r>
              <w:t>10 Dec 2030</w:t>
            </w:r>
          </w:p>
        </w:tc>
        <w:tc>
          <w:tcPr>
            <w:tcW w:w="2880" w:type="dxa"/>
          </w:tcPr>
          <w:p w14:paraId="32F87AA3">
            <w:r>
              <w:t>All roadworks, surfacing and finishing complete</w:t>
            </w:r>
          </w:p>
        </w:tc>
      </w:tr>
      <w:tr w14:paraId="2524086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364AA125">
            <w:r>
              <w:t>Taking-Over Certificate (TOC)</w:t>
            </w:r>
          </w:p>
        </w:tc>
        <w:tc>
          <w:tcPr>
            <w:tcW w:w="2880" w:type="dxa"/>
          </w:tcPr>
          <w:p w14:paraId="2C7F677B">
            <w:r>
              <w:t>20 Mar 2031</w:t>
            </w:r>
          </w:p>
        </w:tc>
        <w:tc>
          <w:tcPr>
            <w:tcW w:w="2880" w:type="dxa"/>
          </w:tcPr>
          <w:p w14:paraId="38DD3945">
            <w:r>
              <w:t>Contractual completion; 84-day terminal float absorbed</w:t>
            </w:r>
          </w:p>
        </w:tc>
      </w:tr>
    </w:tbl>
    <w:p w14:paraId="4C02B8B3">
      <w:r>
        <w:t>Bridge and structure completion dates are extracted from the Tender Programme R0 (Attachment 1):</w:t>
      </w:r>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160"/>
        <w:gridCol w:w="2160"/>
        <w:gridCol w:w="2160"/>
        <w:gridCol w:w="2160"/>
      </w:tblGrid>
      <w:tr w14:paraId="600FF46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763C7A39">
            <w:r>
              <w:rPr>
                <w:b/>
              </w:rPr>
              <w:t>Structure</w:t>
            </w:r>
          </w:p>
        </w:tc>
        <w:tc>
          <w:tcPr>
            <w:tcW w:w="2160" w:type="dxa"/>
          </w:tcPr>
          <w:p w14:paraId="51D2D6CA">
            <w:r>
              <w:rPr>
                <w:b/>
              </w:rPr>
              <w:t>Location</w:t>
            </w:r>
          </w:p>
        </w:tc>
        <w:tc>
          <w:tcPr>
            <w:tcW w:w="2160" w:type="dxa"/>
          </w:tcPr>
          <w:p w14:paraId="36EAE7A9">
            <w:r>
              <w:rPr>
                <w:b/>
              </w:rPr>
              <w:t>Start</w:t>
            </w:r>
          </w:p>
        </w:tc>
        <w:tc>
          <w:tcPr>
            <w:tcW w:w="2160" w:type="dxa"/>
          </w:tcPr>
          <w:p w14:paraId="107B5B2B">
            <w:r>
              <w:rPr>
                <w:b/>
              </w:rPr>
              <w:t>Completion</w:t>
            </w:r>
          </w:p>
        </w:tc>
      </w:tr>
      <w:tr w14:paraId="609A6A2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7B953B5D">
            <w:r>
              <w:t>B03 Mbane Pedestrian Overpass</w:t>
            </w:r>
          </w:p>
        </w:tc>
        <w:tc>
          <w:tcPr>
            <w:tcW w:w="2160" w:type="dxa"/>
          </w:tcPr>
          <w:p w14:paraId="0D730E41">
            <w:r>
              <w:t>KM 71.642</w:t>
            </w:r>
          </w:p>
        </w:tc>
        <w:tc>
          <w:tcPr>
            <w:tcW w:w="2160" w:type="dxa"/>
          </w:tcPr>
          <w:p w14:paraId="2B6323F1">
            <w:r>
              <w:t>Sep 2027</w:t>
            </w:r>
          </w:p>
        </w:tc>
        <w:tc>
          <w:tcPr>
            <w:tcW w:w="2160" w:type="dxa"/>
          </w:tcPr>
          <w:p w14:paraId="404F2AF6">
            <w:r>
              <w:t>Mar 2029</w:t>
            </w:r>
          </w:p>
        </w:tc>
      </w:tr>
      <w:tr w14:paraId="64A9563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51719E48">
            <w:r>
              <w:t>B07 QWE-QWE Underpass</w:t>
            </w:r>
          </w:p>
        </w:tc>
        <w:tc>
          <w:tcPr>
            <w:tcW w:w="2160" w:type="dxa"/>
          </w:tcPr>
          <w:p w14:paraId="1BDC3FBA">
            <w:r>
              <w:t>KM 72.504</w:t>
            </w:r>
          </w:p>
        </w:tc>
        <w:tc>
          <w:tcPr>
            <w:tcW w:w="2160" w:type="dxa"/>
          </w:tcPr>
          <w:p w14:paraId="48813990">
            <w:r>
              <w:t>Jan 2028</w:t>
            </w:r>
          </w:p>
        </w:tc>
        <w:tc>
          <w:tcPr>
            <w:tcW w:w="2160" w:type="dxa"/>
          </w:tcPr>
          <w:p w14:paraId="35A7D8C0">
            <w:r>
              <w:t>Sep 2028</w:t>
            </w:r>
          </w:p>
        </w:tc>
      </w:tr>
      <w:tr w14:paraId="1C260A0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522F29AB">
            <w:r>
              <w:t>B01 Pedestrian Bridge</w:t>
            </w:r>
          </w:p>
        </w:tc>
        <w:tc>
          <w:tcPr>
            <w:tcW w:w="2160" w:type="dxa"/>
          </w:tcPr>
          <w:p w14:paraId="24BCA6CA">
            <w:r>
              <w:t>KM 67.222</w:t>
            </w:r>
          </w:p>
        </w:tc>
        <w:tc>
          <w:tcPr>
            <w:tcW w:w="2160" w:type="dxa"/>
          </w:tcPr>
          <w:p w14:paraId="4EE4A5BB">
            <w:r>
              <w:t>Nov 2028</w:t>
            </w:r>
          </w:p>
        </w:tc>
        <w:tc>
          <w:tcPr>
            <w:tcW w:w="2160" w:type="dxa"/>
          </w:tcPr>
          <w:p w14:paraId="6D7EA654">
            <w:r>
              <w:t>Feb 2030</w:t>
            </w:r>
          </w:p>
        </w:tc>
      </w:tr>
      <w:tr w14:paraId="0450C6B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7E489882">
            <w:r>
              <w:t>B02 Qokana Pedestrian Overpass</w:t>
            </w:r>
          </w:p>
        </w:tc>
        <w:tc>
          <w:tcPr>
            <w:tcW w:w="2160" w:type="dxa"/>
          </w:tcPr>
          <w:p w14:paraId="5B4C873A">
            <w:r>
              <w:t>KM 68.883</w:t>
            </w:r>
          </w:p>
        </w:tc>
        <w:tc>
          <w:tcPr>
            <w:tcW w:w="2160" w:type="dxa"/>
          </w:tcPr>
          <w:p w14:paraId="1550BD8E">
            <w:r>
              <w:t>Nov 2028</w:t>
            </w:r>
          </w:p>
        </w:tc>
        <w:tc>
          <w:tcPr>
            <w:tcW w:w="2160" w:type="dxa"/>
          </w:tcPr>
          <w:p w14:paraId="6B65EBCB">
            <w:r>
              <w:t>Mar 2030</w:t>
            </w:r>
          </w:p>
        </w:tc>
      </w:tr>
      <w:tr w14:paraId="5B6AEFB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1EC30B8">
            <w:r>
              <w:t>B06 Maqhiibeni Underpass</w:t>
            </w:r>
          </w:p>
        </w:tc>
        <w:tc>
          <w:tcPr>
            <w:tcW w:w="2160" w:type="dxa"/>
          </w:tcPr>
          <w:p w14:paraId="70792902">
            <w:r>
              <w:t>KM 68.193</w:t>
            </w:r>
          </w:p>
        </w:tc>
        <w:tc>
          <w:tcPr>
            <w:tcW w:w="2160" w:type="dxa"/>
          </w:tcPr>
          <w:p w14:paraId="513B014F">
            <w:r>
              <w:t>Apr 2029</w:t>
            </w:r>
          </w:p>
        </w:tc>
        <w:tc>
          <w:tcPr>
            <w:tcW w:w="2160" w:type="dxa"/>
          </w:tcPr>
          <w:p w14:paraId="5F3B75C7">
            <w:r>
              <w:t>Oct 2029</w:t>
            </w:r>
          </w:p>
        </w:tc>
      </w:tr>
      <w:tr w14:paraId="73EA4DB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0B6DDCFE">
            <w:r>
              <w:t>B04 Nyandeni Pedestrian Overpass</w:t>
            </w:r>
          </w:p>
        </w:tc>
        <w:tc>
          <w:tcPr>
            <w:tcW w:w="2160" w:type="dxa"/>
          </w:tcPr>
          <w:p w14:paraId="72777DC1">
            <w:r>
              <w:t>KM 74.236</w:t>
            </w:r>
          </w:p>
        </w:tc>
        <w:tc>
          <w:tcPr>
            <w:tcW w:w="2160" w:type="dxa"/>
          </w:tcPr>
          <w:p w14:paraId="54A98384">
            <w:r>
              <w:t>Oct 2029</w:t>
            </w:r>
          </w:p>
        </w:tc>
        <w:tc>
          <w:tcPr>
            <w:tcW w:w="2160" w:type="dxa"/>
          </w:tcPr>
          <w:p w14:paraId="522DDAA0">
            <w:r>
              <w:t>Dec 2030</w:t>
            </w:r>
          </w:p>
        </w:tc>
      </w:tr>
      <w:tr w14:paraId="1229750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79F71F39">
            <w:r>
              <w:t>B05 Payne Pedestrian Overpass</w:t>
            </w:r>
          </w:p>
        </w:tc>
        <w:tc>
          <w:tcPr>
            <w:tcW w:w="2160" w:type="dxa"/>
          </w:tcPr>
          <w:p w14:paraId="253229B2">
            <w:r>
              <w:t>KM 75.103</w:t>
            </w:r>
          </w:p>
        </w:tc>
        <w:tc>
          <w:tcPr>
            <w:tcW w:w="2160" w:type="dxa"/>
          </w:tcPr>
          <w:p w14:paraId="2419BF45">
            <w:r>
              <w:t>Oct 2029</w:t>
            </w:r>
          </w:p>
        </w:tc>
        <w:tc>
          <w:tcPr>
            <w:tcW w:w="2160" w:type="dxa"/>
          </w:tcPr>
          <w:p w14:paraId="08E74577">
            <w:r>
              <w:t>Dec 2030</w:t>
            </w:r>
          </w:p>
        </w:tc>
      </w:tr>
      <w:tr w14:paraId="4D20D04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5AE79595">
            <w:r>
              <w:t>B08 Payne Portal Underpass</w:t>
            </w:r>
          </w:p>
        </w:tc>
        <w:tc>
          <w:tcPr>
            <w:tcW w:w="2160" w:type="dxa"/>
          </w:tcPr>
          <w:p w14:paraId="6C4009A8">
            <w:r>
              <w:t>KM 75.875</w:t>
            </w:r>
          </w:p>
        </w:tc>
        <w:tc>
          <w:tcPr>
            <w:tcW w:w="2160" w:type="dxa"/>
          </w:tcPr>
          <w:p w14:paraId="71BE08EE">
            <w:r>
              <w:t>Jan 2030</w:t>
            </w:r>
          </w:p>
        </w:tc>
        <w:tc>
          <w:tcPr>
            <w:tcW w:w="2160" w:type="dxa"/>
          </w:tcPr>
          <w:p w14:paraId="00C777A8">
            <w:r>
              <w:t>Aug 2030</w:t>
            </w:r>
          </w:p>
        </w:tc>
      </w:tr>
      <w:tr w14:paraId="4EC4678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38EE8CDE">
            <w:r>
              <w:t>B09 Payne Farm Portal Underpass</w:t>
            </w:r>
          </w:p>
        </w:tc>
        <w:tc>
          <w:tcPr>
            <w:tcW w:w="2160" w:type="dxa"/>
          </w:tcPr>
          <w:p w14:paraId="141168BF">
            <w:r>
              <w:t>KM 77.153</w:t>
            </w:r>
          </w:p>
        </w:tc>
        <w:tc>
          <w:tcPr>
            <w:tcW w:w="2160" w:type="dxa"/>
          </w:tcPr>
          <w:p w14:paraId="7E0C35C7">
            <w:r>
              <w:t>Dec 2029</w:t>
            </w:r>
          </w:p>
        </w:tc>
        <w:tc>
          <w:tcPr>
            <w:tcW w:w="2160" w:type="dxa"/>
          </w:tcPr>
          <w:p w14:paraId="71A99E89">
            <w:r>
              <w:t>Aug 2030</w:t>
            </w:r>
          </w:p>
        </w:tc>
      </w:tr>
      <w:tr w14:paraId="605921E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61DB4CE">
            <w:r>
              <w:t>B10 Ian Woods Road-over-Rail</w:t>
            </w:r>
          </w:p>
        </w:tc>
        <w:tc>
          <w:tcPr>
            <w:tcW w:w="2160" w:type="dxa"/>
          </w:tcPr>
          <w:p w14:paraId="08C62277">
            <w:r>
              <w:t>KM 78.450</w:t>
            </w:r>
          </w:p>
        </w:tc>
        <w:tc>
          <w:tcPr>
            <w:tcW w:w="2160" w:type="dxa"/>
          </w:tcPr>
          <w:p w14:paraId="57E65A18">
            <w:r>
              <w:t>Jan 2030</w:t>
            </w:r>
          </w:p>
        </w:tc>
        <w:tc>
          <w:tcPr>
            <w:tcW w:w="2160" w:type="dxa"/>
          </w:tcPr>
          <w:p w14:paraId="29AC04EE">
            <w:r>
              <w:t>Aug 2030</w:t>
            </w:r>
          </w:p>
        </w:tc>
      </w:tr>
    </w:tbl>
    <w:p w14:paraId="53551EA5"/>
    <w:p w14:paraId="78EABE8A">
      <w:pPr>
        <w:pStyle w:val="3"/>
      </w:pPr>
      <w:bookmarkStart w:id="29" w:name="_Toc7964"/>
      <w:r>
        <w:t>4.3 Productivity Assumptions</w:t>
      </w:r>
      <w:bookmarkEnd w:id="29"/>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160"/>
        <w:gridCol w:w="2160"/>
        <w:gridCol w:w="2160"/>
        <w:gridCol w:w="2160"/>
      </w:tblGrid>
      <w:tr w14:paraId="7EEFD0E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4D002AF">
            <w:pPr>
              <w:spacing w:after="0" w:line="240" w:lineRule="auto"/>
            </w:pPr>
            <w:r>
              <w:rPr>
                <w:b/>
              </w:rPr>
              <w:t>Activity</w:t>
            </w:r>
          </w:p>
        </w:tc>
        <w:tc>
          <w:tcPr>
            <w:tcW w:w="2160" w:type="dxa"/>
          </w:tcPr>
          <w:p w14:paraId="6CC61D75">
            <w:pPr>
              <w:spacing w:after="0" w:line="240" w:lineRule="auto"/>
            </w:pPr>
            <w:r>
              <w:rPr>
                <w:b/>
              </w:rPr>
              <w:t>Quantity Basis</w:t>
            </w:r>
          </w:p>
        </w:tc>
        <w:tc>
          <w:tcPr>
            <w:tcW w:w="2160" w:type="dxa"/>
          </w:tcPr>
          <w:p w14:paraId="7D6C48B7">
            <w:pPr>
              <w:spacing w:after="0" w:line="240" w:lineRule="auto"/>
            </w:pPr>
            <w:r>
              <w:rPr>
                <w:b/>
              </w:rPr>
              <w:t>Assumed Production Rate</w:t>
            </w:r>
          </w:p>
        </w:tc>
        <w:tc>
          <w:tcPr>
            <w:tcW w:w="2160" w:type="dxa"/>
          </w:tcPr>
          <w:p w14:paraId="74CEF3E6">
            <w:pPr>
              <w:spacing w:after="0" w:line="240" w:lineRule="auto"/>
            </w:pPr>
            <w:r>
              <w:rPr>
                <w:b/>
              </w:rPr>
              <w:t>Duration Basis</w:t>
            </w:r>
          </w:p>
        </w:tc>
      </w:tr>
      <w:tr w14:paraId="2DB46AB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4CD08F8">
            <w:pPr>
              <w:spacing w:after="0" w:line="240" w:lineRule="auto"/>
            </w:pPr>
            <w:r>
              <w:t>Soft excavation</w:t>
            </w:r>
          </w:p>
        </w:tc>
        <w:tc>
          <w:tcPr>
            <w:tcW w:w="2160" w:type="dxa"/>
          </w:tcPr>
          <w:p w14:paraId="7C258215">
            <w:r>
              <w:t>342,000 m³ (soft) + 51,450 m³ (boulders)</w:t>
            </w:r>
          </w:p>
        </w:tc>
        <w:tc>
          <w:tcPr>
            <w:tcW w:w="2160" w:type="dxa"/>
          </w:tcPr>
          <w:p w14:paraId="17399E0D">
            <w:pPr>
              <w:spacing w:after="0" w:line="240" w:lineRule="auto"/>
            </w:pPr>
            <w:r>
              <w:t>3,500 m³/day per fleet</w:t>
            </w:r>
          </w:p>
        </w:tc>
        <w:tc>
          <w:tcPr>
            <w:tcW w:w="2160" w:type="dxa"/>
          </w:tcPr>
          <w:p w14:paraId="11EBA86A">
            <w:pPr>
              <w:spacing w:after="0" w:line="240" w:lineRule="auto"/>
            </w:pPr>
            <w:r>
              <w:t>16 excavators + 84 ADTs, 240 working days</w:t>
            </w:r>
          </w:p>
        </w:tc>
      </w:tr>
      <w:tr w14:paraId="5EA99AF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7E393522">
            <w:pPr>
              <w:spacing w:after="0" w:line="240" w:lineRule="auto"/>
            </w:pPr>
            <w:r>
              <w:t>Hard rock blasting</w:t>
            </w:r>
          </w:p>
        </w:tc>
        <w:tc>
          <w:tcPr>
            <w:tcW w:w="2160" w:type="dxa"/>
          </w:tcPr>
          <w:p w14:paraId="6D3421A3">
            <w:r>
              <w:t>702,300 m³ (blasting) + 175,600 m³ (non-blasting)</w:t>
            </w:r>
          </w:p>
        </w:tc>
        <w:tc>
          <w:tcPr>
            <w:tcW w:w="2160" w:type="dxa"/>
          </w:tcPr>
          <w:p w14:paraId="427B432E">
            <w:pPr>
              <w:spacing w:after="0" w:line="240" w:lineRule="auto"/>
            </w:pPr>
            <w:r>
              <w:t>500–800 m³/blast</w:t>
            </w:r>
          </w:p>
        </w:tc>
        <w:tc>
          <w:tcPr>
            <w:tcW w:w="2160" w:type="dxa"/>
          </w:tcPr>
          <w:p w14:paraId="2D38184D">
            <w:pPr>
              <w:spacing w:after="0" w:line="240" w:lineRule="auto"/>
            </w:pPr>
            <w:r>
              <w:t>2–4 blasts/week, electronic detonators</w:t>
            </w:r>
          </w:p>
        </w:tc>
      </w:tr>
      <w:tr w14:paraId="57EEE4A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072B33BF">
            <w:pPr>
              <w:spacing w:after="0" w:line="240" w:lineRule="auto"/>
            </w:pPr>
            <w:r>
              <w:t>Two-stage crushing</w:t>
            </w:r>
          </w:p>
        </w:tc>
        <w:tc>
          <w:tcPr>
            <w:tcW w:w="2160" w:type="dxa"/>
          </w:tcPr>
          <w:p w14:paraId="77F86F75">
            <w:pPr>
              <w:spacing w:after="0" w:line="240" w:lineRule="auto"/>
            </w:pPr>
            <w:r>
              <w:t>122,700 m³</w:t>
            </w:r>
          </w:p>
        </w:tc>
        <w:tc>
          <w:tcPr>
            <w:tcW w:w="2160" w:type="dxa"/>
          </w:tcPr>
          <w:p w14:paraId="3B484612">
            <w:pPr>
              <w:spacing w:after="0" w:line="240" w:lineRule="auto"/>
            </w:pPr>
            <w:r>
              <w:t>800–1,200 m³/day per plant</w:t>
            </w:r>
          </w:p>
        </w:tc>
        <w:tc>
          <w:tcPr>
            <w:tcW w:w="2160" w:type="dxa"/>
          </w:tcPr>
          <w:p w14:paraId="7D6994AD">
            <w:pPr>
              <w:spacing w:after="0" w:line="240" w:lineRule="auto"/>
            </w:pPr>
            <w:r>
              <w:t>2 plants, 18-month processing window</w:t>
            </w:r>
          </w:p>
        </w:tc>
      </w:tr>
      <w:tr w14:paraId="56F80D3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E840A77">
            <w:pPr>
              <w:spacing w:after="0" w:line="240" w:lineRule="auto"/>
            </w:pPr>
            <w:r>
              <w:t>Fill placement</w:t>
            </w:r>
          </w:p>
        </w:tc>
        <w:tc>
          <w:tcPr>
            <w:tcW w:w="2160" w:type="dxa"/>
          </w:tcPr>
          <w:p w14:paraId="4E00A096">
            <w:pPr>
              <w:spacing w:after="0" w:line="240" w:lineRule="auto"/>
            </w:pPr>
            <w:r>
              <w:t>5,300,000 m³ total</w:t>
            </w:r>
          </w:p>
        </w:tc>
        <w:tc>
          <w:tcPr>
            <w:tcW w:w="2160" w:type="dxa"/>
          </w:tcPr>
          <w:p w14:paraId="07471039">
            <w:pPr>
              <w:spacing w:after="0" w:line="240" w:lineRule="auto"/>
            </w:pPr>
            <w:r>
              <w:t>15,000 m³/day peak</w:t>
            </w:r>
          </w:p>
        </w:tc>
        <w:tc>
          <w:tcPr>
            <w:tcW w:w="2160" w:type="dxa"/>
          </w:tcPr>
          <w:p w14:paraId="62BFE199">
            <w:pPr>
              <w:spacing w:after="0" w:line="240" w:lineRule="auto"/>
            </w:pPr>
            <w:r>
              <w:t>84 ADTs, 150mm layers, 93–98% MDD</w:t>
            </w:r>
          </w:p>
        </w:tc>
      </w:tr>
      <w:tr w14:paraId="2E3F336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7EFA1510">
            <w:pPr>
              <w:spacing w:after="0" w:line="240" w:lineRule="auto"/>
            </w:pPr>
            <w:r>
              <w:t>Pavement layers (G7/G6/G5A)</w:t>
            </w:r>
          </w:p>
        </w:tc>
        <w:tc>
          <w:tcPr>
            <w:tcW w:w="2160" w:type="dxa"/>
          </w:tcPr>
          <w:p w14:paraId="5F5E78FC">
            <w:pPr>
              <w:spacing w:after="0" w:line="240" w:lineRule="auto"/>
            </w:pPr>
            <w:r>
              <w:t>Per BOQ</w:t>
            </w:r>
          </w:p>
        </w:tc>
        <w:tc>
          <w:tcPr>
            <w:tcW w:w="2160" w:type="dxa"/>
          </w:tcPr>
          <w:p w14:paraId="334ADF8B">
            <w:pPr>
              <w:spacing w:after="0" w:line="240" w:lineRule="auto"/>
            </w:pPr>
            <w:r>
              <w:t>500–800 m²/day per team</w:t>
            </w:r>
          </w:p>
        </w:tc>
        <w:tc>
          <w:tcPr>
            <w:tcW w:w="2160" w:type="dxa"/>
          </w:tcPr>
          <w:p w14:paraId="77958620">
            <w:pPr>
              <w:spacing w:after="0" w:line="240" w:lineRule="auto"/>
            </w:pPr>
            <w:r>
              <w:t>Grader + water cart + roller teams</w:t>
            </w:r>
          </w:p>
        </w:tc>
      </w:tr>
      <w:tr w14:paraId="47B2340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61B55D4">
            <w:pPr>
              <w:spacing w:after="0" w:line="240" w:lineRule="auto"/>
            </w:pPr>
            <w:r>
              <w:t>G1 base course</w:t>
            </w:r>
          </w:p>
        </w:tc>
        <w:tc>
          <w:tcPr>
            <w:tcW w:w="2160" w:type="dxa"/>
          </w:tcPr>
          <w:p w14:paraId="7B275375">
            <w:pPr>
              <w:spacing w:after="0" w:line="240" w:lineRule="auto"/>
            </w:pPr>
            <w:r>
              <w:t>Per BOQ</w:t>
            </w:r>
          </w:p>
        </w:tc>
        <w:tc>
          <w:tcPr>
            <w:tcW w:w="2160" w:type="dxa"/>
          </w:tcPr>
          <w:p w14:paraId="4DE6CCBE">
            <w:pPr>
              <w:spacing w:after="0" w:line="240" w:lineRule="auto"/>
            </w:pPr>
            <w:r>
              <w:t>400–600 m²/day</w:t>
            </w:r>
          </w:p>
        </w:tc>
        <w:tc>
          <w:tcPr>
            <w:tcW w:w="2160" w:type="dxa"/>
          </w:tcPr>
          <w:p w14:paraId="7FB2CBEF">
            <w:pPr>
              <w:spacing w:after="0" w:line="240" w:lineRule="auto"/>
            </w:pPr>
            <w:r>
              <w:t>Spreading, compaction to 98% MDD</w:t>
            </w:r>
          </w:p>
        </w:tc>
      </w:tr>
      <w:tr w14:paraId="5ADDB53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5E39682">
            <w:pPr>
              <w:spacing w:after="0" w:line="240" w:lineRule="auto"/>
            </w:pPr>
            <w:r>
              <w:t>Asphalt surfacing</w:t>
            </w:r>
          </w:p>
        </w:tc>
        <w:tc>
          <w:tcPr>
            <w:tcW w:w="2160" w:type="dxa"/>
          </w:tcPr>
          <w:p w14:paraId="5F10CDA6">
            <w:r>
              <w:t>3,130 t aggregate; A-P1 ~596,900 m²; EME ~78,500 m²</w:t>
            </w:r>
          </w:p>
        </w:tc>
        <w:tc>
          <w:tcPr>
            <w:tcW w:w="2160" w:type="dxa"/>
          </w:tcPr>
          <w:p w14:paraId="2427AA17">
            <w:pPr>
              <w:spacing w:after="0" w:line="240" w:lineRule="auto"/>
            </w:pPr>
            <w:r>
              <w:t>400–600 t/day</w:t>
            </w:r>
          </w:p>
        </w:tc>
        <w:tc>
          <w:tcPr>
            <w:tcW w:w="2160" w:type="dxa"/>
          </w:tcPr>
          <w:p w14:paraId="51D99B0E">
            <w:pPr>
              <w:spacing w:after="0" w:line="240" w:lineRule="auto"/>
            </w:pPr>
            <w:r>
              <w:t>Paver + roller train, Oct–Apr window</w:t>
            </w:r>
          </w:p>
        </w:tc>
      </w:tr>
      <w:tr w14:paraId="537D2F9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5DE057B5">
            <w:pPr>
              <w:spacing w:after="0" w:line="240" w:lineRule="auto"/>
            </w:pPr>
            <w:r>
              <w:t>MSE wall panels</w:t>
            </w:r>
          </w:p>
        </w:tc>
        <w:tc>
          <w:tcPr>
            <w:tcW w:w="2160" w:type="dxa"/>
          </w:tcPr>
          <w:p w14:paraId="6389F86C">
            <w:pPr>
              <w:spacing w:after="0" w:line="240" w:lineRule="auto"/>
            </w:pPr>
            <w:r>
              <w:t>11,542 units</w:t>
            </w:r>
          </w:p>
        </w:tc>
        <w:tc>
          <w:tcPr>
            <w:tcW w:w="2160" w:type="dxa"/>
          </w:tcPr>
          <w:p w14:paraId="77ADAF18">
            <w:pPr>
              <w:spacing w:after="0" w:line="240" w:lineRule="auto"/>
            </w:pPr>
            <w:r>
              <w:t>40–60 panels/day</w:t>
            </w:r>
          </w:p>
        </w:tc>
        <w:tc>
          <w:tcPr>
            <w:tcW w:w="2160" w:type="dxa"/>
          </w:tcPr>
          <w:p w14:paraId="0E980BEC">
            <w:pPr>
              <w:spacing w:after="0" w:line="240" w:lineRule="auto"/>
            </w:pPr>
            <w:r>
              <w:t>Dual-supplier, 18-month installation</w:t>
            </w:r>
          </w:p>
        </w:tc>
      </w:tr>
      <w:tr w14:paraId="500C0DA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516E45F1">
            <w:pPr>
              <w:spacing w:after="0" w:line="240" w:lineRule="auto"/>
            </w:pPr>
            <w:r>
              <w:t>Shotcrete</w:t>
            </w:r>
          </w:p>
        </w:tc>
        <w:tc>
          <w:tcPr>
            <w:tcW w:w="2160" w:type="dxa"/>
          </w:tcPr>
          <w:p w14:paraId="490E776C">
            <w:pPr>
              <w:spacing w:after="0" w:line="240" w:lineRule="auto"/>
            </w:pPr>
            <w:r>
              <w:t>224,700 m²</w:t>
            </w:r>
          </w:p>
        </w:tc>
        <w:tc>
          <w:tcPr>
            <w:tcW w:w="2160" w:type="dxa"/>
          </w:tcPr>
          <w:p w14:paraId="5B4C55FD">
            <w:pPr>
              <w:spacing w:after="0" w:line="240" w:lineRule="auto"/>
            </w:pPr>
            <w:r>
              <w:t>500–800 m²/day</w:t>
            </w:r>
          </w:p>
        </w:tc>
        <w:tc>
          <w:tcPr>
            <w:tcW w:w="2160" w:type="dxa"/>
          </w:tcPr>
          <w:p w14:paraId="3C071FAF">
            <w:pPr>
              <w:spacing w:after="0" w:line="240" w:lineRule="auto"/>
            </w:pPr>
            <w:r>
              <w:t>3 pumps, certified nozzlemen</w:t>
            </w:r>
          </w:p>
        </w:tc>
      </w:tr>
      <w:tr w14:paraId="07F7092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8470CA5">
            <w:pPr>
              <w:spacing w:after="0" w:line="240" w:lineRule="auto"/>
            </w:pPr>
            <w:r>
              <w:t>Bridge construction</w:t>
            </w:r>
          </w:p>
        </w:tc>
        <w:tc>
          <w:tcPr>
            <w:tcW w:w="2160" w:type="dxa"/>
          </w:tcPr>
          <w:p w14:paraId="4C12C189">
            <w:pPr>
              <w:spacing w:after="0" w:line="240" w:lineRule="auto"/>
            </w:pPr>
            <w:r>
              <w:t>10 structures</w:t>
            </w:r>
          </w:p>
        </w:tc>
        <w:tc>
          <w:tcPr>
            <w:tcW w:w="2160" w:type="dxa"/>
          </w:tcPr>
          <w:p w14:paraId="124899A4">
            <w:pPr>
              <w:spacing w:after="0" w:line="240" w:lineRule="auto"/>
            </w:pPr>
            <w:r>
              <w:t>Per structure programme</w:t>
            </w:r>
          </w:p>
        </w:tc>
        <w:tc>
          <w:tcPr>
            <w:tcW w:w="2160" w:type="dxa"/>
          </w:tcPr>
          <w:p w14:paraId="29E82B70">
            <w:pPr>
              <w:spacing w:after="0" w:line="240" w:lineRule="auto"/>
            </w:pPr>
            <w:r>
              <w:t>2 structural teams at peak, concurrent</w:t>
            </w:r>
          </w:p>
        </w:tc>
      </w:tr>
    </w:tbl>
    <w:p w14:paraId="752F1D42">
      <w:pPr>
        <w:pStyle w:val="3"/>
      </w:pPr>
      <w:bookmarkStart w:id="30" w:name="_Toc10517"/>
      <w:r>
        <w:t>4.4 Critical Path and Recovery Measures</w:t>
      </w:r>
      <w:bookmarkEnd w:id="30"/>
    </w:p>
    <w:p w14:paraId="2D1BF9F2">
      <w:r>
        <w:t>Eight critical path sequences have been identified through the programme. The first runs through mobilisation and establishment — award, guarantees, camp construction and crusher commissioning must be completed before sustained processing can begin. The second and third track through peri-urban Stage 1 northbound and southbound, the first major production stages whose completion releases resources for subsequent stages. The fourth follows peri-urban Stages 3 and 4 through the major hard cuttings (KM 65.3–69.3), where excavation and two-stage crushing form the longest-duration production chain.</w:t>
      </w:r>
      <w:r>
        <w:br w:type="textWrapping"/>
      </w:r>
      <w:r>
        <w:br w:type="textWrapping"/>
      </w:r>
      <w:r>
        <w:t>The fifth and sixth sequences run through Urban Sections 1 and 2, where service relocation lead times and traffic constraints limit production rates. The seventh covers structures — bridges, culverts and MSE walls running concurrently with road sections. The eighth is the finishing and handover chain: furniture, markings, lighting, testing and snagging, absorbed within the terminal float.</w:t>
      </w:r>
      <w:r>
        <w:br w:type="textWrapping"/>
      </w:r>
      <w:r>
        <w:br w:type="textWrapping"/>
      </w:r>
      <w:r>
        <w:t>The critical path runs primarily through the peri-urban earthworks and crushing chain in the early programme and through the urban sections in the later programme. The final peri-urban stage (A6, completing 10 December 2030) is the critical-path terminus. Structures are generally off the critical path but become critical if hold points or material delays cause them to overrun adjacent road section completion.</w:t>
      </w:r>
    </w:p>
    <w:p w14:paraId="19E2D74D">
      <w:r>
        <w:t>The programme contains 84 days of terminal float between planned completion (10 December 2030) and the Taking-Over Certificate (20 March 2031). Monthly programme reviews monitor float consumption. Weather risk is managed under Method 3 (N=84).</w:t>
      </w:r>
    </w:p>
    <w:p w14:paraId="419887C8">
      <w:r>
        <w:t>The Eastern Cape corridor experiences a subtropical rainfall pattern with the majority of precipitation between October and March (annual average 650–800 mm, peak December–February). Moisture-sensitive activities are concentrated during the dry season (April–September), while the wet season is used for drainage construction, crushing, stockpile building and structure works.</w:t>
      </w:r>
      <w:r>
        <w:br w:type="textWrapping"/>
      </w:r>
      <w:r>
        <w:br w:type="textWrapping"/>
      </w:r>
      <w:r>
        <w:t>The drainage-first strategy is central. Before fill placement commences, subsoil drains and side drains are installed; fill surfaces are crowned with 2% minimum crossfall; and compacted layers are protected from rain. During the wet season the earthworks fleet shifts to drained areas, and structure construction, MSE wall installation and service relocations are prioritised. Asphalt laying is restricted to dry conditions with forecasts monitored 48 hours ahead. Before each wet season a drainage audit is conducted, erosion controls installed, and wet-weather PPE issued.</w:t>
      </w:r>
    </w:p>
    <w:p w14:paraId="78648E60">
      <w:r>
        <w:br w:type="page"/>
      </w:r>
    </w:p>
    <w:p w14:paraId="4C684EB1">
      <w:pPr>
        <w:pStyle w:val="2"/>
      </w:pPr>
      <w:bookmarkStart w:id="31" w:name="_Toc16364"/>
      <w:r>
        <w:t>5. Resource Plan and Workplan Hours</w:t>
      </w:r>
      <w:bookmarkEnd w:id="31"/>
    </w:p>
    <w:p w14:paraId="2ABFF566">
      <w:pPr>
        <w:pStyle w:val="3"/>
      </w:pPr>
      <w:bookmarkStart w:id="32" w:name="_Toc2510"/>
      <w:r>
        <w:t>5.1 Key Personnel</w:t>
      </w:r>
      <w:bookmarkEnd w:id="32"/>
    </w:p>
    <w:p w14:paraId="085DE6B9"/>
    <w:p w14:paraId="4C6FEF9F">
      <w:pPr>
        <w:pStyle w:val="3"/>
      </w:pPr>
      <w:bookmarkStart w:id="33" w:name="_Toc15078"/>
      <w:r>
        <w:t>5.2 Labour and Plant Resources</w:t>
      </w:r>
      <w:bookmarkEnd w:id="33"/>
    </w:p>
    <w:p w14:paraId="710C576D">
      <w:r>
        <w:t>The resource plan for the N2 Section 18 upgrade is built around the Labour Histogram (Attachment 3) and Plant Histogram (Attachment 2), which together define the controlling resource envelope for the contract. Monthly resource forecasts are reconciled against these histograms and the accepted programme, ensuring that labour, plant and materials are available when and where the work fronts require them. Peaks above the  baseline are managed through proactive resource forecasting and work-front sequencing; any sustained increase is reflected in updated look-ahead programmes submitted to the Engineer.</w:t>
      </w:r>
      <w:r>
        <w:br w:type="textWrapping"/>
      </w:r>
      <w:r>
        <w:br w:type="textWrapping"/>
      </w:r>
      <w:r>
        <w:t>The resource strategy is verified against the concurrent work fronts required by the programme: peri-urban earthworks, urban reconstruction, structures, culverts, shotcrete and traffic accommodation. The  histograms provide the controlling tender baseline. The site team allocates those resources by work front in monthly look-ahead programmes. Labour and plant assigned to Targeted Enterprises remain part of the total project resource plan and are visible in monthly reporting. Plant used for traffic accommodation and public safety is not demobilised merely because a construction work front is complete; it remains assigned until the Engineer accepts the traffic switch or close-out condition.</w:t>
      </w:r>
    </w:p>
    <w:p w14:paraId="748D9B01">
      <w:r>
        <w:t>The workforce plan is sized to the all-resources peak of 1,397 persons and a total utilisation of 475,326 shifts across the contract period. The Earthworks and Civils labour counters overlap in time and are not additive; the combined all-resources peak is the controlling maximum used for accommodation, transport, welfare provision, HSE supervision and community-labour administration.</w:t>
      </w:r>
      <w:r>
        <w:br w:type="textWrapping"/>
      </w:r>
      <w:r>
        <w:br w:type="textWrapping"/>
      </w:r>
      <w:r>
        <w:t>Targeted Labour and training commitments are integrated into the production plan rather than treated as a separate social obligation. Key personnel, including the Contract Director, Construction Manager, CHSO, DEO, Mine Manager, Social Facilitator, TECM, Materials Manager and Traffic Safety Officer, are retained for the periods required by the programme and statutory obligations. The individuals nominated correspond to those declared in Form B4 (Schedule of Key Personnel and their Availability for the Proposed Contract), and any changes to the proposed team are notified to the Engineer in writing before mobilisation.</w:t>
      </w:r>
    </w:p>
    <w:p w14:paraId="7DAFEE89">
      <w:r>
        <w:t>The plant and equipment deployment for the N2 Section 18 upgrade is determined by the earthworks volumes (approximately 850,000 m³ soft excavation and 702,300 m³ hard excavation by blasting and 175,600 m³ hard excavation other than blasting and crushing), ten bridge and culvert structures, MSE retaining walls, and the 53-month programme with six concurrent peri-urban work fronts plus parallel urban sections. Equipment quantities are sized to sustain peak production rates across multiple simultaneous work fronts while maintaining fleet reliability and the ability to transfer plant between zones as the programme demands. The complete equipment schedule is set out in Form B2 (Schedule of Contractor’s Equipment) and summarised below, with the Plant Histogram (Attachment 2) providing the monthly deployment profile.</w:t>
      </w:r>
      <w:r>
        <w:br w:type="textWrapping"/>
      </w:r>
      <w:r>
        <w:br w:type="textWrapping"/>
      </w:r>
      <w:r>
        <w:t>The following table presents the complete Form B2 equipment schedule. Specialist items are grouped by work category and cross-referenced to the relevant method statements in Chapter 8.</w:t>
      </w:r>
      <w:r>
        <w:br w:type="textWrapping"/>
      </w:r>
      <w:r>
        <w:br w:type="textWrapping"/>
      </w:r>
      <w:r>
        <w:t>Specialist equipment not listed above — including two-stage crushing plants, shotcrete pumps, MSE lifting equipment, bridge cranes, drilling and blasting equipment, laboratory equipment and traffic accommodation plant — is included in the full Form B2 schedule and cross-referenced to the relevant method statements in Chapter 8. Equipment is transferred between work fronts in accordance with the monthly look-ahead programme; no critical-path plant is demobilised until the Engineer accepts the relevant work-front close-out.</w:t>
      </w:r>
    </w:p>
    <w:p w14:paraId="054DB5FC">
      <w:pPr>
        <w:pStyle w:val="3"/>
      </w:pPr>
      <w:bookmarkStart w:id="34" w:name="_Toc3473"/>
      <w:r>
        <w:t>5.3 Normalised Hours / Workplan Hours</w:t>
      </w:r>
      <w:bookmarkEnd w:id="34"/>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160"/>
        <w:gridCol w:w="2160"/>
        <w:gridCol w:w="2160"/>
        <w:gridCol w:w="2160"/>
      </w:tblGrid>
      <w:tr w14:paraId="022DF31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9C124EE">
            <w:pPr>
              <w:spacing w:after="0" w:line="240" w:lineRule="auto"/>
            </w:pPr>
            <w:r>
              <w:rPr>
                <w:b/>
              </w:rPr>
              <w:t>Work Package</w:t>
            </w:r>
          </w:p>
        </w:tc>
        <w:tc>
          <w:tcPr>
            <w:tcW w:w="2160" w:type="dxa"/>
          </w:tcPr>
          <w:p w14:paraId="10F4D2EE">
            <w:pPr>
              <w:spacing w:after="0" w:line="240" w:lineRule="auto"/>
            </w:pPr>
            <w:r>
              <w:rPr>
                <w:b/>
              </w:rPr>
              <w:t>Key Personnel</w:t>
            </w:r>
          </w:p>
        </w:tc>
        <w:tc>
          <w:tcPr>
            <w:tcW w:w="2160" w:type="dxa"/>
          </w:tcPr>
          <w:p w14:paraId="7C20DBBA">
            <w:pPr>
              <w:spacing w:after="0" w:line="240" w:lineRule="auto"/>
            </w:pPr>
            <w:r>
              <w:rPr>
                <w:b/>
              </w:rPr>
              <w:t>Estimated Hours</w:t>
            </w:r>
          </w:p>
        </w:tc>
        <w:tc>
          <w:tcPr>
            <w:tcW w:w="2160" w:type="dxa"/>
          </w:tcPr>
          <w:p w14:paraId="17059D06">
            <w:pPr>
              <w:spacing w:after="0" w:line="240" w:lineRule="auto"/>
            </w:pPr>
            <w:r>
              <w:rPr>
                <w:b/>
              </w:rPr>
              <w:t>Basis</w:t>
            </w:r>
          </w:p>
        </w:tc>
      </w:tr>
      <w:tr w14:paraId="06029C9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FB32752">
            <w:pPr>
              <w:spacing w:after="0" w:line="240" w:lineRule="auto"/>
            </w:pPr>
            <w:r>
              <w:t>Mobilisation and establishment</w:t>
            </w:r>
          </w:p>
        </w:tc>
        <w:tc>
          <w:tcPr>
            <w:tcW w:w="2160" w:type="dxa"/>
          </w:tcPr>
          <w:p w14:paraId="76ED86EF">
            <w:pPr>
              <w:spacing w:after="0" w:line="240" w:lineRule="auto"/>
            </w:pPr>
            <w:r>
              <w:t>PM, Construction Manager, HSE, Survey</w:t>
            </w:r>
          </w:p>
        </w:tc>
        <w:tc>
          <w:tcPr>
            <w:tcW w:w="2160" w:type="dxa"/>
          </w:tcPr>
          <w:p w14:paraId="5263857F">
            <w:pPr>
              <w:spacing w:after="0" w:line="240" w:lineRule="auto"/>
            </w:pPr>
            <w:r>
              <w:t>12,000</w:t>
            </w:r>
          </w:p>
        </w:tc>
        <w:tc>
          <w:tcPr>
            <w:tcW w:w="2160" w:type="dxa"/>
          </w:tcPr>
          <w:p w14:paraId="455281E7">
            <w:pPr>
              <w:spacing w:after="0" w:line="240" w:lineRule="auto"/>
            </w:pPr>
            <w:r>
              <w:t>5-month establishment × 60 persons average</w:t>
            </w:r>
          </w:p>
        </w:tc>
      </w:tr>
      <w:tr w14:paraId="7674187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94E0402">
            <w:pPr>
              <w:spacing w:after="0" w:line="240" w:lineRule="auto"/>
            </w:pPr>
            <w:r>
              <w:t>Earthworks and blasting</w:t>
            </w:r>
          </w:p>
        </w:tc>
        <w:tc>
          <w:tcPr>
            <w:tcW w:w="2160" w:type="dxa"/>
          </w:tcPr>
          <w:p w14:paraId="72CC157C">
            <w:pPr>
              <w:spacing w:after="0" w:line="240" w:lineRule="auto"/>
            </w:pPr>
            <w:r>
              <w:t>Construction Manager, Mine Manager, Site Agents</w:t>
            </w:r>
          </w:p>
        </w:tc>
        <w:tc>
          <w:tcPr>
            <w:tcW w:w="2160" w:type="dxa"/>
          </w:tcPr>
          <w:p w14:paraId="13AFAE2E">
            <w:pPr>
              <w:spacing w:after="0" w:line="240" w:lineRule="auto"/>
            </w:pPr>
            <w:r>
              <w:t>85,000</w:t>
            </w:r>
          </w:p>
        </w:tc>
        <w:tc>
          <w:tcPr>
            <w:tcW w:w="2160" w:type="dxa"/>
          </w:tcPr>
          <w:p w14:paraId="396DC053">
            <w:pPr>
              <w:spacing w:after="0" w:line="240" w:lineRule="auto"/>
            </w:pPr>
            <w:r>
              <w:t>850,000 m³ soft + 122,700 m³ hard × production duration</w:t>
            </w:r>
          </w:p>
        </w:tc>
      </w:tr>
      <w:tr w14:paraId="6A3F936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B9A1B9A">
            <w:pPr>
              <w:spacing w:after="0" w:line="240" w:lineRule="auto"/>
            </w:pPr>
            <w:r>
              <w:t>Drainage and culverts</w:t>
            </w:r>
          </w:p>
        </w:tc>
        <w:tc>
          <w:tcPr>
            <w:tcW w:w="2160" w:type="dxa"/>
          </w:tcPr>
          <w:p w14:paraId="6F08D6F0">
            <w:pPr>
              <w:spacing w:after="0" w:line="240" w:lineRule="auto"/>
            </w:pPr>
            <w:r>
              <w:t>Site Agent, Foreman, QA</w:t>
            </w:r>
          </w:p>
        </w:tc>
        <w:tc>
          <w:tcPr>
            <w:tcW w:w="2160" w:type="dxa"/>
          </w:tcPr>
          <w:p w14:paraId="3DBC58FC">
            <w:pPr>
              <w:spacing w:after="0" w:line="240" w:lineRule="auto"/>
            </w:pPr>
            <w:r>
              <w:t>22,000</w:t>
            </w:r>
          </w:p>
        </w:tc>
        <w:tc>
          <w:tcPr>
            <w:tcW w:w="2160" w:type="dxa"/>
          </w:tcPr>
          <w:p w14:paraId="10B9236B">
            <w:pPr>
              <w:spacing w:after="0" w:line="240" w:lineRule="auto"/>
            </w:pPr>
            <w:r>
              <w:t>143,150 m drains + 4 culverts × 18 months</w:t>
            </w:r>
          </w:p>
        </w:tc>
      </w:tr>
      <w:tr w14:paraId="677E186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47703584">
            <w:pPr>
              <w:spacing w:after="0" w:line="240" w:lineRule="auto"/>
            </w:pPr>
            <w:r>
              <w:t>Pavement layerworks</w:t>
            </w:r>
          </w:p>
        </w:tc>
        <w:tc>
          <w:tcPr>
            <w:tcW w:w="2160" w:type="dxa"/>
          </w:tcPr>
          <w:p w14:paraId="2FBA6469">
            <w:pPr>
              <w:spacing w:after="0" w:line="240" w:lineRule="auto"/>
            </w:pPr>
            <w:r>
              <w:t>Site Agent, Materials Manager, Lab Tech</w:t>
            </w:r>
          </w:p>
        </w:tc>
        <w:tc>
          <w:tcPr>
            <w:tcW w:w="2160" w:type="dxa"/>
          </w:tcPr>
          <w:p w14:paraId="107C3C6F">
            <w:pPr>
              <w:spacing w:after="0" w:line="240" w:lineRule="auto"/>
            </w:pPr>
            <w:r>
              <w:t>35,000</w:t>
            </w:r>
          </w:p>
        </w:tc>
        <w:tc>
          <w:tcPr>
            <w:tcW w:w="2160" w:type="dxa"/>
          </w:tcPr>
          <w:p w14:paraId="28742372">
            <w:pPr>
              <w:spacing w:after="0" w:line="240" w:lineRule="auto"/>
            </w:pPr>
            <w:r>
              <w:t>G7/G6/G5A/G1 layers × programme</w:t>
            </w:r>
          </w:p>
        </w:tc>
      </w:tr>
      <w:tr w14:paraId="270A2E9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1DA81C7">
            <w:pPr>
              <w:spacing w:after="0" w:line="240" w:lineRule="auto"/>
            </w:pPr>
            <w:r>
              <w:t>Asphalt and surfacing</w:t>
            </w:r>
          </w:p>
        </w:tc>
        <w:tc>
          <w:tcPr>
            <w:tcW w:w="2160" w:type="dxa"/>
          </w:tcPr>
          <w:p w14:paraId="30C2B09B">
            <w:pPr>
              <w:spacing w:after="0" w:line="240" w:lineRule="auto"/>
            </w:pPr>
            <w:r>
              <w:t>Construction Manager, QA, HSE</w:t>
            </w:r>
          </w:p>
        </w:tc>
        <w:tc>
          <w:tcPr>
            <w:tcW w:w="2160" w:type="dxa"/>
          </w:tcPr>
          <w:p w14:paraId="3BAAAA32">
            <w:pPr>
              <w:spacing w:after="0" w:line="240" w:lineRule="auto"/>
            </w:pPr>
            <w:r>
              <w:t>8,000</w:t>
            </w:r>
          </w:p>
        </w:tc>
        <w:tc>
          <w:tcPr>
            <w:tcW w:w="2160" w:type="dxa"/>
          </w:tcPr>
          <w:p w14:paraId="1BEA1EC0">
            <w:pPr>
              <w:spacing w:after="0" w:line="240" w:lineRule="auto"/>
            </w:pPr>
            <w:r>
              <w:t>3,830 t asphalt × paving days</w:t>
            </w:r>
          </w:p>
        </w:tc>
      </w:tr>
      <w:tr w14:paraId="5322181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34AF4BB">
            <w:pPr>
              <w:spacing w:after="0" w:line="240" w:lineRule="auto"/>
            </w:pPr>
            <w:r>
              <w:t>Structures (bridges, MSE, shotcrete)</w:t>
            </w:r>
          </w:p>
        </w:tc>
        <w:tc>
          <w:tcPr>
            <w:tcW w:w="2160" w:type="dxa"/>
          </w:tcPr>
          <w:p w14:paraId="03C4522A">
            <w:pPr>
              <w:spacing w:after="0" w:line="240" w:lineRule="auto"/>
            </w:pPr>
            <w:r>
              <w:t>Structures Agent, QA, Survey</w:t>
            </w:r>
          </w:p>
        </w:tc>
        <w:tc>
          <w:tcPr>
            <w:tcW w:w="2160" w:type="dxa"/>
          </w:tcPr>
          <w:p w14:paraId="6F19B867">
            <w:pPr>
              <w:spacing w:after="0" w:line="240" w:lineRule="auto"/>
            </w:pPr>
            <w:r>
              <w:t>45,000</w:t>
            </w:r>
          </w:p>
        </w:tc>
        <w:tc>
          <w:tcPr>
            <w:tcW w:w="2160" w:type="dxa"/>
          </w:tcPr>
          <w:p w14:paraId="77C66DF1">
            <w:pPr>
              <w:spacing w:after="0" w:line="240" w:lineRule="auto"/>
            </w:pPr>
            <w:r>
              <w:t>10 bridges + MSE + shotcrete × 36 months</w:t>
            </w:r>
          </w:p>
        </w:tc>
      </w:tr>
      <w:tr w14:paraId="3F2BFB8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F08C96F">
            <w:pPr>
              <w:spacing w:after="0" w:line="240" w:lineRule="auto"/>
            </w:pPr>
            <w:r>
              <w:t>Traffic accommodation</w:t>
            </w:r>
          </w:p>
        </w:tc>
        <w:tc>
          <w:tcPr>
            <w:tcW w:w="2160" w:type="dxa"/>
          </w:tcPr>
          <w:p w14:paraId="51748383">
            <w:pPr>
              <w:spacing w:after="0" w:line="240" w:lineRule="auto"/>
            </w:pPr>
            <w:r>
              <w:t>Traffic Safety Officer, flagmen</w:t>
            </w:r>
          </w:p>
        </w:tc>
        <w:tc>
          <w:tcPr>
            <w:tcW w:w="2160" w:type="dxa"/>
          </w:tcPr>
          <w:p w14:paraId="31805F61">
            <w:pPr>
              <w:spacing w:after="0" w:line="240" w:lineRule="auto"/>
            </w:pPr>
            <w:r>
              <w:t>28,000</w:t>
            </w:r>
          </w:p>
        </w:tc>
        <w:tc>
          <w:tcPr>
            <w:tcW w:w="2160" w:type="dxa"/>
          </w:tcPr>
          <w:p w14:paraId="0761FFA3">
            <w:pPr>
              <w:spacing w:after="0" w:line="240" w:lineRule="auto"/>
            </w:pPr>
            <w:r>
              <w:t>Full-time traffic team × 53 months</w:t>
            </w:r>
          </w:p>
        </w:tc>
      </w:tr>
      <w:tr w14:paraId="6E18321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50039B7">
            <w:pPr>
              <w:spacing w:after="0" w:line="240" w:lineRule="auto"/>
            </w:pPr>
            <w:r>
              <w:t>Electrical and lighting</w:t>
            </w:r>
          </w:p>
        </w:tc>
        <w:tc>
          <w:tcPr>
            <w:tcW w:w="2160" w:type="dxa"/>
          </w:tcPr>
          <w:p w14:paraId="396FDBAF">
            <w:pPr>
              <w:spacing w:after="0" w:line="240" w:lineRule="auto"/>
            </w:pPr>
            <w:r>
              <w:t>Electrical Sub, QA</w:t>
            </w:r>
          </w:p>
        </w:tc>
        <w:tc>
          <w:tcPr>
            <w:tcW w:w="2160" w:type="dxa"/>
          </w:tcPr>
          <w:p w14:paraId="4736C3A4">
            <w:pPr>
              <w:spacing w:after="0" w:line="240" w:lineRule="auto"/>
            </w:pPr>
            <w:r>
              <w:t>8,000</w:t>
            </w:r>
          </w:p>
        </w:tc>
        <w:tc>
          <w:tcPr>
            <w:tcW w:w="2160" w:type="dxa"/>
          </w:tcPr>
          <w:p w14:paraId="009A43BE">
            <w:pPr>
              <w:spacing w:after="0" w:line="240" w:lineRule="auto"/>
            </w:pPr>
            <w:r>
              <w:t>1,593 luminaires + cabling × programme</w:t>
            </w:r>
          </w:p>
        </w:tc>
      </w:tr>
      <w:tr w14:paraId="776EED8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0319083">
            <w:pPr>
              <w:spacing w:after="0" w:line="240" w:lineRule="auto"/>
            </w:pPr>
            <w:r>
              <w:t>Road furniture and markings</w:t>
            </w:r>
          </w:p>
        </w:tc>
        <w:tc>
          <w:tcPr>
            <w:tcW w:w="2160" w:type="dxa"/>
          </w:tcPr>
          <w:p w14:paraId="63E7536B">
            <w:pPr>
              <w:spacing w:after="0" w:line="240" w:lineRule="auto"/>
            </w:pPr>
            <w:r>
              <w:t>Finishing Foreman, Survey</w:t>
            </w:r>
          </w:p>
        </w:tc>
        <w:tc>
          <w:tcPr>
            <w:tcW w:w="2160" w:type="dxa"/>
          </w:tcPr>
          <w:p w14:paraId="2A2DB80D">
            <w:pPr>
              <w:spacing w:after="0" w:line="240" w:lineRule="auto"/>
            </w:pPr>
            <w:r>
              <w:t>6,000</w:t>
            </w:r>
          </w:p>
        </w:tc>
        <w:tc>
          <w:tcPr>
            <w:tcW w:w="2160" w:type="dxa"/>
          </w:tcPr>
          <w:p w14:paraId="0ACB92ED">
            <w:pPr>
              <w:spacing w:after="0" w:line="240" w:lineRule="auto"/>
            </w:pPr>
            <w:r>
              <w:t>Guardrails + signs + markings × finishing phase</w:t>
            </w:r>
          </w:p>
        </w:tc>
      </w:tr>
      <w:tr w14:paraId="31F5EC1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5C55EE77">
            <w:pPr>
              <w:spacing w:after="0" w:line="240" w:lineRule="auto"/>
            </w:pPr>
            <w:r>
              <w:t>Completion and handover</w:t>
            </w:r>
          </w:p>
        </w:tc>
        <w:tc>
          <w:tcPr>
            <w:tcW w:w="2160" w:type="dxa"/>
          </w:tcPr>
          <w:p w14:paraId="3766AAEC">
            <w:pPr>
              <w:spacing w:after="0" w:line="240" w:lineRule="auto"/>
            </w:pPr>
            <w:r>
              <w:t>PM, QA, Surveyor</w:t>
            </w:r>
          </w:p>
        </w:tc>
        <w:tc>
          <w:tcPr>
            <w:tcW w:w="2160" w:type="dxa"/>
          </w:tcPr>
          <w:p w14:paraId="62008D7B">
            <w:pPr>
              <w:spacing w:after="0" w:line="240" w:lineRule="auto"/>
            </w:pPr>
            <w:r>
              <w:t>5,000</w:t>
            </w:r>
          </w:p>
        </w:tc>
        <w:tc>
          <w:tcPr>
            <w:tcW w:w="2160" w:type="dxa"/>
          </w:tcPr>
          <w:p w14:paraId="1ACC0F81">
            <w:pPr>
              <w:spacing w:after="0" w:line="240" w:lineRule="auto"/>
            </w:pPr>
            <w:r>
              <w:t>As-built + snagging + close-out × terminal float</w:t>
            </w:r>
          </w:p>
        </w:tc>
      </w:tr>
    </w:tbl>
    <w:p w14:paraId="0673D4C6">
      <w:pPr>
        <w:pStyle w:val="3"/>
      </w:pPr>
      <w:bookmarkStart w:id="35" w:name="_Toc27942"/>
      <w:r>
        <w:t>5.4 Subcontractors and Targeted Enterprises</w:t>
      </w:r>
      <w:bookmarkEnd w:id="35"/>
    </w:p>
    <w:p w14:paraId="654203C1">
      <w:r>
        <w:t>The A22 Declaration constrains subcontracting for the core work chapters. The six chapters designated as non-subcontractable — COTO Ch 3 (Drainage), COTO Ch 4/5 (Earthworks), COTO Ch 9 (Bituminous), COTO Ch 13 (Structures), COTO Ch 11 (Road Markings) and COTO Ch 11 (Road Signs) — must be self-performed by the main Contractor for 60 months from the commencement date. All resources for these chapters are planned under the Contractor’s direct labour and plant, as reflected in the Form B2 equipment schedule, the Form B4 key personnel declarations and the resource histograms. The COTO Ch 11 (Ancillary Works) chapter may be subcontracted to Targeted Enterprises from the outset, with packages scoped from Schedule A2 provisional sums and procured per Section D after month 6. For all other chapters, the Contractor must self-perform for the first six months before eligible work may be transferred to Targeted Enterprises under the CPG framework. This constraint shapes the entire resource strategy: the Contractor mobilises with sufficient own plant, labour and management capacity to deliver the core works independently, building the institutional knowledge and production momentum that later supports a controlled transition of eligible packages to Targeted Enterprises.</w:t>
      </w:r>
    </w:p>
    <w:p w14:paraId="467347ED">
      <w:r>
        <w:t>The Contractor has decomposed the Targeted Enterprise (TE) scope into ten discrete work packages, each sized to match the prevailing CIDB grading capacity within the Eastern Cape while delivering meaningful contract value to participating enterprises. The table below presents the full work-package register together with the corresponding BOQ section, estimated value, minimum CIDB grading requirement and indicative subcontracting window.</w:t>
      </w:r>
      <w:r>
        <w:br w:type="textWrapping"/>
      </w:r>
      <w:r>
        <w:br w:type="textWrapping"/>
      </w:r>
      <w:r>
        <w:t>The aggregate estimated value of the ten work packages is approximately R473 million, representing ~35.7% of the Final Contract Value (FCV). This exceeds the mandatory 35% CPG threshold and provides a compliance margin to absorb value-engineering adjustments or scope refinements that may arise during construction.</w:t>
      </w:r>
      <w:r>
        <w:br w:type="textWrapping"/>
      </w:r>
      <w:r>
        <w:br w:type="textWrapping"/>
      </w:r>
      <w:r>
        <w:t>The single largest work package is WP-TE-10 (Community Access Roads) at approximately R240 million, corresponding to the Schedule A2 provisional sum. This package alone accounts for roughly half of the total TE allocation and is governed by the provisional-sum instruction procedure described in Section 12.3. The remaining nine packages, ranging from R15 million to R45 million each, are distributed across earthworks, drainage, kerbing, paving, landscaping, road-safety furniture, temporary works and minor concrete structures — providing a diversified portfolio of work types that engages enterprises at every CIDB grading level from 1 through 4.</w:t>
      </w:r>
      <w:r>
        <w:br w:type="textWrapping"/>
      </w:r>
      <w:r>
        <w:br w:type="textWrapping"/>
      </w:r>
      <w:r>
        <w:t>Package sizing has been calibrated against the available TE market in the Eastern Cape. Packages exceeding R40 million are reserved for CIDB 3–4 enterprises capable of sustained production, while sub-R20 million packages are deliberately scoped to accommodate CIDB 1–2 contractors who may require closer mentoring but can deliver high-quality outcomes on discrete, well-defined scopes.</w:t>
      </w:r>
    </w:p>
    <w:p w14:paraId="3BB052A6">
      <w:r>
        <w:br w:type="page"/>
      </w:r>
    </w:p>
    <w:p w14:paraId="532DF962">
      <w:pPr>
        <w:pStyle w:val="2"/>
      </w:pPr>
      <w:bookmarkStart w:id="36" w:name="_Toc27479"/>
      <w:r>
        <w:t>6. Materials and Logistics Plan</w:t>
      </w:r>
      <w:bookmarkEnd w:id="36"/>
    </w:p>
    <w:p w14:paraId="35ABC90F">
      <w:pPr>
        <w:pStyle w:val="3"/>
      </w:pPr>
      <w:bookmarkStart w:id="37" w:name="_Toc28387"/>
      <w:r>
        <w:t>6.1 Material Sources</w:t>
      </w:r>
      <w:bookmarkEnd w:id="37"/>
    </w:p>
    <w:p w14:paraId="74DD500B">
      <w:r>
        <w:t>The materials strategy is based on a combination of commercial sources, on-site processing and cut-to-fill balance. Commercial aggregates for pavement layers, concrete and asphalt are procured from approved quarries and suppliers, with source approvals, laboratory testing and delivery scheduling managed through the independent site laboratory and the SARDS sampling system.</w:t>
      </w:r>
      <w:r>
        <w:br w:type="textWrapping"/>
      </w:r>
      <w:r>
        <w:br w:type="textWrapping"/>
      </w:r>
      <w:r>
        <w:t>The two-stage crushing plants process approximately 122,700 m3 of suitable hard cut material into approved products, reducing dependence on distant commercial sources and shortening haul distances for selected layers, capping and culvert bedding materials. The commercial evaluation of on-site crushing versus imported commercial materials is addressed in the tender pricing backup; the construction methodology is based on material compliance, programme reliability, haul-distance control and traceability of accepted products.</w:t>
      </w:r>
      <w:r>
        <w:br w:type="textWrapping"/>
      </w:r>
      <w:r>
        <w:br w:type="textWrapping"/>
      </w:r>
      <w:r>
        <w:t>Material Utilisation Plans (M&amp;U Plans) are submitted before each cutting is opened and before processed material is relied on for permanent works. Each plan documents the source, stockpile location, product classification, quality testing schedule and haul route. All materials are traced from source cutting or commercial supplier through stockpile to final work location, with no material released to a permanent work front until testing and Engineer acceptance are recorded.</w:t>
      </w:r>
    </w:p>
    <w:p w14:paraId="7525EE29">
      <w:pPr>
        <w:pStyle w:val="3"/>
      </w:pPr>
      <w:bookmarkStart w:id="38" w:name="_Toc11029"/>
      <w:r>
        <w:t>6.2 Haulage and Stockpile Management</w:t>
      </w:r>
      <w:bookmarkEnd w:id="38"/>
    </w:p>
    <w:p w14:paraId="6A637674">
      <w:r>
        <w:t>Material logistics are planned around a fundamental sequencing requirement: commercial fill and pavement materials must be available before the hard cuttings open, processed crushed material must be stockpiled before layerworks commences, and asphalt aggregates must be procured before surfacing begins in each section. The supply chain therefore operates on three parallel tracks. Commercial sources — borrow pits, quarries and approved suppliers — are investigated, sampled and submitted for approval during M3, with first deliveries scheduled for the opening earthworks stages. Two-stage crushing of hard cut material begins with crusher commissioning in M4–M5 and ramps up through 2027 and 2028, with processed products stockpiled by class, source, date and test status pending laboratory approval and Engineer acceptance. Asphalt aggregates, concrete aggregates, gabion rock and specialised materials are procured through the Contractor’s established supply network, with orders placed well in advance of the surfacing and structure programmes.</w:t>
      </w:r>
      <w:r>
        <w:br w:type="textWrapping"/>
      </w:r>
      <w:r>
        <w:br w:type="textWrapping"/>
      </w:r>
      <w:r>
        <w:t>Haul routes, public-road interfaces and abnormal deliveries are coordinated with the traffic accommodation plan and community liaison controls. Material traceability is maintained from source through stockpile to final work-front placement, with the independent laboratory providing the testing and hold-point regime that governs release. Monthly materials reviews confirm that approved stockpile volumes are sufficient for the next three months of planned production, providing an early warning if source approvals, crushing rates or delivery schedules require adjustment.</w:t>
      </w:r>
    </w:p>
    <w:p w14:paraId="7B7A4612">
      <w:r>
        <w:t>Material flow follows a disciplined chain from source to placement:</w:t>
      </w:r>
      <w:r>
        <w:br w:type="textWrapping"/>
      </w:r>
      <w:r>
        <w:br w:type="textWrapping"/>
      </w:r>
      <w:r>
        <w:t>The source cutting is identified and classified before excavation. Blasted or ripped rock is hauled to the nearest crusher pad or approved temporary stockpile. Material is processed through the two-stage plant with integrated screening and oversize recirculation. Products are stockpiled by class, source, date and test status. Each stockpile is held pending laboratory testing and Engineer acceptance. Only approved product is released to pavement, bedding, backfill or selected-layer work fronts.</w:t>
      </w:r>
      <w:r>
        <w:br w:type="textWrapping"/>
      </w:r>
      <w:r>
        <w:br w:type="textWrapping"/>
      </w:r>
      <w:r>
        <w:t>Routine quality control during crushing includes sieve analysis against the specified grading envelope for each product class, Flakiness Index and ACV/10% FACT testing for particle shape and strength, PI and fines monitoring for selected layers and backfill uses, and segregation control through managed stockpile heights and loader practice. No stockpile is released until the source, product class, test results and Engineer acceptance are recorded. Product is traced from source cutting to stockpile to final work location.</w:t>
      </w:r>
      <w:r>
        <w:br w:type="textWrapping"/>
      </w:r>
      <w:r>
        <w:br w:type="textWrapping"/>
      </w:r>
      <w:r>
        <w:t>Crusher locations, stockpile areas, source selection, processing sequences, quality hold points and haul routes are incorporated into the Material Utilisation Plans required under C4.2.1. M&amp;U Plans are submitted before the relevant cutting is opened and before processed material is relied on for permanent works.</w:t>
      </w:r>
    </w:p>
    <w:p w14:paraId="63C3AF12">
      <w:pPr>
        <w:pStyle w:val="3"/>
      </w:pPr>
      <w:bookmarkStart w:id="39" w:name="_Toc5936"/>
      <w:r>
        <w:t>6.3 Long-lead Items and Backup Suppliers</w:t>
      </w:r>
      <w:bookmarkEnd w:id="39"/>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29285E9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1728" w:type="dxa"/>
          </w:tcPr>
          <w:p w14:paraId="5264D6E4">
            <w:pPr>
              <w:spacing w:after="0" w:line="240" w:lineRule="auto"/>
            </w:pPr>
            <w:r>
              <w:rPr>
                <w:b/>
              </w:rPr>
              <w:t>Material</w:t>
            </w:r>
          </w:p>
        </w:tc>
        <w:tc>
          <w:tcPr>
            <w:tcW w:w="1728" w:type="dxa"/>
          </w:tcPr>
          <w:p w14:paraId="1788AD42">
            <w:pPr>
              <w:spacing w:after="0" w:line="240" w:lineRule="auto"/>
            </w:pPr>
            <w:r>
              <w:rPr>
                <w:b/>
              </w:rPr>
              <w:t>Quantity</w:t>
            </w:r>
          </w:p>
        </w:tc>
        <w:tc>
          <w:tcPr>
            <w:tcW w:w="1728" w:type="dxa"/>
          </w:tcPr>
          <w:p w14:paraId="2B1BB5FD">
            <w:pPr>
              <w:spacing w:after="0" w:line="240" w:lineRule="auto"/>
            </w:pPr>
            <w:r>
              <w:rPr>
                <w:b/>
              </w:rPr>
              <w:t>Lead Time</w:t>
            </w:r>
          </w:p>
        </w:tc>
        <w:tc>
          <w:tcPr>
            <w:tcW w:w="1728" w:type="dxa"/>
          </w:tcPr>
          <w:p w14:paraId="400133C1">
            <w:pPr>
              <w:spacing w:after="0" w:line="240" w:lineRule="auto"/>
            </w:pPr>
            <w:r>
              <w:rPr>
                <w:b/>
              </w:rPr>
              <w:t>Delivery Window</w:t>
            </w:r>
          </w:p>
        </w:tc>
        <w:tc>
          <w:tcPr>
            <w:tcW w:w="1728" w:type="dxa"/>
          </w:tcPr>
          <w:p w14:paraId="0BA16896">
            <w:pPr>
              <w:spacing w:after="0" w:line="240" w:lineRule="auto"/>
            </w:pPr>
            <w:r>
              <w:rPr>
                <w:b/>
              </w:rPr>
              <w:t>Risk Control</w:t>
            </w:r>
          </w:p>
        </w:tc>
      </w:tr>
      <w:tr w14:paraId="5B9DB3F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1728" w:type="dxa"/>
          </w:tcPr>
          <w:p w14:paraId="350CB440">
            <w:pPr>
              <w:spacing w:after="0" w:line="240" w:lineRule="auto"/>
            </w:pPr>
            <w:r>
              <w:t>EME Binder</w:t>
            </w:r>
          </w:p>
        </w:tc>
        <w:tc>
          <w:tcPr>
            <w:tcW w:w="1728" w:type="dxa"/>
          </w:tcPr>
          <w:p w14:paraId="409D2C1A">
            <w:pPr>
              <w:spacing w:after="0" w:line="240" w:lineRule="auto"/>
            </w:pPr>
            <w:r>
              <w:t>3,000 t</w:t>
            </w:r>
          </w:p>
        </w:tc>
        <w:tc>
          <w:tcPr>
            <w:tcW w:w="1728" w:type="dxa"/>
          </w:tcPr>
          <w:p w14:paraId="5900F806">
            <w:pPr>
              <w:spacing w:after="0" w:line="240" w:lineRule="auto"/>
            </w:pPr>
            <w:r>
              <w:t>6 months</w:t>
            </w:r>
          </w:p>
        </w:tc>
        <w:tc>
          <w:tcPr>
            <w:tcW w:w="1728" w:type="dxa"/>
          </w:tcPr>
          <w:p w14:paraId="23F473B3">
            <w:pPr>
              <w:spacing w:after="0" w:line="240" w:lineRule="auto"/>
            </w:pPr>
            <w:r>
              <w:t>2029 Q1</w:t>
            </w:r>
          </w:p>
        </w:tc>
        <w:tc>
          <w:tcPr>
            <w:tcW w:w="1728" w:type="dxa"/>
          </w:tcPr>
          <w:p w14:paraId="65CEB936">
            <w:pPr>
              <w:spacing w:after="0" w:line="240" w:lineRule="auto"/>
            </w:pPr>
            <w:r>
              <w:t>Reserved with national supplier</w:t>
            </w:r>
          </w:p>
        </w:tc>
      </w:tr>
      <w:tr w14:paraId="06FD953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1728" w:type="dxa"/>
          </w:tcPr>
          <w:p w14:paraId="497BDC51">
            <w:pPr>
              <w:spacing w:after="0" w:line="240" w:lineRule="auto"/>
            </w:pPr>
            <w:r>
              <w:t>MSE Precast Panels</w:t>
            </w:r>
          </w:p>
        </w:tc>
        <w:tc>
          <w:tcPr>
            <w:tcW w:w="1728" w:type="dxa"/>
          </w:tcPr>
          <w:p w14:paraId="74451F6E">
            <w:pPr>
              <w:spacing w:after="0" w:line="240" w:lineRule="auto"/>
            </w:pPr>
            <w:r>
              <w:t>11,542 units</w:t>
            </w:r>
          </w:p>
        </w:tc>
        <w:tc>
          <w:tcPr>
            <w:tcW w:w="1728" w:type="dxa"/>
          </w:tcPr>
          <w:p w14:paraId="3B49BC01">
            <w:pPr>
              <w:spacing w:after="0" w:line="240" w:lineRule="auto"/>
            </w:pPr>
            <w:r>
              <w:t>5–6 months</w:t>
            </w:r>
          </w:p>
        </w:tc>
        <w:tc>
          <w:tcPr>
            <w:tcW w:w="1728" w:type="dxa"/>
          </w:tcPr>
          <w:p w14:paraId="14C76EAB">
            <w:pPr>
              <w:spacing w:after="0" w:line="240" w:lineRule="auto"/>
            </w:pPr>
            <w:r>
              <w:t>2028 Q3</w:t>
            </w:r>
          </w:p>
        </w:tc>
        <w:tc>
          <w:tcPr>
            <w:tcW w:w="1728" w:type="dxa"/>
          </w:tcPr>
          <w:p w14:paraId="313BE844">
            <w:pPr>
              <w:spacing w:after="0" w:line="240" w:lineRule="auto"/>
            </w:pPr>
            <w:r>
              <w:t>Dual-supplier, 2-month safety stock</w:t>
            </w:r>
          </w:p>
        </w:tc>
      </w:tr>
      <w:tr w14:paraId="7CC15C7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1728" w:type="dxa"/>
          </w:tcPr>
          <w:p w14:paraId="16824824">
            <w:pPr>
              <w:spacing w:after="0" w:line="240" w:lineRule="auto"/>
            </w:pPr>
            <w:r>
              <w:t>Metallic Reinforcing Strips</w:t>
            </w:r>
          </w:p>
        </w:tc>
        <w:tc>
          <w:tcPr>
            <w:tcW w:w="1728" w:type="dxa"/>
          </w:tcPr>
          <w:p w14:paraId="1A2C4B8B">
            <w:pPr>
              <w:spacing w:after="0" w:line="240" w:lineRule="auto"/>
            </w:pPr>
            <w:r>
              <w:t>277,000 m</w:t>
            </w:r>
          </w:p>
        </w:tc>
        <w:tc>
          <w:tcPr>
            <w:tcW w:w="1728" w:type="dxa"/>
          </w:tcPr>
          <w:p w14:paraId="46A863A7">
            <w:pPr>
              <w:spacing w:after="0" w:line="240" w:lineRule="auto"/>
            </w:pPr>
            <w:r>
              <w:t>4–5 months</w:t>
            </w:r>
          </w:p>
        </w:tc>
        <w:tc>
          <w:tcPr>
            <w:tcW w:w="1728" w:type="dxa"/>
          </w:tcPr>
          <w:p w14:paraId="1ED49189">
            <w:pPr>
              <w:spacing w:after="0" w:line="240" w:lineRule="auto"/>
            </w:pPr>
            <w:r>
              <w:t>2028 Q2–Q3</w:t>
            </w:r>
          </w:p>
        </w:tc>
        <w:tc>
          <w:tcPr>
            <w:tcW w:w="1728" w:type="dxa"/>
          </w:tcPr>
          <w:p w14:paraId="1B589150">
            <w:pPr>
              <w:spacing w:after="0" w:line="240" w:lineRule="auto"/>
            </w:pPr>
            <w:r>
              <w:t>Hot-dip galvanised, covered storage</w:t>
            </w:r>
          </w:p>
        </w:tc>
      </w:tr>
      <w:tr w14:paraId="4548EF1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1728" w:type="dxa"/>
          </w:tcPr>
          <w:p w14:paraId="02167FFD">
            <w:pPr>
              <w:spacing w:after="0" w:line="240" w:lineRule="auto"/>
            </w:pPr>
            <w:r>
              <w:t>G5A Structural Backfill</w:t>
            </w:r>
          </w:p>
        </w:tc>
        <w:tc>
          <w:tcPr>
            <w:tcW w:w="1728" w:type="dxa"/>
          </w:tcPr>
          <w:p w14:paraId="09819989">
            <w:pPr>
              <w:spacing w:after="0" w:line="240" w:lineRule="auto"/>
            </w:pPr>
            <w:r>
              <w:t>158,000 m³</w:t>
            </w:r>
          </w:p>
        </w:tc>
        <w:tc>
          <w:tcPr>
            <w:tcW w:w="1728" w:type="dxa"/>
          </w:tcPr>
          <w:p w14:paraId="69C6E3DD">
            <w:pPr>
              <w:spacing w:after="0" w:line="240" w:lineRule="auto"/>
            </w:pPr>
            <w:r>
              <w:t>Continuous</w:t>
            </w:r>
          </w:p>
        </w:tc>
        <w:tc>
          <w:tcPr>
            <w:tcW w:w="1728" w:type="dxa"/>
          </w:tcPr>
          <w:p w14:paraId="39720FC3">
            <w:pPr>
              <w:spacing w:after="0" w:line="240" w:lineRule="auto"/>
            </w:pPr>
            <w:r>
              <w:t>2028–2030</w:t>
            </w:r>
          </w:p>
        </w:tc>
        <w:tc>
          <w:tcPr>
            <w:tcW w:w="1728" w:type="dxa"/>
          </w:tcPr>
          <w:p w14:paraId="77EC7D3A">
            <w:pPr>
              <w:spacing w:after="0" w:line="240" w:lineRule="auto"/>
            </w:pPr>
            <w:r>
              <w:t>3+ sources tested during mobilisation</w:t>
            </w:r>
          </w:p>
        </w:tc>
      </w:tr>
      <w:tr w14:paraId="0849081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1728" w:type="dxa"/>
          </w:tcPr>
          <w:p w14:paraId="518F5F13">
            <w:pPr>
              <w:spacing w:after="0" w:line="240" w:lineRule="auto"/>
            </w:pPr>
            <w:r>
              <w:t>Shotcrete Fibre</w:t>
            </w:r>
          </w:p>
        </w:tc>
        <w:tc>
          <w:tcPr>
            <w:tcW w:w="1728" w:type="dxa"/>
          </w:tcPr>
          <w:p w14:paraId="4E994B50">
            <w:pPr>
              <w:spacing w:after="0" w:line="240" w:lineRule="auto"/>
            </w:pPr>
            <w:r>
              <w:t>Per design</w:t>
            </w:r>
          </w:p>
        </w:tc>
        <w:tc>
          <w:tcPr>
            <w:tcW w:w="1728" w:type="dxa"/>
          </w:tcPr>
          <w:p w14:paraId="6313B7EB">
            <w:pPr>
              <w:spacing w:after="0" w:line="240" w:lineRule="auto"/>
            </w:pPr>
            <w:r>
              <w:t>3 months</w:t>
            </w:r>
          </w:p>
        </w:tc>
        <w:tc>
          <w:tcPr>
            <w:tcW w:w="1728" w:type="dxa"/>
          </w:tcPr>
          <w:p w14:paraId="207893D0">
            <w:pPr>
              <w:spacing w:after="0" w:line="240" w:lineRule="auto"/>
            </w:pPr>
            <w:r>
              <w:t>2027 Q4</w:t>
            </w:r>
          </w:p>
        </w:tc>
        <w:tc>
          <w:tcPr>
            <w:tcW w:w="1728" w:type="dxa"/>
          </w:tcPr>
          <w:p w14:paraId="1C79F141">
            <w:pPr>
              <w:spacing w:after="0" w:line="240" w:lineRule="auto"/>
            </w:pPr>
            <w:r>
              <w:t>Polymer fibres, max 40mm length</w:t>
            </w:r>
          </w:p>
        </w:tc>
      </w:tr>
      <w:tr w14:paraId="471319C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1728" w:type="dxa"/>
          </w:tcPr>
          <w:p w14:paraId="7F12B94C">
            <w:pPr>
              <w:spacing w:after="0" w:line="240" w:lineRule="auto"/>
            </w:pPr>
            <w:r>
              <w:t>Bridge Bearings</w:t>
            </w:r>
          </w:p>
        </w:tc>
        <w:tc>
          <w:tcPr>
            <w:tcW w:w="1728" w:type="dxa"/>
          </w:tcPr>
          <w:p w14:paraId="4DACAF00">
            <w:pPr>
              <w:spacing w:after="0" w:line="240" w:lineRule="auto"/>
            </w:pPr>
            <w:r>
              <w:t>Per design</w:t>
            </w:r>
          </w:p>
        </w:tc>
        <w:tc>
          <w:tcPr>
            <w:tcW w:w="1728" w:type="dxa"/>
          </w:tcPr>
          <w:p w14:paraId="45E96925">
            <w:pPr>
              <w:spacing w:after="0" w:line="240" w:lineRule="auto"/>
            </w:pPr>
            <w:r>
              <w:t>6 months</w:t>
            </w:r>
          </w:p>
        </w:tc>
        <w:tc>
          <w:tcPr>
            <w:tcW w:w="1728" w:type="dxa"/>
          </w:tcPr>
          <w:p w14:paraId="1DC54E3A">
            <w:pPr>
              <w:spacing w:after="0" w:line="240" w:lineRule="auto"/>
            </w:pPr>
            <w:r>
              <w:t>2028 Q3</w:t>
            </w:r>
          </w:p>
        </w:tc>
        <w:tc>
          <w:tcPr>
            <w:tcW w:w="1728" w:type="dxa"/>
          </w:tcPr>
          <w:p w14:paraId="7AC278C8">
            <w:pPr>
              <w:spacing w:after="0" w:line="240" w:lineRule="auto"/>
            </w:pPr>
            <w:r>
              <w:t>Elastomeric, long-lead procurement</w:t>
            </w:r>
          </w:p>
        </w:tc>
      </w:tr>
    </w:tbl>
    <w:p w14:paraId="52CF20DE">
      <w:r>
        <w:br w:type="page"/>
      </w:r>
    </w:p>
    <w:p w14:paraId="12F47CA7">
      <w:pPr>
        <w:pStyle w:val="2"/>
      </w:pPr>
      <w:bookmarkStart w:id="40" w:name="_Toc5218"/>
      <w:r>
        <w:t>7. Quality Management Methodology</w:t>
      </w:r>
      <w:bookmarkEnd w:id="40"/>
    </w:p>
    <w:p w14:paraId="4F08A848">
      <w:pPr>
        <w:pStyle w:val="3"/>
      </w:pPr>
      <w:bookmarkStart w:id="41" w:name="_Toc1725"/>
      <w:r>
        <w:t>7.1 Project Quality Plan</w:t>
      </w:r>
      <w:bookmarkEnd w:id="41"/>
    </w:p>
    <w:p w14:paraId="79218038">
      <w:r>
        <w:t>The Contractor operates an ISO 9001-aligned quality management system for the Works. A project-specific Quality Plan is submitted to the Engineer during mobilisation for review and acceptance, defining the quality organisation, inspection and test plans, hold points, non-conformance procedures, document control, records management and continuous improvement processes. A Quality Policy signed by the Contract Director is displayed at all site offices and induction areas.</w:t>
      </w:r>
      <w:r>
        <w:br w:type="textWrapping"/>
      </w:r>
      <w:r>
        <w:br w:type="textWrapping"/>
      </w:r>
      <w:r>
        <w:t>The Quality Plan is updated quarterly or when scope changes, and is subject to biannual internal quality audits with findings tracked to closure in the corrective action register. Quarterly management reviews by the Construction Manager and Quality Manager ensure the system remains effective and aligned with the changing demands of the programme. Lessons learnt are maintained in a register, and production improvements are implemented through revised method statements. All drawings, method statements, ITPs, NCRs and test records are controlled under the project document register.</w:t>
      </w:r>
    </w:p>
    <w:p w14:paraId="123ED209">
      <w:pPr>
        <w:pStyle w:val="3"/>
      </w:pPr>
      <w:bookmarkStart w:id="42" w:name="_Toc20810"/>
      <w:r>
        <w:t>7.2 Inspection and Test Plan</w:t>
      </w:r>
      <w:bookmarkEnd w:id="42"/>
    </w:p>
    <w:p w14:paraId="122D38E4">
      <w:r>
        <w:t>Each principal work activity is controlled through a project-specific Inspection and Test Plan (ITP) that defines the test type, frequency, responsible party, acceptance criteria and the level of Engineer involvement. Four control levels are used throughout the project:</w:t>
      </w:r>
      <w:r>
        <w:br w:type="textWrapping"/>
      </w:r>
      <w:r>
        <w:br w:type="textWrapping"/>
      </w:r>
      <w:r>
        <w:t>Hold Points require the work to stop until the test is passed and the Engineer has released the hold. Examples include layerworks density acceptance, concrete pre-pour inspection, asphalt trial section approval and stockpile release for crushed products. No subsequent layer or operation may proceed until the hold is formally released.</w:t>
      </w:r>
      <w:r>
        <w:br w:type="textWrapping"/>
      </w:r>
      <w:r>
        <w:br w:type="textWrapping"/>
      </w:r>
      <w:r>
        <w:t>Witness Points invite the Engineer to witness the test; work may proceed if the Engineer does not attend after due notice. Examples include blasting vibration monitoring and asphalt paving temperature checks.</w:t>
      </w:r>
      <w:r>
        <w:br w:type="textWrapping"/>
      </w:r>
      <w:r>
        <w:br w:type="textWrapping"/>
      </w:r>
      <w:r>
        <w:t>Review Points require records to be submitted for the Engineer’s review without any production stop. Examples include SARDS monthly reports, concrete cube 28-day results and survey as-built records.</w:t>
      </w:r>
      <w:r>
        <w:br w:type="textWrapping"/>
      </w:r>
      <w:r>
        <w:br w:type="textWrapping"/>
      </w:r>
      <w:r>
        <w:t>Surveillance involves ongoing monitoring with periodic checks by the Engineer. Examples include PPE compliance, dust suppression, stockpile segregation and traffic accommodation standards.</w:t>
      </w:r>
      <w:r>
        <w:br w:type="textWrapping"/>
      </w:r>
      <w:r>
        <w:br w:type="textWrapping"/>
      </w:r>
      <w:r>
        <w:t>ITPs are submitted to the Engineer for acceptance before the relevant work activity commences and are revised when the method statement, material source or specification changes.</w:t>
      </w:r>
    </w:p>
    <w:p w14:paraId="0968F429">
      <w:r>
        <w:t>The South African Road Design System (SARDS) is the project’s sampling and testing data management platform. SARDS generates random sampling positions and test frequencies for each lot and layer based on the design drawings and specification requirements, ensuring that testing is systematic, traceable and auditable. The system eliminates selective sampling and ensures that every section of completed work is evaluated against the specification.</w:t>
      </w:r>
      <w:r>
        <w:br w:type="textWrapping"/>
      </w:r>
      <w:r>
        <w:br w:type="textWrapping"/>
      </w:r>
      <w:r>
        <w:t>All field and laboratory test results are captured electronically in SARDS, which performs lot-by-lot statistical evaluation against specification acceptance criteria. Monthly SARDS summary reports are included in the quality section of the monthly progress report and feed into the SANRAL ITIS monthly reporting system. Every test result is traceable to the specific chainage, layer, lot, sample point and laboratory test record.</w:t>
      </w:r>
    </w:p>
    <w:p w14:paraId="4ABB1AE8">
      <w:r>
        <w:t>The contract provides for an independent site laboratory funded through a PC Sum of R48 million. The laboratory is established during mobilisation and is operational before the first earthworks acceptance testing, maintained for the full construction period. The laboratory is independent of the Contractor’s production teams; test results are reported simultaneously to the Engineer and the Contractor’s Quality Manager, ensuring that quality decisions are made on unbiased data.</w:t>
      </w:r>
      <w:r>
        <w:br w:type="textWrapping"/>
      </w:r>
      <w:r>
        <w:br w:type="textWrapping"/>
      </w:r>
      <w:r>
        <w:t>The laboratory scope covers earthworks, pavement layers, asphalt, concrete, aggregates, stabilised materials, MC-NME, EME, two-stage crushed products and all other COTO-specified testing. Asphalt testing procedures follow Sabita Manual 39. The facility requires a 440V/231V three-phase electrical supply, installed during site establishment.</w:t>
      </w:r>
      <w:r>
        <w:br w:type="textWrapping"/>
      </w:r>
      <w:r>
        <w:br w:type="textWrapping"/>
      </w:r>
      <w:r>
        <w:t>The Contractor may charge a handling percentage on laboratory invoices. However, delayed payment to the laboratory results in forfeiture of the handling fee, providing a commercial incentive for prompt settlement. The laboratory service provider is directly contracted by the Contractor, and the relationship is managed through the Quality Manager.</w:t>
      </w:r>
    </w:p>
    <w:p w14:paraId="1A29F9D2">
      <w:pPr>
        <w:pStyle w:val="3"/>
      </w:pPr>
      <w:bookmarkStart w:id="43" w:name="_Toc11900"/>
      <w:r>
        <w:t>7.3 Hold Points and Acceptance Records</w:t>
      </w:r>
      <w:bookmarkEnd w:id="43"/>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80"/>
        <w:gridCol w:w="2880"/>
        <w:gridCol w:w="2880"/>
      </w:tblGrid>
      <w:tr w14:paraId="1CB7F05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406EB96C">
            <w:r>
              <w:rPr>
                <w:b/>
              </w:rPr>
              <w:t>Hold Point</w:t>
            </w:r>
          </w:p>
        </w:tc>
        <w:tc>
          <w:tcPr>
            <w:tcW w:w="2880" w:type="dxa"/>
          </w:tcPr>
          <w:p w14:paraId="5B2BC843">
            <w:r>
              <w:rPr>
                <w:b/>
              </w:rPr>
              <w:t>Applies To</w:t>
            </w:r>
          </w:p>
        </w:tc>
        <w:tc>
          <w:tcPr>
            <w:tcW w:w="2880" w:type="dxa"/>
          </w:tcPr>
          <w:p w14:paraId="65DAE4FA">
            <w:r>
              <w:rPr>
                <w:b/>
              </w:rPr>
              <w:t>Release Requirement</w:t>
            </w:r>
          </w:p>
        </w:tc>
      </w:tr>
      <w:tr w14:paraId="04A110E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FC36F55">
            <w:r>
              <w:t>Material source approval</w:t>
            </w:r>
          </w:p>
        </w:tc>
        <w:tc>
          <w:tcPr>
            <w:tcW w:w="2880" w:type="dxa"/>
          </w:tcPr>
          <w:p w14:paraId="4608D54E">
            <w:r>
              <w:t>Borrow pits, commercial quarries, crushed products, asphalt, concrete aggregates</w:t>
            </w:r>
          </w:p>
        </w:tc>
        <w:tc>
          <w:tcPr>
            <w:tcW w:w="2880" w:type="dxa"/>
          </w:tcPr>
          <w:p w14:paraId="4FABB9FF">
            <w:r>
              <w:t>Laboratory results (grading, PI, CBR, ACV), M&amp;U Plan, Engineer acceptance</w:t>
            </w:r>
          </w:p>
        </w:tc>
      </w:tr>
      <w:tr w14:paraId="3AC0631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13C03BCD">
            <w:r>
              <w:t>Traffic-stage release</w:t>
            </w:r>
          </w:p>
        </w:tc>
        <w:tc>
          <w:tcPr>
            <w:tcW w:w="2880" w:type="dxa"/>
          </w:tcPr>
          <w:p w14:paraId="523EEC19">
            <w:r>
              <w:t>Every work front adjacent to live N2 traffic</w:t>
            </w:r>
          </w:p>
        </w:tc>
        <w:tc>
          <w:tcPr>
            <w:tcW w:w="2880" w:type="dxa"/>
          </w:tcPr>
          <w:p w14:paraId="7891F373">
            <w:r>
              <w:t>Approved staging diagram, signs, barriers, pedestrian access, emergency access, Engineer inspection</w:t>
            </w:r>
          </w:p>
        </w:tc>
      </w:tr>
      <w:tr w14:paraId="5038357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4DB516F4">
            <w:r>
              <w:t>Earthworks formation acceptance</w:t>
            </w:r>
          </w:p>
        </w:tc>
        <w:tc>
          <w:tcPr>
            <w:tcW w:w="2880" w:type="dxa"/>
          </w:tcPr>
          <w:p w14:paraId="2B59A775">
            <w:r>
              <w:t>Completed subgrade before selected layers</w:t>
            </w:r>
          </w:p>
        </w:tc>
        <w:tc>
          <w:tcPr>
            <w:tcW w:w="2880" w:type="dxa"/>
          </w:tcPr>
          <w:p w14:paraId="53F98E07">
            <w:r>
              <w:t>Proof rolling, density tests (93% MDD), survey levels, no soft spots</w:t>
            </w:r>
          </w:p>
        </w:tc>
      </w:tr>
      <w:tr w14:paraId="0C0C635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7D7A2172">
            <w:r>
              <w:t>Layer-by-layer acceptance</w:t>
            </w:r>
          </w:p>
        </w:tc>
        <w:tc>
          <w:tcPr>
            <w:tcW w:w="2880" w:type="dxa"/>
          </w:tcPr>
          <w:p w14:paraId="779A6915">
            <w:r>
              <w:t>Each pavement layer before next layer placement</w:t>
            </w:r>
          </w:p>
        </w:tc>
        <w:tc>
          <w:tcPr>
            <w:tcW w:w="2880" w:type="dxa"/>
          </w:tcPr>
          <w:p w14:paraId="2AB45220">
            <w:r>
              <w:t>Density, grading, PI, thickness, level tests within spec; SARDS lot evaluation</w:t>
            </w:r>
          </w:p>
        </w:tc>
      </w:tr>
      <w:tr w14:paraId="3752F0A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6E71716D">
            <w:r>
              <w:t>Concrete pre-pour inspection</w:t>
            </w:r>
          </w:p>
        </w:tc>
        <w:tc>
          <w:tcPr>
            <w:tcW w:w="2880" w:type="dxa"/>
          </w:tcPr>
          <w:p w14:paraId="50DADC15">
            <w:r>
              <w:t>All structural concrete (bridges, culverts, MSE, drainage)</w:t>
            </w:r>
          </w:p>
        </w:tc>
        <w:tc>
          <w:tcPr>
            <w:tcW w:w="2880" w:type="dxa"/>
          </w:tcPr>
          <w:p w14:paraId="601C36BA">
            <w:r>
              <w:t>Formwork, reinforcement, cover spacing, cleanliness, mix design approval</w:t>
            </w:r>
          </w:p>
        </w:tc>
      </w:tr>
      <w:tr w14:paraId="4CB765E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3FBD1B06">
            <w:r>
              <w:t>Concrete strength before backfill</w:t>
            </w:r>
          </w:p>
        </w:tc>
        <w:tc>
          <w:tcPr>
            <w:tcW w:w="2880" w:type="dxa"/>
          </w:tcPr>
          <w:p w14:paraId="68185D60">
            <w:r>
              <w:t>Culverts, drainage structures, MSE wall foundations</w:t>
            </w:r>
          </w:p>
        </w:tc>
        <w:tc>
          <w:tcPr>
            <w:tcW w:w="2880" w:type="dxa"/>
          </w:tcPr>
          <w:p w14:paraId="2E8E96EB">
            <w:r>
              <w:t>Cube test ≥20 MPa at 7 days; dimensional checks; joint records</w:t>
            </w:r>
          </w:p>
        </w:tc>
      </w:tr>
      <w:tr w14:paraId="3B76649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09A816FD">
            <w:r>
              <w:t>Asphalt trial section approval</w:t>
            </w:r>
          </w:p>
        </w:tc>
        <w:tc>
          <w:tcPr>
            <w:tcW w:w="2880" w:type="dxa"/>
          </w:tcPr>
          <w:p w14:paraId="0D080E93">
            <w:r>
              <w:t>A-P1 and EME asphalt before full-scale production</w:t>
            </w:r>
          </w:p>
        </w:tc>
        <w:tc>
          <w:tcPr>
            <w:tcW w:w="2880" w:type="dxa"/>
          </w:tcPr>
          <w:p w14:paraId="02707B1E">
            <w:r>
              <w:t>200m trial: density, thickness, IRI, texture, temperature records</w:t>
            </w:r>
          </w:p>
        </w:tc>
      </w:tr>
      <w:tr w14:paraId="20FB23F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B0F1B59">
            <w:r>
              <w:t>MSE panel first-course acceptance</w:t>
            </w:r>
          </w:p>
        </w:tc>
        <w:tc>
          <w:tcPr>
            <w:tcW w:w="2880" w:type="dxa"/>
          </w:tcPr>
          <w:p w14:paraId="097FD681">
            <w:r>
              <w:t>MSE retaining walls before full-height construction</w:t>
            </w:r>
          </w:p>
        </w:tc>
        <w:tc>
          <w:tcPr>
            <w:tcW w:w="2880" w:type="dxa"/>
          </w:tcPr>
          <w:p w14:paraId="6EBCD0C1">
            <w:r>
              <w:t>Panel alignment (≤5mm horizontal, ≤3mm/m vertical), foundation bearing verified</w:t>
            </w:r>
          </w:p>
        </w:tc>
      </w:tr>
      <w:tr w14:paraId="45D2B35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4FAE81B3">
            <w:r>
              <w:t>Shotcrete face acceptance</w:t>
            </w:r>
          </w:p>
        </w:tc>
        <w:tc>
          <w:tcPr>
            <w:tcW w:w="2880" w:type="dxa"/>
          </w:tcPr>
          <w:p w14:paraId="1CC80FF2">
            <w:r>
              <w:t>Cut slopes before shotcrete application</w:t>
            </w:r>
          </w:p>
        </w:tc>
        <w:tc>
          <w:tcPr>
            <w:tcW w:w="2880" w:type="dxa"/>
          </w:tcPr>
          <w:p w14:paraId="69ADA87B">
            <w:r>
              <w:t>Face scaling, drainage installation, mesh/fixing inspection, thickness verification</w:t>
            </w:r>
          </w:p>
        </w:tc>
      </w:tr>
      <w:tr w14:paraId="3A39A94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63CBF64C">
            <w:pPr>
              <w:spacing w:after="0" w:line="240" w:lineRule="auto"/>
            </w:pPr>
            <w:r>
              <w:rPr>
                <w:b/>
              </w:rPr>
              <w:t>Activity</w:t>
            </w:r>
          </w:p>
        </w:tc>
        <w:tc>
          <w:tcPr>
            <w:tcW w:w="2880" w:type="dxa"/>
          </w:tcPr>
          <w:p w14:paraId="4460C24F">
            <w:pPr>
              <w:spacing w:after="0" w:line="240" w:lineRule="auto"/>
            </w:pPr>
            <w:r>
              <w:rPr>
                <w:b/>
              </w:rPr>
              <w:t>Quality Control</w:t>
            </w:r>
          </w:p>
        </w:tc>
        <w:tc>
          <w:tcPr>
            <w:tcW w:w="2880" w:type="dxa"/>
          </w:tcPr>
          <w:p w14:paraId="5B57509D">
            <w:pPr>
              <w:spacing w:after="0" w:line="240" w:lineRule="auto"/>
            </w:pPr>
            <w:r>
              <w:rPr>
                <w:b/>
              </w:rPr>
              <w:t>Acceptance Evidence</w:t>
            </w:r>
          </w:p>
        </w:tc>
      </w:tr>
      <w:tr w14:paraId="7712CA7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1C3002B">
            <w:pPr>
              <w:spacing w:after="0" w:line="240" w:lineRule="auto"/>
            </w:pPr>
            <w:r>
              <w:t>Subgrade</w:t>
            </w:r>
          </w:p>
        </w:tc>
        <w:tc>
          <w:tcPr>
            <w:tcW w:w="2880" w:type="dxa"/>
          </w:tcPr>
          <w:p w14:paraId="4814F5E0">
            <w:pPr>
              <w:spacing w:after="0" w:line="240" w:lineRule="auto"/>
            </w:pPr>
            <w:r>
              <w:t>Proof rolling, density testing (93% MDD)</w:t>
            </w:r>
          </w:p>
        </w:tc>
        <w:tc>
          <w:tcPr>
            <w:tcW w:w="2880" w:type="dxa"/>
          </w:tcPr>
          <w:p w14:paraId="1AE3F38C">
            <w:pPr>
              <w:spacing w:after="0" w:line="240" w:lineRule="auto"/>
            </w:pPr>
            <w:r>
              <w:t>Field density reports, survey levels</w:t>
            </w:r>
          </w:p>
        </w:tc>
      </w:tr>
      <w:tr w14:paraId="45ED8D3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00F91024">
            <w:pPr>
              <w:spacing w:after="0" w:line="240" w:lineRule="auto"/>
            </w:pPr>
            <w:r>
              <w:t>Selected layers (G7/G6)</w:t>
            </w:r>
          </w:p>
        </w:tc>
        <w:tc>
          <w:tcPr>
            <w:tcW w:w="2880" w:type="dxa"/>
          </w:tcPr>
          <w:p w14:paraId="7F524A6C">
            <w:pPr>
              <w:spacing w:after="0" w:line="240" w:lineRule="auto"/>
            </w:pPr>
            <w:r>
              <w:t>Grading, PI, density (95% MDD), thickness</w:t>
            </w:r>
          </w:p>
        </w:tc>
        <w:tc>
          <w:tcPr>
            <w:tcW w:w="2880" w:type="dxa"/>
          </w:tcPr>
          <w:p w14:paraId="0DCE5952">
            <w:pPr>
              <w:spacing w:after="0" w:line="240" w:lineRule="auto"/>
            </w:pPr>
            <w:r>
              <w:t>Lab and field test results, SARDS</w:t>
            </w:r>
          </w:p>
        </w:tc>
      </w:tr>
      <w:tr w14:paraId="0A43CFA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130A7DE">
            <w:pPr>
              <w:spacing w:after="0" w:line="240" w:lineRule="auto"/>
            </w:pPr>
            <w:r>
              <w:t>G1 base course</w:t>
            </w:r>
          </w:p>
        </w:tc>
        <w:tc>
          <w:tcPr>
            <w:tcW w:w="2880" w:type="dxa"/>
          </w:tcPr>
          <w:p w14:paraId="6222A476">
            <w:pPr>
              <w:spacing w:after="0" w:line="240" w:lineRule="auto"/>
            </w:pPr>
            <w:r>
              <w:t>Grading, compaction (98% MDD), thickness ±10mm</w:t>
            </w:r>
          </w:p>
        </w:tc>
        <w:tc>
          <w:tcPr>
            <w:tcW w:w="2880" w:type="dxa"/>
          </w:tcPr>
          <w:p w14:paraId="11F93B8E">
            <w:pPr>
              <w:spacing w:after="0" w:line="240" w:lineRule="auto"/>
            </w:pPr>
            <w:r>
              <w:t>Layer acceptance records</w:t>
            </w:r>
          </w:p>
        </w:tc>
      </w:tr>
      <w:tr w14:paraId="0C801B1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328590D4">
            <w:pPr>
              <w:spacing w:after="0" w:line="240" w:lineRule="auto"/>
            </w:pPr>
            <w:r>
              <w:t>MC-NME stabilisation</w:t>
            </w:r>
          </w:p>
        </w:tc>
        <w:tc>
          <w:tcPr>
            <w:tcW w:w="2880" w:type="dxa"/>
          </w:tcPr>
          <w:p w14:paraId="12AFDD05">
            <w:pPr>
              <w:spacing w:after="0" w:line="240" w:lineRule="auto"/>
            </w:pPr>
            <w:r>
              <w:t>Emulsion content, UCS, wet ITS &gt;120 kPa</w:t>
            </w:r>
          </w:p>
        </w:tc>
        <w:tc>
          <w:tcPr>
            <w:tcW w:w="2880" w:type="dxa"/>
          </w:tcPr>
          <w:p w14:paraId="643B7B11">
            <w:pPr>
              <w:spacing w:after="0" w:line="240" w:lineRule="auto"/>
            </w:pPr>
            <w:r>
              <w:t>Trial section approval, mix design</w:t>
            </w:r>
          </w:p>
        </w:tc>
      </w:tr>
      <w:tr w14:paraId="700B636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Ex>
        <w:tc>
          <w:tcPr>
            <w:tcW w:w="2880" w:type="dxa"/>
          </w:tcPr>
          <w:p w14:paraId="704286E7">
            <w:pPr>
              <w:spacing w:after="0" w:line="240" w:lineRule="auto"/>
            </w:pPr>
            <w:r>
              <w:t>Asphalt surfacing</w:t>
            </w:r>
          </w:p>
        </w:tc>
        <w:tc>
          <w:tcPr>
            <w:tcW w:w="2880" w:type="dxa"/>
          </w:tcPr>
          <w:p w14:paraId="78C14603">
            <w:pPr>
              <w:spacing w:after="0" w:line="240" w:lineRule="auto"/>
            </w:pPr>
            <w:r>
              <w:t>Temperature, density (97% Marshall), IRI</w:t>
            </w:r>
          </w:p>
        </w:tc>
        <w:tc>
          <w:tcPr>
            <w:tcW w:w="2880" w:type="dxa"/>
          </w:tcPr>
          <w:p w14:paraId="346047C7">
            <w:pPr>
              <w:spacing w:after="0" w:line="240" w:lineRule="auto"/>
            </w:pPr>
            <w:r>
              <w:t>Core results, profilometer survey</w:t>
            </w:r>
          </w:p>
        </w:tc>
      </w:tr>
      <w:tr w14:paraId="7088C0D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5B72CD2">
            <w:pPr>
              <w:spacing w:after="0" w:line="240" w:lineRule="auto"/>
            </w:pPr>
            <w:r>
              <w:t>EME asphalt base</w:t>
            </w:r>
          </w:p>
        </w:tc>
        <w:tc>
          <w:tcPr>
            <w:tcW w:w="2880" w:type="dxa"/>
          </w:tcPr>
          <w:p w14:paraId="7331F77D">
            <w:pPr>
              <w:spacing w:after="0" w:line="240" w:lineRule="auto"/>
            </w:pPr>
            <w:r>
              <w:t>Stiffness &gt;14,000 MPa, voids &lt;6%</w:t>
            </w:r>
          </w:p>
        </w:tc>
        <w:tc>
          <w:tcPr>
            <w:tcW w:w="2880" w:type="dxa"/>
          </w:tcPr>
          <w:p w14:paraId="6ED4FEAE">
            <w:pPr>
              <w:spacing w:after="0" w:line="240" w:lineRule="auto"/>
            </w:pPr>
            <w:r>
              <w:t>Core density, stiffness testing</w:t>
            </w:r>
          </w:p>
        </w:tc>
      </w:tr>
      <w:tr w14:paraId="6AD86C1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38438AFB">
            <w:pPr>
              <w:spacing w:after="0" w:line="240" w:lineRule="auto"/>
            </w:pPr>
            <w:r>
              <w:t>Concrete (bridges/drainage)</w:t>
            </w:r>
          </w:p>
        </w:tc>
        <w:tc>
          <w:tcPr>
            <w:tcW w:w="2880" w:type="dxa"/>
          </w:tcPr>
          <w:p w14:paraId="0835FC1D">
            <w:pPr>
              <w:spacing w:after="0" w:line="240" w:lineRule="auto"/>
            </w:pPr>
            <w:r>
              <w:t>28-day cube strength, cover spacing</w:t>
            </w:r>
          </w:p>
        </w:tc>
        <w:tc>
          <w:tcPr>
            <w:tcW w:w="2880" w:type="dxa"/>
          </w:tcPr>
          <w:p w14:paraId="6FFA83F9">
            <w:pPr>
              <w:spacing w:after="0" w:line="240" w:lineRule="auto"/>
            </w:pPr>
            <w:r>
              <w:t>Cube test reports, pre-pour inspection</w:t>
            </w:r>
          </w:p>
        </w:tc>
      </w:tr>
      <w:tr w14:paraId="0B2C1FB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39AE49F3">
            <w:pPr>
              <w:spacing w:after="0" w:line="240" w:lineRule="auto"/>
            </w:pPr>
            <w:r>
              <w:t>MSE retaining walls</w:t>
            </w:r>
          </w:p>
        </w:tc>
        <w:tc>
          <w:tcPr>
            <w:tcW w:w="2880" w:type="dxa"/>
          </w:tcPr>
          <w:p w14:paraId="5DA3A0D5">
            <w:pPr>
              <w:spacing w:after="0" w:line="240" w:lineRule="auto"/>
            </w:pPr>
            <w:r>
              <w:t>Panel alignment (≤5mm), backfill 95% MDD</w:t>
            </w:r>
          </w:p>
        </w:tc>
        <w:tc>
          <w:tcPr>
            <w:tcW w:w="2880" w:type="dxa"/>
          </w:tcPr>
          <w:p w14:paraId="50099A43">
            <w:pPr>
              <w:spacing w:after="0" w:line="240" w:lineRule="auto"/>
            </w:pPr>
            <w:r>
              <w:t>Survey records, compaction tests</w:t>
            </w:r>
          </w:p>
        </w:tc>
      </w:tr>
      <w:tr w14:paraId="7D27DE9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19C69C6D">
            <w:pPr>
              <w:spacing w:after="0" w:line="240" w:lineRule="auto"/>
            </w:pPr>
            <w:r>
              <w:t>Shotcrete</w:t>
            </w:r>
          </w:p>
        </w:tc>
        <w:tc>
          <w:tcPr>
            <w:tcW w:w="2880" w:type="dxa"/>
          </w:tcPr>
          <w:p w14:paraId="0C9FEEFF">
            <w:pPr>
              <w:spacing w:after="0" w:line="240" w:lineRule="auto"/>
            </w:pPr>
            <w:r>
              <w:t>Thickness, cube strength, rebound control</w:t>
            </w:r>
          </w:p>
        </w:tc>
        <w:tc>
          <w:tcPr>
            <w:tcW w:w="2880" w:type="dxa"/>
          </w:tcPr>
          <w:p w14:paraId="2D6A6468">
            <w:pPr>
              <w:spacing w:after="0" w:line="240" w:lineRule="auto"/>
            </w:pPr>
            <w:r>
              <w:t>Face coverage records, cube tests</w:t>
            </w:r>
          </w:p>
        </w:tc>
      </w:tr>
      <w:tr w14:paraId="717F575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7A83B9D2">
            <w:pPr>
              <w:spacing w:after="0" w:line="240" w:lineRule="auto"/>
            </w:pPr>
            <w:r>
              <w:t>Drainage/culverts</w:t>
            </w:r>
          </w:p>
        </w:tc>
        <w:tc>
          <w:tcPr>
            <w:tcW w:w="2880" w:type="dxa"/>
          </w:tcPr>
          <w:p w14:paraId="42E65588">
            <w:pPr>
              <w:spacing w:after="0" w:line="240" w:lineRule="auto"/>
            </w:pPr>
            <w:r>
              <w:t>Bedding, alignment, concrete 20 MPa before backfill</w:t>
            </w:r>
          </w:p>
        </w:tc>
        <w:tc>
          <w:tcPr>
            <w:tcW w:w="2880" w:type="dxa"/>
          </w:tcPr>
          <w:p w14:paraId="053E09C5">
            <w:pPr>
              <w:spacing w:after="0" w:line="240" w:lineRule="auto"/>
            </w:pPr>
            <w:r>
              <w:t>Inspection records, dimensional checks</w:t>
            </w:r>
          </w:p>
        </w:tc>
      </w:tr>
    </w:tbl>
    <w:p w14:paraId="177E6674">
      <w:pPr>
        <w:pStyle w:val="3"/>
      </w:pPr>
      <w:bookmarkStart w:id="44" w:name="_Toc15174"/>
      <w:r>
        <w:t>7.4 Non-conformance and Corrective Action</w:t>
      </w:r>
      <w:bookmarkEnd w:id="44"/>
    </w:p>
    <w:p w14:paraId="5B0E32A9">
      <w:r>
        <w:t>Non-conforming work or materials are managed through a formal Non-Conformance Report (NCR) process. When a non-conformance is identified during inspection, testing or surveillance, the affected work is isolated, marked and protected from further processing or trafficking. The Quality Manager classifies the NCR as minor (rectifiable in situ), major (rework required) or critical (safety or structural integrity affected), and initiates root cause analysis covering material, method, competency, equipment or specification issues.</w:t>
      </w:r>
      <w:r>
        <w:br w:type="textWrapping"/>
      </w:r>
      <w:r>
        <w:br w:type="textWrapping"/>
      </w:r>
      <w:r>
        <w:t>Corrective action, whether rework, repair, replacement or concession accepted by the Engineer at adjusted value, is verified by re-testing before the NCR is closed and recorded in the NCR register. Monthly NCR trend reviews identify systemic issues that may require method statement revision or additional training. The NCR register is available to the Engineer at all times and is reviewed at the monthly progress meeting.</w:t>
      </w:r>
      <w:r>
        <w:br w:type="textWrapping"/>
      </w:r>
      <w:r>
        <w:br w:type="textWrapping"/>
      </w:r>
      <w:r>
        <w:t>Quality Inspection and Test Plans (ITP) — Detailed Matrices</w:t>
      </w:r>
      <w:r>
        <w:br w:type="textWrapping"/>
      </w:r>
      <w:r>
        <w:br w:type="textWrapping"/>
      </w:r>
      <w:r>
        <w:t>The Contractor maintains comprehensive ITPs for all six principal works categories, fully aligned with COTO 2020, SANS 1200 series, and the project-specific Quality Assurance Plan. Each ITP identifies the mandatory Hold Points (H), Witness Points (W), and Review/Surveillance Points (S) for every critical process step.</w:t>
      </w:r>
      <w:r>
        <w:br w:type="textWrapping"/>
      </w:r>
      <w:r>
        <w:br w:type="textWrapping"/>
      </w:r>
      <w:r>
        <w:t>Earthworks ITP:</w:t>
      </w:r>
      <w:r>
        <w:br w:type="textWrapping"/>
      </w:r>
      <w:r>
        <w:br w:type="textWrapping"/>
      </w:r>
      <w:r>
        <w:t>Pavement Layers ITP (G7 / G6 / G5A / G1):</w:t>
      </w:r>
      <w:r>
        <w:br w:type="textWrapping"/>
      </w:r>
      <w:r>
        <w:br w:type="textWrapping"/>
      </w:r>
      <w:r>
        <w:t>Asphalt Pavement ITP:</w:t>
      </w:r>
      <w:r>
        <w:br w:type="textWrapping"/>
      </w:r>
      <w:r>
        <w:br w:type="textWrapping"/>
      </w:r>
      <w:r>
        <w:t>Concrete Works ITP (Bridges and Drainage):</w:t>
      </w:r>
      <w:r>
        <w:br w:type="textWrapping"/>
      </w:r>
      <w:r>
        <w:br w:type="textWrapping"/>
      </w:r>
      <w:r>
        <w:t>MSE Retaining Wall ITP:</w:t>
      </w:r>
    </w:p>
    <w:p w14:paraId="41C5C6A4">
      <w:r>
        <w:t>The contract includes a Product Performance Guarantee (PPG) system as a parallel quality assurance mechanism alongside conventional materials testing. An independent guarantee provider, not a subsidiary or related party of the Contractor, is engaged to certify the extended performance of asphalt surfacing, asphalt base layers and surface treatments for guarantee periods of typically 5 to 10 years. The provider must hold professional indemnity insurance sufficient to cover maximum potential liability under all PPGs and must be approved by the Engineer before any guaranteed work commences.</w:t>
      </w:r>
      <w:r>
        <w:br w:type="textWrapping"/>
      </w:r>
      <w:r>
        <w:br w:type="textWrapping"/>
      </w:r>
      <w:r>
        <w:t>Both systems run in parallel: the Contractor continues to perform all COTO-specified QC testing during construction while the guarantee provider independently monitors and certifies long-term performance. PPG documentation follows the format in Book 3 and includes identification of guaranteed works, performance criteria, acceptance thresholds, guarantee period, rectification obligations and financial security details. Annual performance reviews commence from the first guaranteed section completion.</w:t>
      </w:r>
    </w:p>
    <w:p w14:paraId="487A3BDA">
      <w:r>
        <w:br w:type="page"/>
      </w:r>
    </w:p>
    <w:p w14:paraId="0E626A67">
      <w:pPr>
        <w:pStyle w:val="2"/>
      </w:pPr>
      <w:bookmarkStart w:id="45" w:name="_Toc22258"/>
      <w:r>
        <w:t>8. Health, Safety and Environmental Management</w:t>
      </w:r>
      <w:bookmarkEnd w:id="45"/>
    </w:p>
    <w:p w14:paraId="45E05B19">
      <w:pPr>
        <w:pStyle w:val="3"/>
      </w:pPr>
      <w:bookmarkStart w:id="46" w:name="_Toc28736"/>
      <w:r>
        <w:t>8.1 Safety Management</w:t>
      </w:r>
      <w:bookmarkEnd w:id="46"/>
    </w:p>
    <w:p w14:paraId="19358D2E">
      <w:r>
        <w:t>Health, safety and environmental management on this project operates under a dual legislative framework. The Occupational Health and Safety Act (Act 85 of 1993) and Construction Regulations 2014 govern general construction safety, while the Mine Health and Safety Act (Act 29 of 1996) applies to deep hard-rock cuttings with controlled blasting, crushing and screening plants, borrow pits, explosives magazines and any excavation meeting the MHSA depth or mineral-processing thresholds. The MHSA provisions are incorporated into the contract via Section E2000 of Book 3 (Version 2025.1, per Addendum No.2) and the amended C1.1.4.1 Agreement.</w:t>
      </w:r>
      <w:r>
        <w:br w:type="textWrapping"/>
      </w:r>
      <w:r>
        <w:br w:type="textWrapping"/>
      </w:r>
      <w:r>
        <w:t>Environmental compliance is governed by the National Environmental Management Act (Act 107 of 1998), the project Environmental Management Programme (EMPr), the Environmental Authorisation conditions, the National Water Act (Act 36 of 1998) and the National Heritage Resources Act (Act 25 of 1999). The Contractor operates a single integrated HSE management system covering all three frameworks, with unified risk registers, incident reporting, emergency preparedness and audit programmes.</w:t>
      </w:r>
    </w:p>
    <w:p w14:paraId="7604665E">
      <w:r>
        <w:t>A Construction Health and Safety Officer (CHSO), registered with the SACPCMP, is deployed full-time from the mobilisation period. The CHSO is responsible for the Construction Health and Safety Plan per CR 2014, fall protection plans for all work above 2 metres, scaffold and formwork inspection registers, confined space procedures for culverts and deep trenches, and working-near-live-traffic protocols.</w:t>
      </w:r>
      <w:r>
        <w:br w:type="textWrapping"/>
      </w:r>
      <w:r>
        <w:br w:type="textWrapping"/>
      </w:r>
      <w:r>
        <w:t>A Mine Manager, holding a Mine Manager’s Certificate of Competency with at least five years’ experience in open-cast mining or deep civil excavations with blasting, is appointed under MHSA Section 3 before any MHSA-designated work starts. The Mine Manager has statutory authority over all blasting, explosives handling and storage, conducts monthly statutory inspections of all MHSA-designated work areas, chairs weekly mine safety meetings with blasting, excavation and crushing crews, maintains statutory records (daily logbook, inspection register, incident register), and reports Section 22/23 incidents to the DMRE within statutory timeframes. The Mine Manager reports to the Construction Manager but has statutory authority to stop any unsafe work in MHSA areas without reference. An Assistant Mine Manager is appointed from the first quarter of 2027 to ensure continuous statutory coverage during leave.</w:t>
      </w:r>
      <w:r>
        <w:br w:type="textWrapping"/>
      </w:r>
      <w:r>
        <w:br w:type="textWrapping"/>
      </w:r>
      <w:r>
        <w:t>The Contractor’s CEO signs the project-specific Mine Health and Safety Policy and Section 2A delegation letter within 14 days of contract award, establishing the MHSA governance framework before any designated work commences.</w:t>
      </w:r>
      <w:r>
        <w:br w:type="textWrapping"/>
      </w:r>
      <w:r>
        <w:br w:type="textWrapping"/>
      </w:r>
      <w:r>
        <w:t>A joint OHS and MHSA risk register is maintained, with shared hazard identification where work areas overlap. A combined emergency response plan covers both OHS and MHSA scenarios under a single emergency contact list. Weekly joint CHSO and Mine Manager safety meetings are held at 07:00 each working day, and monthly coordinated inspections cover both OHS and MHSA focus areas in a single site walk. Quarterly external MHSA compliance audits are conducted by an independent auditor, with results shared in the monthly management review.</w:t>
      </w:r>
    </w:p>
    <w:p w14:paraId="11C8BCD8">
      <w:r>
        <w:t>Blasting operations comply with the DMRE 2024 Code of Practice for the use of explosives in surface mining and civil construction. Every blast is supervised by a licensed shotfirer holding a valid DMRE Blasting Certificate of Competency. A minimum 500-metre exclusion zone is cleared of all persons and plant before firing, with traffic stopped on the N2 and adjacent access roads during the blast window.</w:t>
      </w:r>
      <w:r>
        <w:br w:type="textWrapping"/>
      </w:r>
      <w:r>
        <w:br w:type="textWrapping"/>
      </w:r>
      <w:r>
        <w:t>A three-siren warning system (10-minute, 2-minute and imminent blast) is followed by an all-clear siren after the Mine Manager or delegate has inspected the blast area for misfires, unstable faces and fly-rock. Blast mats are placed on all faces within 100 metres of the carriageway, structures or services. Pre-blast condition surveys, photographic and written, are completed for all structures within the vibration zone, and seismograph readings at the nearest sensitive receptor are recorded for every blast. Air-blast overpressure is monitored against specified limits. Blasting schedules and magazine locations are notified to the DMRE before the first blast at each location.</w:t>
      </w:r>
    </w:p>
    <w:p w14:paraId="64667988">
      <w:r>
        <w:t>PPE is treated as a visible production-control item on a project combining live N2 traffic, urban pedestrian interfaces, controlled blasting, hard-rock crushing, shotcrete, asphalt works, structures, rail-interface works and a peak workforce of 1,397 people. Every worker receives a baseline PPE set (safety helmet with chin strap where required, high-visibility long-sleeve garment, safety boots, safety glasses and activity-based gloves) before induction and task deployment. PPE is recorded in a PPE issue register, inspected daily at pre-start briefings and replaced when damaged, expired or no longer fit for purpose. PPE costs are not recovered from employees or Targeted Labour.</w:t>
      </w:r>
      <w:r>
        <w:br w:type="textWrapping"/>
      </w:r>
      <w:r>
        <w:br w:type="textWrapping"/>
      </w:r>
      <w:r>
        <w:t>The task-specific PPE matrix covers the highest-risk activities:</w:t>
      </w:r>
      <w:r>
        <w:br w:type="textWrapping"/>
      </w:r>
      <w:r>
        <w:br w:type="textWrapping"/>
      </w:r>
      <w:r>
        <w:t>No worker, visitor, Targeted Enterprise employee or subcontractor enters an active work area without the required PPE and induction. TE contracts require PPE compliance, verified by the CHSO and TECM before access to any work front. Fall-arrest equipment for bridge, MSE and high-access works is inspected before each use, with rescue kits held at each elevated work area. Standard PPE stock is sized against the peak workforce of 1,397 persons plus a 15% buffer, with replacement stock reconciled monthly.</w:t>
      </w:r>
    </w:p>
    <w:p w14:paraId="53F1D470">
      <w:pPr>
        <w:pStyle w:val="3"/>
      </w:pPr>
      <w:bookmarkStart w:id="47" w:name="_Toc2064"/>
      <w:r>
        <w:t>8.2 Environmental Controls</w:t>
      </w:r>
      <w:bookmarkEnd w:id="47"/>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4320"/>
        <w:gridCol w:w="4320"/>
      </w:tblGrid>
      <w:tr w14:paraId="0D5F891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49D2CA54">
            <w:r>
              <w:rPr>
                <w:b/>
              </w:rPr>
              <w:t>Environmental Aspect</w:t>
            </w:r>
          </w:p>
        </w:tc>
        <w:tc>
          <w:tcPr>
            <w:tcW w:w="4320" w:type="dxa"/>
          </w:tcPr>
          <w:p w14:paraId="0BF96561">
            <w:r>
              <w:rPr>
                <w:b/>
              </w:rPr>
              <w:t>Control Measures</w:t>
            </w:r>
          </w:p>
        </w:tc>
      </w:tr>
      <w:tr w14:paraId="6327CD1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0865105F">
            <w:r>
              <w:t>Dust and air quality</w:t>
            </w:r>
          </w:p>
        </w:tc>
        <w:tc>
          <w:tcPr>
            <w:tcW w:w="4320" w:type="dxa"/>
          </w:tcPr>
          <w:p w14:paraId="38F9A827">
            <w:r>
              <w:t>Water carts on active earthworks and haul roads; 40 km/h speed limit (30 in sensitive areas); crusher dust suppression at feed hoppers; stockpile treatment; monitoring at sensitive receptors</w:t>
            </w:r>
          </w:p>
        </w:tc>
      </w:tr>
      <w:tr w14:paraId="01CC96A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0B1B0FD3">
            <w:r>
              <w:t>Noise and vibration</w:t>
            </w:r>
          </w:p>
        </w:tc>
        <w:tc>
          <w:tcPr>
            <w:tcW w:w="4320" w:type="dxa"/>
          </w:tcPr>
          <w:p w14:paraId="19418996">
            <w:r>
              <w:t>Approved working hours only; maintained plant silencers; blast monitoring at nearest receptor; community notification 24hr before blasts; no high-noise night works unless approved</w:t>
            </w:r>
          </w:p>
        </w:tc>
      </w:tr>
      <w:tr w14:paraId="3DE76C7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2D9F9F65">
            <w:r>
              <w:t>Water management</w:t>
            </w:r>
          </w:p>
        </w:tc>
        <w:tc>
          <w:tcPr>
            <w:tcW w:w="4320" w:type="dxa"/>
          </w:tcPr>
          <w:p w14:paraId="3160AFF0">
            <w:r>
              <w:t>Silt traps, gabion checks, diversions and sediment ponds; no sediment-laden discharge to watercourses; cofferdams for in-stream works; crusher/batching water recycled; dewatering through silt traps</w:t>
            </w:r>
          </w:p>
        </w:tc>
      </w:tr>
      <w:tr w14:paraId="03B9F73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1F4CCEB7">
            <w:r>
              <w:t>Waste management</w:t>
            </w:r>
          </w:p>
        </w:tc>
        <w:tc>
          <w:tcPr>
            <w:tcW w:w="4320" w:type="dxa"/>
          </w:tcPr>
          <w:p w14:paraId="1CBBEB37">
            <w:r>
              <w:t>Segregated skips for general waste; concrete, steel, timber and plastic recycled; hazardous waste (oils, filters, batteries) stored separately and disposed by licensed contractor; manifests retained</w:t>
            </w:r>
          </w:p>
        </w:tc>
      </w:tr>
      <w:tr w14:paraId="36984DE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3CA67355">
            <w:r>
              <w:t>Spill prevention</w:t>
            </w:r>
          </w:p>
        </w:tc>
        <w:tc>
          <w:tcPr>
            <w:tcW w:w="4320" w:type="dxa"/>
          </w:tcPr>
          <w:p w14:paraId="310EB187">
            <w:r>
              <w:t>Bunded fuel/chemical storage at 110% capacity; spill kits at every storage point; MSDS registers; immediate containment and cleanup procedures; soil remediation where required</w:t>
            </w:r>
          </w:p>
        </w:tc>
      </w:tr>
      <w:tr w14:paraId="34B759D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2AF676AD">
            <w:r>
              <w:t>Watercourse protection</w:t>
            </w:r>
          </w:p>
        </w:tc>
        <w:tc>
          <w:tcPr>
            <w:tcW w:w="4320" w:type="dxa"/>
          </w:tcPr>
          <w:p w14:paraId="2A6E5E74">
            <w:r>
              <w:t>35m buffer zone; 1:100-year flood line exclusion for camps; upstream-to-downstream working direction; dry-season window (May–Aug) for in-channel works; water quality monitoring weekly</w:t>
            </w:r>
          </w:p>
        </w:tc>
      </w:tr>
      <w:tr w14:paraId="28856DF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3DCDFABA">
            <w:r>
              <w:t>Topsoil and rehabilitation</w:t>
            </w:r>
          </w:p>
        </w:tc>
        <w:tc>
          <w:tcPr>
            <w:tcW w:w="4320" w:type="dxa"/>
          </w:tcPr>
          <w:p w14:paraId="7C535514">
            <w:r>
              <w:t>Separate stripping and low-height stockpiling; protected for rehabilitation use; alien invasive species removal; indigenous species replanting; borrow pit progressive and final rehabilitation</w:t>
            </w:r>
          </w:p>
        </w:tc>
      </w:tr>
      <w:tr w14:paraId="696A483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3706041A">
            <w:r>
              <w:t>Heritage and fossils</w:t>
            </w:r>
          </w:p>
        </w:tc>
        <w:tc>
          <w:tcPr>
            <w:tcW w:w="4320" w:type="dxa"/>
          </w:tcPr>
          <w:p w14:paraId="6C9022AF">
            <w:r>
              <w:t>Pre-clearance surveys; Beaufort Group fossil sensitivity training; immediate stop-work and notification on discovery; heritage authority assessment before resumption; fossil register maintained</w:t>
            </w:r>
          </w:p>
        </w:tc>
      </w:tr>
      <w:tr w14:paraId="0DB5C88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383E3818">
            <w:r>
              <w:t>Vegetation and biodiversity</w:t>
            </w:r>
          </w:p>
        </w:tc>
        <w:tc>
          <w:tcPr>
            <w:tcW w:w="4320" w:type="dxa"/>
          </w:tcPr>
          <w:p w14:paraId="68ECEC41">
            <w:r>
              <w:t>Demarcated clearing limits; protected species identification; bird breeding season restrictions on tree clearance; no disturbance outside approved corridor</w:t>
            </w:r>
          </w:p>
        </w:tc>
      </w:tr>
    </w:tbl>
    <w:p w14:paraId="06B53C50">
      <w:r>
        <w:t>Dust and air quality are managed through continuous water-cart operation on active earthworks and haul roads, speed limits of 40 km/h for loaded vehicles on unpaved surfaces (30 km/h in sensitive areas), water sprays and misting cannons at crusher feed hoppers and transfer points, and dust-suppressant treatment of inactive stockpiles where practical. Respirable crystalline silica exposure is monitored against MHSA occupational exposure limits with personal sampling where required. Community notification is given for dust-generating activities near populated areas, and dust fall-out monitoring is conducted at sensitive receptors as required by the EMPr with results reported monthly.</w:t>
      </w:r>
      <w:r>
        <w:br w:type="textWrapping"/>
      </w:r>
      <w:r>
        <w:br w:type="textWrapping"/>
      </w:r>
      <w:r>
        <w:t>Noise and vibration are controlled by restricting blasting and crushing to approved hours, maintaining plant silencers and exhaust systems, and prohibiting high-noise night work unless specifically approved by the Engineer and notified to affected communities. Peak particle velocity and air-blast overpressure are monitored at the nearest sensitive receptor for every blast against specified limits. Pre-blast condition surveys are extended to MHSA-designated vibration zones. Crushing operations are limited to approved hours with hearing protection zones demarcated per MHSA occupational noise limits.</w:t>
      </w:r>
      <w:r>
        <w:br w:type="textWrapping"/>
      </w:r>
      <w:r>
        <w:br w:type="textWrapping"/>
      </w:r>
      <w:r>
        <w:t>Water management relies on silt traps, gabion checks, temporary diversions and sediment ponds at all active earthwork fronts and stockpile areas. No sediment-laden water is discharged into watercourses; cofferdams or diversions are used where in-stream work is required. Crusher and batching plant process water is contained, recycled or treated before discharge. Dewatering from excavations passes through silt traps before release, and Water Use License conditions are observed at all times. Camp sewage is treated in package plants or conservancy tanks, and erosion control measures including jute matting, hydroseeding and rock armour are applied to cut and fill slopes as specified.</w:t>
      </w:r>
      <w:r>
        <w:br w:type="textWrapping"/>
      </w:r>
      <w:r>
        <w:br w:type="textWrapping"/>
      </w:r>
      <w:r>
        <w:t>Waste management uses segregated skips for general construction waste with recycling of concrete, steel, timber and plastic where practical. Hazardous waste, including oils, filters, batteries and contaminated soil, is stored separately and disposed of by a licensed hazardous waste contractor. Mine-area waste (used oils, greases, explosives packaging) is managed per MHSA and NEMA requirements. All waste leaving site is recorded on manifests with disposal certificates retained in the environmental file. Daily housekeeping is maintained at all work fronts, camps and yards.</w:t>
      </w:r>
      <w:r>
        <w:br w:type="textWrapping"/>
      </w:r>
      <w:r>
        <w:br w:type="textWrapping"/>
      </w:r>
      <w:r>
        <w:t>Heritage and vegetation are protected through demarcated clearing limits, separate topsoil stripping and stockpiling at low height for rehabilitation use, alien invasive species identification and removal, and pre-clearance surveys for protected plant species. Graves, fossil sites and heritage resources are protected under extended Clause 4.24 obligations. Any accidental find triggers an immediate stop-work, notification to the DEO and the heritage authority, and assessment before work resumes. Bird breeding season restrictions on tree clearance are observed where required by the EMPr.</w:t>
      </w:r>
    </w:p>
    <w:p w14:paraId="71550D90">
      <w:r>
        <w:t>Environmental method statements are prepared for each high-impact activity before work commences, describing the activity, potential environmental impacts, mitigation measures, monitoring requirements and emergency response procedures. Key activities requiring method statements include watercourse works (sediment control, cofferdam design, fish rescue where required, water quality monitoring), vegetation clearance (clearing limits, topsoil preservation, alien invasive removal, protected species survey), borrow pit and quarry operations (extraction plan, progressive and final rehabilitation, DMRE close-out), crushing and screening (dust suppression, noise monitoring, spill prevention), fuel and chemical storage (bunded storage at 110% capacity, spill kits, MSDS registers), earthworks and haul roads (dust suppression, erosion control, silt fences), and camp and yard establishment (waste management, sewage treatment, fire prevention). Each method statement is submitted to the Engineer for acceptance before the relevant activity commences.</w:t>
      </w:r>
    </w:p>
    <w:p w14:paraId="506C1633">
      <w:pPr>
        <w:pStyle w:val="3"/>
      </w:pPr>
      <w:bookmarkStart w:id="48" w:name="_Toc23399"/>
      <w:r>
        <w:t>8.3 Emergency Response</w:t>
      </w:r>
      <w:bookmarkEnd w:id="48"/>
    </w:p>
    <w:p w14:paraId="567E33BB">
      <w:r>
        <w:t>A combined OHS and MHSA emergency response plan covers all scenarios under a single emergency contact list. Weekly joint CHSO and Mine Manager safety meetings are held at 07:00 each working day. Monthly coordinated inspections cover both OHS and MHSA focus areas. Quarterly external MHSA compliance audits are conducted by an independent auditor.</w:t>
      </w:r>
    </w:p>
    <w:p w14:paraId="29B68FD4">
      <w:pPr>
        <w:pStyle w:val="13"/>
      </w:pPr>
      <w:r>
        <w:t>Live traffic incidents: traffic holds, emergency services access, incident recording and prompt restoration of safe traffic conditions.</w:t>
      </w:r>
    </w:p>
    <w:p w14:paraId="09D25A05">
      <w:pPr>
        <w:pStyle w:val="13"/>
      </w:pPr>
      <w:r>
        <w:t>Blasting incidents and misfires: Mine Manager control, exclusion zones, three-siren system, misfire procedures, re-entry only after inspection and all-clear.</w:t>
      </w:r>
    </w:p>
    <w:p w14:paraId="055A539B">
      <w:pPr>
        <w:pStyle w:val="13"/>
      </w:pPr>
      <w:r>
        <w:t>Fire and fuel spills: immediate containment, spill kits deployed, bunded storage, fire extinguishers at all work fronts, notification to DEO and cleanup within 24 hours.</w:t>
      </w:r>
    </w:p>
    <w:p w14:paraId="5BC2C16C">
      <w:pPr>
        <w:pStyle w:val="13"/>
      </w:pPr>
      <w:r>
        <w:t>Trench and excavation collapse: emergency extraction, dewatering, battering or shoring of unstable faces, incident investigation and method statement review.</w:t>
      </w:r>
    </w:p>
    <w:p w14:paraId="596BC2DF">
      <w:pPr>
        <w:pStyle w:val="13"/>
      </w:pPr>
      <w:r>
        <w:t>Rail interface incidents (B10): immediate notification to TFR, Rail Protection Officer response, work cessation within railway reserve until TFR clearance.</w:t>
      </w:r>
    </w:p>
    <w:p w14:paraId="32B325F4">
      <w:pPr>
        <w:pStyle w:val="13"/>
      </w:pPr>
      <w:r>
        <w:t>Electrical incidents: lock-out/tag-out, arc-rated PPE, registered electrician response, isolation of affected circuits before rescue or repair.</w:t>
      </w:r>
    </w:p>
    <w:p w14:paraId="67C25849">
      <w:pPr>
        <w:pStyle w:val="13"/>
      </w:pPr>
      <w:r>
        <w:t>Community unrest: CLO and PLO immediate engagement, grievance register activation, PLC notification, SASRIA claim preparation where applicable.</w:t>
      </w:r>
    </w:p>
    <w:p w14:paraId="61CD9BA8">
      <w:r>
        <w:br w:type="page"/>
      </w:r>
    </w:p>
    <w:p w14:paraId="161EB648">
      <w:pPr>
        <w:pStyle w:val="2"/>
      </w:pPr>
      <w:bookmarkStart w:id="49" w:name="_Toc32576"/>
      <w:r>
        <w:t>9. Traffic, Stakeholder and Community Management</w:t>
      </w:r>
      <w:bookmarkEnd w:id="49"/>
    </w:p>
    <w:p w14:paraId="574089BB">
      <w:pPr>
        <w:pStyle w:val="3"/>
      </w:pPr>
      <w:bookmarkStart w:id="50" w:name="_Toc12170"/>
      <w:r>
        <w:t>9.1 Traffic Management</w:t>
      </w:r>
      <w:bookmarkEnd w:id="50"/>
    </w:p>
    <w:p w14:paraId="1310CFC7">
      <w:r>
        <w:t>Traffic management is covered in detail in Section 3.2.</w:t>
      </w:r>
    </w:p>
    <w:p w14:paraId="0780E5DD">
      <w:pPr>
        <w:pStyle w:val="3"/>
      </w:pPr>
      <w:bookmarkStart w:id="51" w:name="_Toc10975"/>
      <w:r>
        <w:t>9.2 Stakeholder Communication</w:t>
      </w:r>
      <w:bookmarkEnd w:id="51"/>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80"/>
        <w:gridCol w:w="2880"/>
        <w:gridCol w:w="2880"/>
      </w:tblGrid>
      <w:tr w14:paraId="6311B18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01BFC9E7">
            <w:pPr>
              <w:spacing w:after="0" w:line="240" w:lineRule="auto"/>
            </w:pPr>
            <w:r>
              <w:rPr>
                <w:b/>
              </w:rPr>
              <w:t>Stakeholder</w:t>
            </w:r>
          </w:p>
        </w:tc>
        <w:tc>
          <w:tcPr>
            <w:tcW w:w="2880" w:type="dxa"/>
          </w:tcPr>
          <w:p w14:paraId="0CAD54D6">
            <w:pPr>
              <w:spacing w:after="0" w:line="240" w:lineRule="auto"/>
            </w:pPr>
            <w:r>
              <w:rPr>
                <w:b/>
              </w:rPr>
              <w:t>Likely Concern</w:t>
            </w:r>
          </w:p>
        </w:tc>
        <w:tc>
          <w:tcPr>
            <w:tcW w:w="2880" w:type="dxa"/>
          </w:tcPr>
          <w:p w14:paraId="18B3DDCD">
            <w:pPr>
              <w:spacing w:after="0" w:line="240" w:lineRule="auto"/>
            </w:pPr>
            <w:r>
              <w:rPr>
                <w:b/>
              </w:rPr>
              <w:t>Engagement Method</w:t>
            </w:r>
          </w:p>
        </w:tc>
      </w:tr>
      <w:tr w14:paraId="0D8BE96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2B4234E3">
            <w:pPr>
              <w:spacing w:after="0" w:line="240" w:lineRule="auto"/>
            </w:pPr>
            <w:r>
              <w:t>Road users (N2)</w:t>
            </w:r>
          </w:p>
        </w:tc>
        <w:tc>
          <w:tcPr>
            <w:tcW w:w="2880" w:type="dxa"/>
          </w:tcPr>
          <w:p w14:paraId="1991E31C">
            <w:pPr>
              <w:spacing w:after="0" w:line="240" w:lineRule="auto"/>
            </w:pPr>
            <w:r>
              <w:t>Delays, safety, diversions</w:t>
            </w:r>
          </w:p>
        </w:tc>
        <w:tc>
          <w:tcPr>
            <w:tcW w:w="2880" w:type="dxa"/>
          </w:tcPr>
          <w:p w14:paraId="5CC7D8EB">
            <w:pPr>
              <w:spacing w:after="0" w:line="240" w:lineRule="auto"/>
            </w:pPr>
            <w:r>
              <w:t>Traffic signage, public notices, radio, staged accommodation</w:t>
            </w:r>
          </w:p>
        </w:tc>
      </w:tr>
      <w:tr w14:paraId="6D0EFE8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6C023B0D">
            <w:pPr>
              <w:spacing w:after="0" w:line="240" w:lineRule="auto"/>
            </w:pPr>
            <w:r>
              <w:t>Peri-urban communities</w:t>
            </w:r>
          </w:p>
        </w:tc>
        <w:tc>
          <w:tcPr>
            <w:tcW w:w="2880" w:type="dxa"/>
          </w:tcPr>
          <w:p w14:paraId="56E3C56D">
            <w:pPr>
              <w:spacing w:after="0" w:line="240" w:lineRule="auto"/>
            </w:pPr>
            <w:r>
              <w:t>Blasting vibration, dust, employment</w:t>
            </w:r>
          </w:p>
        </w:tc>
        <w:tc>
          <w:tcPr>
            <w:tcW w:w="2880" w:type="dxa"/>
          </w:tcPr>
          <w:p w14:paraId="7E45F3AA">
            <w:pPr>
              <w:spacing w:after="0" w:line="240" w:lineRule="auto"/>
            </w:pPr>
            <w:r>
              <w:t>CLO, community radio, SMS alerts, PLC meetings</w:t>
            </w:r>
          </w:p>
        </w:tc>
      </w:tr>
      <w:tr w14:paraId="5A4EC1E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3D92E568">
            <w:pPr>
              <w:spacing w:after="0" w:line="240" w:lineRule="auto"/>
            </w:pPr>
            <w:r>
              <w:t>Urban residents/businesses</w:t>
            </w:r>
          </w:p>
        </w:tc>
        <w:tc>
          <w:tcPr>
            <w:tcW w:w="2880" w:type="dxa"/>
          </w:tcPr>
          <w:p w14:paraId="2D1CC770">
            <w:pPr>
              <w:spacing w:after="0" w:line="240" w:lineRule="auto"/>
            </w:pPr>
            <w:r>
              <w:t>Access, noise, services disruption</w:t>
            </w:r>
          </w:p>
        </w:tc>
        <w:tc>
          <w:tcPr>
            <w:tcW w:w="2880" w:type="dxa"/>
          </w:tcPr>
          <w:p w14:paraId="696CE863">
            <w:pPr>
              <w:spacing w:after="0" w:line="240" w:lineRule="auto"/>
            </w:pPr>
            <w:r>
              <w:t>Door-to-door notification, 24hr complaint hotline, SSO liaison</w:t>
            </w:r>
          </w:p>
        </w:tc>
      </w:tr>
      <w:tr w14:paraId="64917E5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49AE28A5">
            <w:pPr>
              <w:spacing w:after="0" w:line="240" w:lineRule="auto"/>
            </w:pPr>
            <w:r>
              <w:t>KSD Municipality</w:t>
            </w:r>
          </w:p>
        </w:tc>
        <w:tc>
          <w:tcPr>
            <w:tcW w:w="2880" w:type="dxa"/>
          </w:tcPr>
          <w:p w14:paraId="20F89C15">
            <w:pPr>
              <w:spacing w:after="0" w:line="240" w:lineRule="auto"/>
            </w:pPr>
            <w:r>
              <w:t>Permits, services, stormwater</w:t>
            </w:r>
          </w:p>
        </w:tc>
        <w:tc>
          <w:tcPr>
            <w:tcW w:w="2880" w:type="dxa"/>
          </w:tcPr>
          <w:p w14:paraId="76F26AA9">
            <w:pPr>
              <w:spacing w:after="0" w:line="240" w:lineRule="auto"/>
            </w:pPr>
            <w:r>
              <w:t>Regular coordination meetings, joint inspections</w:t>
            </w:r>
          </w:p>
        </w:tc>
      </w:tr>
      <w:tr w14:paraId="0ED48B1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3F44BDEB">
            <w:pPr>
              <w:spacing w:after="0" w:line="240" w:lineRule="auto"/>
            </w:pPr>
            <w:r>
              <w:t>Eskom / Telkom</w:t>
            </w:r>
          </w:p>
        </w:tc>
        <w:tc>
          <w:tcPr>
            <w:tcW w:w="2880" w:type="dxa"/>
          </w:tcPr>
          <w:p w14:paraId="5935093E">
            <w:pPr>
              <w:spacing w:after="0" w:line="240" w:lineRule="auto"/>
            </w:pPr>
            <w:r>
              <w:t>Cable relocation, wayleaves</w:t>
            </w:r>
          </w:p>
        </w:tc>
        <w:tc>
          <w:tcPr>
            <w:tcW w:w="2880" w:type="dxa"/>
          </w:tcPr>
          <w:p w14:paraId="46544A4B">
            <w:pPr>
              <w:spacing w:after="0" w:line="240" w:lineRule="auto"/>
            </w:pPr>
            <w:r>
              <w:t>Dedicated liaison officer, weekly coordination</w:t>
            </w:r>
          </w:p>
        </w:tc>
      </w:tr>
      <w:tr w14:paraId="7D5E004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2A9FBAC1">
            <w:pPr>
              <w:spacing w:after="0" w:line="240" w:lineRule="auto"/>
            </w:pPr>
            <w:r>
              <w:t>Transnet (rail)</w:t>
            </w:r>
          </w:p>
        </w:tc>
        <w:tc>
          <w:tcPr>
            <w:tcW w:w="2880" w:type="dxa"/>
          </w:tcPr>
          <w:p w14:paraId="53ACDDA2">
            <w:pPr>
              <w:spacing w:after="0" w:line="240" w:lineRule="auto"/>
            </w:pPr>
            <w:r>
              <w:t>B10 bridge over operational rail</w:t>
            </w:r>
          </w:p>
        </w:tc>
        <w:tc>
          <w:tcPr>
            <w:tcW w:w="2880" w:type="dxa"/>
          </w:tcPr>
          <w:p w14:paraId="67670C05">
            <w:pPr>
              <w:spacing w:after="0" w:line="240" w:lineRule="auto"/>
            </w:pPr>
            <w:r>
              <w:t>Rail Protection Agreement, TFR possession windows</w:t>
            </w:r>
          </w:p>
        </w:tc>
      </w:tr>
      <w:tr w14:paraId="7C2F418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880" w:type="dxa"/>
          </w:tcPr>
          <w:p w14:paraId="5DF0443C">
            <w:pPr>
              <w:spacing w:after="0" w:line="240" w:lineRule="auto"/>
            </w:pPr>
            <w:r>
              <w:t>Traditional authorities</w:t>
            </w:r>
          </w:p>
        </w:tc>
        <w:tc>
          <w:tcPr>
            <w:tcW w:w="2880" w:type="dxa"/>
          </w:tcPr>
          <w:p w14:paraId="4BF987B4">
            <w:pPr>
              <w:spacing w:after="0" w:line="240" w:lineRule="auto"/>
            </w:pPr>
            <w:r>
              <w:t>Land access, cultural heritage</w:t>
            </w:r>
          </w:p>
        </w:tc>
        <w:tc>
          <w:tcPr>
            <w:tcW w:w="2880" w:type="dxa"/>
          </w:tcPr>
          <w:p w14:paraId="68D0C561">
            <w:pPr>
              <w:spacing w:after="0" w:line="240" w:lineRule="auto"/>
            </w:pPr>
            <w:r>
              <w:t>PLC representation, heritage protocols</w:t>
            </w:r>
          </w:p>
        </w:tc>
      </w:tr>
    </w:tbl>
    <w:p w14:paraId="038F992E">
      <w:pPr>
        <w:pStyle w:val="3"/>
      </w:pPr>
      <w:bookmarkStart w:id="52" w:name="_Toc13621"/>
      <w:r>
        <w:t>9.3 Community and Local Labour Management</w:t>
      </w:r>
      <w:bookmarkEnd w:id="52"/>
    </w:p>
    <w:p w14:paraId="299C570A">
      <w:r>
        <w:t>The Contract Participation Goal (CPG) of 35% of Final Contract Value (FCV) is treated as a contractual and strategic commitment, not merely a compliance obligation. Achieving meaningful participation by Targeted Enterprises (TEs) requires deliberate procurement planning, active mentoring, sustained production support and rigorous monthly tracking. The Contractor integrates CPG performance into the same reporting and governance framework used for cost, programme and quality, ensuring that TE delivery is managed with the same discipline applied to every other project objective.</w:t>
      </w:r>
      <w:r>
        <w:br w:type="textWrapping"/>
      </w:r>
      <w:r>
        <w:br w:type="textWrapping"/>
      </w:r>
      <w:r>
        <w:t>A well-executed CPG programme strengthens the local construction economy, builds sustainable enterprise capacity and reduces the social risk that arises when communities perceive limited benefit from major infrastructure investment. The Contractor’s approach is to identify viable work packages, match them to available TE capability, provide structured mentoring and measure outcomes monthly through the Contract Participation Performance (CPP) return.</w:t>
      </w:r>
      <w:r>
        <w:br w:type="textWrapping"/>
      </w:r>
      <w:r>
        <w:br w:type="textWrapping"/>
      </w:r>
      <w:r>
        <w:t>The CPG target of 35% includes sub-goals of 1% FCV each for CIDB Grade 1-2 and CIDB Grade 3-4 enterprises, ensuring that smaller emerging contractors receive meaningful work regardless of the grading profile of the larger TE pool.</w:t>
      </w:r>
    </w:p>
    <w:p w14:paraId="69A91431">
      <w:r>
        <w:t>The Targeted Labour commitment of at least 8% of FCV is delivered through recruitment from the Project Impact Area, coordinated with local municipal structures and Ward Councillors. Employment notification is distributed through ward structures, community radio and the PLC. Targeted Labour crews receive the same induction, PPE, HSE protection and task training as directly employed staff. All subcontracts use the FIDIC 2011 Standard Subcontract (or approved equivalent), with subcontractor payment within 7 days of IPC issuance. No TE or Targeted Labour crew starts work until PPE issue, toolbox-talk records and supervisor checks are verified. Labour allocation is tracked monthly and reported as part of the CPG/CPP return.</w:t>
      </w:r>
    </w:p>
    <w:p w14:paraId="4E88468F">
      <w:r>
        <w:t>A Corporate Social Investment (CSI) plan is developed during mobilisation in consultation with community stakeholders through the PLC structure. The Social Facilitator, a dedicated role appointed during mobilisation with community development qualifications and isiXhosa fluency, coordinates community engagement, grievance facilitation and liaison between the Contractor, PLC, Ward Councillors and community groups. CSI initiatives are identified based on community need, budgeted within the contract allowance, aligned with the contract’s social development objectives and reported through the Section D community participation returns.</w:t>
      </w:r>
    </w:p>
    <w:p w14:paraId="13A1047E">
      <w:bookmarkStart w:id="53" w:name="_Toc32354"/>
      <w:r>
        <w:rPr>
          <w:rStyle w:val="38"/>
          <w:rFonts w:hint="eastAsia"/>
          <w:lang w:val="en-US" w:eastAsia="zh-CN"/>
        </w:rPr>
        <w:t>9.3</w:t>
      </w:r>
      <w:r>
        <w:rPr>
          <w:rStyle w:val="38"/>
          <w:lang w:val="en-US" w:eastAsia="zh-CN"/>
        </w:rPr>
        <w:t>.1 Contract Participation Goals — A Strategic Commitment</w:t>
      </w:r>
      <w:bookmarkEnd w:id="53"/>
      <w:r>
        <w:br w:type="textWrapping"/>
      </w:r>
      <w:r>
        <w:br w:type="textWrapping"/>
      </w:r>
      <w:r>
        <w:t>The Contract Participation Goal (CPG) of 35% of Final Contract Value (FCV) is treated as a contractual and strategic commitment, not merely a compliance obligation. Achieving meaningful participation by Targeted Enterprises (TEs) requires deliberate procurement planning, active mentoring, sustained production support and rigorous monthly tracking. The Contractor integrates CPG performance into the same reporting and governance framework used for cost, programme and quality, ensuring that TE delivery is managed with the same discipline applied to every other project objective.</w:t>
      </w:r>
      <w:r>
        <w:br w:type="textWrapping"/>
      </w:r>
      <w:r>
        <w:br w:type="textWrapping"/>
      </w:r>
      <w:r>
        <w:t>A well-executed CPG programme strengthens the local construction economy, builds sustainable enterprise capacity and reduces the social risk that arises when communities perceive limited benefit from major infrastructure investment. The Contractor’s approach is to identify viable work packages, match them to available TE capability, provide structured mentoring and measure outcomes monthly through the Contract Participation Performance (CPP) return.</w:t>
      </w:r>
      <w:r>
        <w:br w:type="textWrapping"/>
      </w:r>
      <w:r>
        <w:br w:type="textWrapping"/>
      </w:r>
      <w:r>
        <w:t>The CPG target of 35% includes sub-goals of 1% FCV each for CIDB Grade 1-2 and CIDB Grade 3-4 enterprises, ensuring that smaller emerging contractors receive meaningful work regardless of the grading profile of the larger TE pool.</w:t>
      </w:r>
      <w:r>
        <w:br w:type="textWrapping"/>
      </w:r>
      <w:r>
        <w:br w:type="textWrapping"/>
      </w:r>
      <w:r>
        <w:rPr>
          <w:rStyle w:val="38"/>
          <w:rFonts w:hint="eastAsia" w:asciiTheme="minorHAnsi" w:hAnsiTheme="minorHAnsi"/>
          <w:color w:val="104862" w:themeColor="accent1" w:themeShade="BF"/>
          <w:lang w:val="en-US" w:eastAsia="zh-CN"/>
        </w:rPr>
        <w:t>9.3.2 Targeted Enterprise Framework</w:t>
      </w:r>
      <w:r>
        <w:br w:type="textWrapping"/>
      </w:r>
      <w:r>
        <w:br w:type="textWrapping"/>
      </w:r>
      <w:r>
        <w:t>All TE procurement is governed by SANRAL Part D Version 5 (July 2025) and the amended definitions introduced therein. Certain COTO chapters are non-subcontractable for the full 60-month contract period to ensure main-Contractor continuity, quality accountability and MHSA compliance on high-risk work.</w:t>
      </w:r>
      <w:r>
        <w:br w:type="textWrapping"/>
      </w:r>
      <w:r>
        <w:br w:type="textWrapping"/>
      </w:r>
      <w:r>
        <w:t>These six chapters represent the core production activities where the Contractor must retain direct control of quality, safety, programme and MHSA compliance. The 60-month non-subcontractable period applies from commencement to completion, ensuring that the Contractor’s own resources deliver the principal construction outputs.</w:t>
      </w:r>
      <w:r>
        <w:br w:type="textWrapping"/>
      </w:r>
      <w:r>
        <w:br w:type="textWrapping"/>
      </w:r>
      <w:r>
        <w:t>Chapters outside this list, including COTO Ch 11 (Ancillary Works), may be subcontracted to qualifying TEs after the first six months, subject to Engineer approval. A market analysis of local TE capacity, CIDB grading and market-related rates is completed during mobilisation before any TE package is released. Package sizing matches available local capability while delivering meaningful contract value.</w:t>
      </w:r>
      <w:r>
        <w:br w:type="textWrapping"/>
      </w:r>
      <w:r>
        <w:br w:type="textWrapping"/>
      </w:r>
      <w:r>
        <w:rPr>
          <w:rStyle w:val="38"/>
          <w:rFonts w:hint="eastAsia" w:asciiTheme="minorHAnsi" w:hAnsiTheme="minorHAnsi"/>
          <w:color w:val="104862" w:themeColor="accent1" w:themeShade="BF"/>
          <w:lang w:val="en-US" w:eastAsia="zh-CN"/>
        </w:rPr>
        <w:t>9.3.3 Detailed Targeted Enterprise Work-Package Breakdown</w:t>
      </w:r>
      <w:r>
        <w:br w:type="textWrapping"/>
      </w:r>
      <w:r>
        <w:br w:type="textWrapping"/>
      </w:r>
      <w:r>
        <w:t>The Contractor has decomposed the Targeted Enterprise (TE) scope into ten discrete work packages, each sized to match the prevailing CIDB grading capacity within the Eastern Cape while delivering meaningful contract value to participating enterprises. The table below presents the full work-package register together with the corresponding BOQ section, estimated value, minimum CIDB grading requirement and indicative subcontracting window.</w:t>
      </w:r>
      <w:r>
        <w:br w:type="textWrapping"/>
      </w:r>
      <w:r>
        <w:br w:type="textWrapping"/>
      </w:r>
      <w:r>
        <w:t>The aggregate estimated value of the ten work packages is approximately R473 million, representing ~35.7% of the Final Contract Value (FCV). This exceeds the mandatory 35% CPG threshold and provides a compliance margin to absorb value-engineering adjustments or scope refinements that may arise during construction.</w:t>
      </w:r>
      <w:r>
        <w:br w:type="textWrapping"/>
      </w:r>
      <w:r>
        <w:br w:type="textWrapping"/>
      </w:r>
      <w:r>
        <w:t>The single largest work package is WP-TE-10 (Community Access Roads) at approximately R240 million, corresponding to the Schedule A2 provisional sum. This package alone accounts for roughly half of the total TE allocation and is governed by the provisional-sum instruction procedure described in Section 12.3. The remaining nine packages, ranging from R15 million to R45 million each, are distributed across earthworks, drainage, kerbing, paving, landscaping, road-safety furniture, temporary works and minor concrete structures — providing a diversified portfolio of work types that engages enterprises at every CIDB grading level from 1 through 4.</w:t>
      </w:r>
      <w:r>
        <w:br w:type="textWrapping"/>
      </w:r>
      <w:r>
        <w:br w:type="textWrapping"/>
      </w:r>
      <w:r>
        <w:t>Package sizing has been calibrated against the available TE market in the Eastern Cape. Packages exceeding R40 million are reserved for CIDB 3–4 enterprises capable of sustained production, while sub-R20 million packages are deliberately scoped to accommodate CIDB 1–2 contractors who may require closer mentoring but can deliver high-quality outcomes on discrete, well-defined scopes.</w:t>
      </w:r>
      <w:r>
        <w:br w:type="textWrapping"/>
      </w:r>
      <w:r>
        <w:br w:type="textWrapping"/>
      </w:r>
      <w:r>
        <w:rPr>
          <w:rStyle w:val="38"/>
          <w:rFonts w:hint="eastAsia" w:asciiTheme="minorHAnsi" w:hAnsiTheme="minorHAnsi"/>
          <w:color w:val="104862" w:themeColor="accent1" w:themeShade="BF"/>
          <w:lang w:val="en-US" w:eastAsia="zh-CN"/>
        </w:rPr>
        <w:t>9.3.4 Community Access Roads — Schedule A2</w:t>
      </w:r>
      <w:r>
        <w:br w:type="textWrapping"/>
      </w:r>
      <w:r>
        <w:br w:type="textWrapping"/>
      </w:r>
      <w:r>
        <w:t>Community access roads are funded through Schedule A2 provisional sums. The Engineer confirms work instructions post-award; Appendix 10 is an illustrative Bill of Quantities only and is not priced in the tender submission. The Contractor procures, supervises and mentors TEs for access-road works under Section D1000. A full-time TE Construction Manager (TECM) coordinates package scoping, procurement, mentoring, quality documentation and payment certification.</w:t>
      </w:r>
      <w:r>
        <w:br w:type="textWrapping"/>
      </w:r>
      <w:r>
        <w:br w:type="textWrapping"/>
      </w:r>
      <w:r>
        <w:t>Package sequencing maintains community access and avoids conflict with mainline traffic accommodation and material haul routes. The Project Liaison Committee (PLC) confirms community priorities and access-road preferences during the provisional-sum instruction process. Quality control for TE works uses the main Contractor’s quality system and independent laboratory — no access road is accepted without the specified test records. Expenditure under the Schedule A2 provisional sum is excluded from CPP measurement where the contract documents so provide. The TECM maintains a dedicated access-road implementation register tracking each package from procurement through to acceptance and close-out.</w:t>
      </w:r>
      <w:r>
        <w:br w:type="textWrapping"/>
      </w:r>
      <w:r>
        <w:br w:type="textWrapping"/>
      </w:r>
      <w:r>
        <w:rPr>
          <w:rStyle w:val="38"/>
          <w:rFonts w:hint="eastAsia" w:asciiTheme="minorHAnsi" w:hAnsiTheme="minorHAnsi"/>
          <w:color w:val="104862" w:themeColor="accent1" w:themeShade="BF"/>
          <w:lang w:val="en-US" w:eastAsia="zh-CN"/>
        </w:rPr>
        <w:t>9.3.5 Training — QCTO-Aligned Six-Batch Programme</w:t>
      </w:r>
      <w:r>
        <w:br w:type="textWrapping"/>
      </w:r>
      <w:r>
        <w:br w:type="textWrapping"/>
      </w:r>
      <w:r>
        <w:t>All training aligns with the Quality Council for Trades and Occupations (QCTO) occupational qualifications framework. Each qualification comprises Knowledge Modules (classroom, 25-35%), Practical Skills Modules (workshop, 35-45%) and Workplace Experience Modules (on-site, 25-35%), followed by an External Integrated Summative Assessment (EISA) at an accredited assessment centre.</w:t>
      </w:r>
      <w:r>
        <w:br w:type="textWrapping"/>
      </w:r>
      <w:r>
        <w:br w:type="textWrapping"/>
      </w:r>
      <w:r>
        <w:t>Each batch runs for six months covering the three QCTO modules, followed by a one-month EISA assessment window. Batch deployment is timed to coincide with the relevant work-front openings so that workplace experience is delivered on active production fronts under qualified mentorship.</w:t>
      </w:r>
      <w:r>
        <w:br w:type="textWrapping"/>
      </w:r>
      <w:r>
        <w:br w:type="textWrapping"/>
      </w:r>
      <w:r>
        <w:t>Total stipend budget is R30M (R5M per batch) plus R2M travel and accommodation. Training providers must be QCTO-accredited, with trainers qualified at least one NQF level above the qualification being delivered. Assessors and moderators are QCTO-registered for QCTO qualifications. Where a QCTO qualification is not yet available, legacy unit-standard qualifications are used as a fallback subject to Engineer agreement. The Contractor verifies provider accreditation status before contract award and engages early with the Engineer on any qualification pathway questions. Mentorship of 400-500 Person.Months per batch ensures that workplace experience is properly supervised and documented.</w:t>
      </w:r>
      <w:r>
        <w:br w:type="textWrapping"/>
      </w:r>
      <w:r>
        <w:br w:type="textWrapping"/>
      </w:r>
      <w:r>
        <w:rPr>
          <w:rStyle w:val="38"/>
          <w:rFonts w:hint="eastAsia" w:asciiTheme="minorHAnsi" w:hAnsiTheme="minorHAnsi"/>
          <w:color w:val="104862" w:themeColor="accent1" w:themeShade="BF"/>
          <w:lang w:val="en-US" w:eastAsia="zh-CN"/>
        </w:rPr>
        <w:t>9.3.6 Targeted Labour</w:t>
      </w:r>
      <w:r>
        <w:br w:type="textWrapping"/>
      </w:r>
      <w:r>
        <w:br w:type="textWrapping"/>
      </w:r>
      <w:r>
        <w:t>The Targeted Labour commitment of at least 8% of FCV is delivered through recruitment from the Project Impact Area, coordinated with local municipal structures and Ward Councillors. Employment notification is distributed through ward structures, community radio and the PLC. Targeted Labour crews receive the same induction, PPE, HSE protection and task training as directly employed staff. All subcontracts use the FIDIC 2011 Standard Subcontract (or approved equivalent), with subcontractor payment within 7 days of IPC issuance. No TE or Targeted Labour crew starts work until PPE issue, toolbox-talk records and supervisor checks are verified. Labour allocation is tracked monthly and reported as part of the CPG/CPP return.</w:t>
      </w:r>
      <w:r>
        <w:br w:type="textWrapping"/>
      </w:r>
      <w:r>
        <w:br w:type="textWrapping"/>
      </w:r>
      <w:r>
        <w:rPr>
          <w:rStyle w:val="38"/>
          <w:rFonts w:hint="eastAsia" w:asciiTheme="minorHAnsi" w:hAnsiTheme="minorHAnsi"/>
          <w:color w:val="104862" w:themeColor="accent1" w:themeShade="BF"/>
          <w:lang w:val="en-US" w:eastAsia="zh-CN"/>
        </w:rPr>
        <w:t>9.3.7 Corporate Social Investment</w:t>
      </w:r>
      <w:r>
        <w:br w:type="textWrapping"/>
      </w:r>
      <w:r>
        <w:br w:type="textWrapping"/>
      </w:r>
      <w:r>
        <w:t>A Corporate Social Investment (CSI) plan is developed during mobilisation in consultation with community stakeholders through the PLC structure. The Social Facilitator, a dedicated role appointed during mobilisation with community development qualifications and isiXhosa fluency, coordinates community engagement, grievance facilitation and liaison between the Contractor, PLC, Ward Councillors and community groups. CSI initiatives are identified based on community need, budgeted within the contract allowance, aligned with the contract’s social development objectives and reported through the Section D community participation returns.</w:t>
      </w:r>
      <w:r>
        <w:br w:type="textWrapping"/>
      </w:r>
      <w:r>
        <w:br w:type="textWrapping"/>
      </w:r>
      <w:r>
        <w:rPr>
          <w:rStyle w:val="38"/>
          <w:rFonts w:hint="eastAsia" w:asciiTheme="minorHAnsi" w:hAnsiTheme="minorHAnsi"/>
          <w:color w:val="104862" w:themeColor="accent1" w:themeShade="BF"/>
          <w:lang w:val="en-US" w:eastAsia="zh-CN"/>
        </w:rPr>
        <w:t>9.3.8 PLO/PLC Establishment Timeline and Subcontractor Proforma</w:t>
      </w:r>
      <w:r>
        <w:br w:type="textWrapping"/>
      </w:r>
      <w:r>
        <w:br w:type="textWrapping"/>
      </w:r>
      <w:r>
        <w:t>Project Liaison Officer (PLO). The Contractor appoints a dedicated Project Liaison Officer no later than 30 calendar days before the Construction Commencement Date. The PLO is a suitably qualified community-development professional, fluent in isiXhosa, with demonstrable experience in infrastructure-project stakeholder engagement. The PLO’s primary responsibilities include convening the Project Liaison Committee, managing the community-grievance register, coordinating Targeted Labour recruitment through ward structures and serving as the principal communication channel between the Contractor, affected communities and municipal authorities.</w:t>
      </w:r>
      <w:r>
        <w:br w:type="textWrapping"/>
      </w:r>
      <w:r>
        <w:br w:type="textWrapping"/>
      </w:r>
      <w:r>
        <w:t>Project Liaison Committee (PLC). The PLC is formally constituted within 60 calendar days of the Construction Commencement Date. Its membership comprises Contractor representatives (including the PLO and Social Facilitator), SANRAL representatives, Ward Councillors from the affected municipalities, community delegates selected through ward-level processes and, where applicable, representatives of traditional authorities. The PLC meets monthly during the first two years and quarterly thereafter, with extraordinary sessions convened as required.</w:t>
      </w:r>
      <w:r>
        <w:br w:type="textWrapping"/>
      </w:r>
      <w:r>
        <w:br w:type="textWrapping"/>
      </w:r>
      <w:r>
        <w:t>Monthly social report. The PLO submits a monthly social-performance report to the Engineer covering: community-grievance status (open, resolved, escalated), Targeted Labour recruitment and retention statistics, TE procurement progress, training enrolment and completion data, CSI initiative status and any community-relations risks identified during the reporting period.</w:t>
      </w:r>
      <w:r>
        <w:br w:type="textWrapping"/>
      </w:r>
      <w:r>
        <w:br w:type="textWrapping"/>
      </w:r>
      <w:r>
        <w:t>Subcontractor proforma. Every TE and Targeted Labour subcontractor is required to execute a Subcontractor Commitment Proforma before commencing work. The proforma confirms: (a) QHSE management-system compliance with the Contractor’s Site-Specific Safety Plan; (b) valid CIDB registration at the grading required by the work package; (c) current SARS tax-clearance certificate; (d) acceptance of the Contractor’s quality-management system and ITP framework; and (e) commitment to the project’s Targeted Labour and skills-development objectives. The proforma is annexed to each subcontract and forms a condition precedent to any work instruction or payment certificate.</w:t>
      </w:r>
    </w:p>
    <w:p w14:paraId="6611CD00">
      <w:r>
        <w:t>Project Liaison Officer (PLO). The Contractor appoints a dedicated Project Liaison Officer no later than 30 calendar days before the Construction Commencement Date. The PLO is a suitably qualified community-development professional, fluent in isiXhosa, with demonstrable experience in infrastructure-project stakeholder engagement. The PLO’s primary responsibilities include convening the Project Liaison Committee, managing the community-grievance register, coordinating Targeted Labour recruitment through ward structures and serving as the principal communication channel between the Contractor, affected communities and municipal authorities.</w:t>
      </w:r>
      <w:r>
        <w:br w:type="textWrapping"/>
      </w:r>
      <w:r>
        <w:br w:type="textWrapping"/>
      </w:r>
      <w:r>
        <w:t>Project Liaison Committee (PLC). The PLC is formally constituted within 60 calendar days of the Construction Commencement Date. Its membership comprises Contractor representatives (including the PLO and Social Facilitator), SANRAL representatives, Ward Councillors from the affected municipalities, community delegates selected through ward-level processes and, where applicable, representatives of traditional authorities. The PLC meets monthly during the first two years and quarterly thereafter, with extraordinary sessions convened as required.</w:t>
      </w:r>
      <w:r>
        <w:br w:type="textWrapping"/>
      </w:r>
      <w:r>
        <w:br w:type="textWrapping"/>
      </w:r>
      <w:r>
        <w:t>Monthly social report. The PLO submits a monthly social-performance report to the Engineer covering: community-grievance status (open, resolved, escalated), Targeted Labour recruitment and retention statistics, TE procurement progress, training enrolment and completion data, CSI initiative status and any community-relations risks identified during the reporting period.</w:t>
      </w:r>
      <w:r>
        <w:br w:type="textWrapping"/>
      </w:r>
      <w:r>
        <w:br w:type="textWrapping"/>
      </w:r>
      <w:r>
        <w:t>Subcontractor proforma. Every TE and Targeted Labour subcontractor is required to execute a Subcontractor Commitment Proforma before commencing work. The proforma confirms: (a) QHSE management-system compliance with the Contractor’s Site-Specific Safety Plan; (b) valid CIDB registration at the grading required by the work package; (c) current SARS tax-clearance certificate; (d) acceptance of the Contractor’s quality-management system and ITP framework; and (e) commitment to the project’s Targeted Labour and skills-development objectives. The proforma is annexed to each subcontract and forms a condition precedent to any work instruction or payment certificate.</w:t>
      </w:r>
    </w:p>
    <w:p w14:paraId="0234B4C1">
      <w:r>
        <w:br w:type="page"/>
      </w:r>
    </w:p>
    <w:p w14:paraId="0A598916">
      <w:pPr>
        <w:pStyle w:val="2"/>
      </w:pPr>
      <w:bookmarkStart w:id="54" w:name="_Toc4797"/>
      <w:r>
        <w:t>10. Risk Register and Mitigation Plan</w:t>
      </w:r>
      <w:bookmarkEnd w:id="54"/>
    </w:p>
    <w:p w14:paraId="61C50747">
      <w:r>
        <w:t>The risk register is reviewed monthly at the project coordination meeting. Risks rated High probability and Extreme impact are escalated to the Contract Director with a dedicated mitigation action plan. The 84-day terminal float provides schedule resilience against unforeseen delays, and proactive float management is the primary mitigation against delay damages of R70,000 per day.</w:t>
      </w:r>
    </w:p>
    <w:p w14:paraId="46A7F28E">
      <w:r>
        <w:br w:type="page"/>
      </w:r>
    </w:p>
    <w:p w14:paraId="5D787019">
      <w:pPr>
        <w:pStyle w:val="2"/>
      </w:pPr>
      <w:bookmarkStart w:id="55" w:name="_Toc19637"/>
      <w:r>
        <w:t>11. Monitoring, Reporting and Project Controls</w:t>
      </w:r>
      <w:bookmarkEnd w:id="55"/>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160"/>
        <w:gridCol w:w="2160"/>
        <w:gridCol w:w="2160"/>
        <w:gridCol w:w="2160"/>
      </w:tblGrid>
      <w:tr w14:paraId="200777B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54B905AC">
            <w:pPr>
              <w:spacing w:after="0" w:line="240" w:lineRule="auto"/>
            </w:pPr>
            <w:r>
              <w:rPr>
                <w:b/>
              </w:rPr>
              <w:t>Report / Control Tool</w:t>
            </w:r>
          </w:p>
        </w:tc>
        <w:tc>
          <w:tcPr>
            <w:tcW w:w="2160" w:type="dxa"/>
          </w:tcPr>
          <w:p w14:paraId="0934C17A">
            <w:pPr>
              <w:spacing w:after="0" w:line="240" w:lineRule="auto"/>
            </w:pPr>
            <w:r>
              <w:rPr>
                <w:b/>
              </w:rPr>
              <w:t>Frequency</w:t>
            </w:r>
          </w:p>
        </w:tc>
        <w:tc>
          <w:tcPr>
            <w:tcW w:w="2160" w:type="dxa"/>
          </w:tcPr>
          <w:p w14:paraId="568587B3">
            <w:pPr>
              <w:spacing w:after="0" w:line="240" w:lineRule="auto"/>
            </w:pPr>
            <w:r>
              <w:rPr>
                <w:b/>
              </w:rPr>
              <w:t>Submitted To</w:t>
            </w:r>
          </w:p>
        </w:tc>
        <w:tc>
          <w:tcPr>
            <w:tcW w:w="2160" w:type="dxa"/>
          </w:tcPr>
          <w:p w14:paraId="4D77307E">
            <w:pPr>
              <w:spacing w:after="0" w:line="240" w:lineRule="auto"/>
            </w:pPr>
            <w:r>
              <w:rPr>
                <w:b/>
              </w:rPr>
              <w:t>Content</w:t>
            </w:r>
          </w:p>
        </w:tc>
      </w:tr>
      <w:tr w14:paraId="6ECBD7D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220F1D8">
            <w:pPr>
              <w:spacing w:after="0" w:line="240" w:lineRule="auto"/>
            </w:pPr>
            <w:r>
              <w:t>Daily site diary</w:t>
            </w:r>
          </w:p>
        </w:tc>
        <w:tc>
          <w:tcPr>
            <w:tcW w:w="2160" w:type="dxa"/>
          </w:tcPr>
          <w:p w14:paraId="1555F339">
            <w:pPr>
              <w:spacing w:after="0" w:line="240" w:lineRule="auto"/>
            </w:pPr>
            <w:r>
              <w:t>Daily</w:t>
            </w:r>
          </w:p>
        </w:tc>
        <w:tc>
          <w:tcPr>
            <w:tcW w:w="2160" w:type="dxa"/>
          </w:tcPr>
          <w:p w14:paraId="220DE5B8">
            <w:pPr>
              <w:spacing w:after="0" w:line="240" w:lineRule="auto"/>
            </w:pPr>
            <w:r>
              <w:t>Engineer</w:t>
            </w:r>
          </w:p>
        </w:tc>
        <w:tc>
          <w:tcPr>
            <w:tcW w:w="2160" w:type="dxa"/>
          </w:tcPr>
          <w:p w14:paraId="064C112F">
            <w:pPr>
              <w:spacing w:after="0" w:line="240" w:lineRule="auto"/>
            </w:pPr>
            <w:r>
              <w:t>Activities, weather, labour, plant, incidents</w:t>
            </w:r>
          </w:p>
        </w:tc>
      </w:tr>
      <w:tr w14:paraId="68C9870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95B31D0">
            <w:pPr>
              <w:spacing w:after="0" w:line="240" w:lineRule="auto"/>
            </w:pPr>
            <w:r>
              <w:t>Pre-start briefing</w:t>
            </w:r>
          </w:p>
        </w:tc>
        <w:tc>
          <w:tcPr>
            <w:tcW w:w="2160" w:type="dxa"/>
          </w:tcPr>
          <w:p w14:paraId="587CB465">
            <w:pPr>
              <w:spacing w:after="0" w:line="240" w:lineRule="auto"/>
            </w:pPr>
            <w:r>
              <w:t>Daily 07:00</w:t>
            </w:r>
          </w:p>
        </w:tc>
        <w:tc>
          <w:tcPr>
            <w:tcW w:w="2160" w:type="dxa"/>
          </w:tcPr>
          <w:p w14:paraId="0DC01CEF">
            <w:pPr>
              <w:spacing w:after="0" w:line="240" w:lineRule="auto"/>
            </w:pPr>
            <w:r>
              <w:t>Work front teams</w:t>
            </w:r>
          </w:p>
        </w:tc>
        <w:tc>
          <w:tcPr>
            <w:tcW w:w="2160" w:type="dxa"/>
          </w:tcPr>
          <w:p w14:paraId="17599389">
            <w:pPr>
              <w:spacing w:after="0" w:line="240" w:lineRule="auto"/>
            </w:pPr>
            <w:r>
              <w:t>Safety focus, traffic, quality hold points</w:t>
            </w:r>
          </w:p>
        </w:tc>
      </w:tr>
      <w:tr w14:paraId="7B5D28E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56B5A054">
            <w:pPr>
              <w:spacing w:after="0" w:line="240" w:lineRule="auto"/>
            </w:pPr>
            <w:r>
              <w:t>Two-week look-ahead programme</w:t>
            </w:r>
          </w:p>
        </w:tc>
        <w:tc>
          <w:tcPr>
            <w:tcW w:w="2160" w:type="dxa"/>
          </w:tcPr>
          <w:p w14:paraId="55295BAD">
            <w:pPr>
              <w:spacing w:after="0" w:line="240" w:lineRule="auto"/>
            </w:pPr>
            <w:r>
              <w:t>Weekly</w:t>
            </w:r>
          </w:p>
        </w:tc>
        <w:tc>
          <w:tcPr>
            <w:tcW w:w="2160" w:type="dxa"/>
          </w:tcPr>
          <w:p w14:paraId="3615B029">
            <w:pPr>
              <w:spacing w:after="0" w:line="240" w:lineRule="auto"/>
            </w:pPr>
            <w:r>
              <w:t>Engineer</w:t>
            </w:r>
          </w:p>
        </w:tc>
        <w:tc>
          <w:tcPr>
            <w:tcW w:w="2160" w:type="dxa"/>
          </w:tcPr>
          <w:p w14:paraId="50D06176">
            <w:pPr>
              <w:spacing w:after="0" w:line="240" w:lineRule="auto"/>
            </w:pPr>
            <w:r>
              <w:t>Work front releases, resource allocation</w:t>
            </w:r>
          </w:p>
        </w:tc>
      </w:tr>
      <w:tr w14:paraId="4A0B4A6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156994AB">
            <w:pPr>
              <w:spacing w:after="0" w:line="240" w:lineRule="auto"/>
            </w:pPr>
            <w:r>
              <w:t>Weekly coordination meeting</w:t>
            </w:r>
          </w:p>
        </w:tc>
        <w:tc>
          <w:tcPr>
            <w:tcW w:w="2160" w:type="dxa"/>
          </w:tcPr>
          <w:p w14:paraId="6B1B8A60">
            <w:pPr>
              <w:spacing w:after="0" w:line="240" w:lineRule="auto"/>
            </w:pPr>
            <w:r>
              <w:t>Weekly</w:t>
            </w:r>
          </w:p>
        </w:tc>
        <w:tc>
          <w:tcPr>
            <w:tcW w:w="2160" w:type="dxa"/>
          </w:tcPr>
          <w:p w14:paraId="4239544D">
            <w:pPr>
              <w:spacing w:after="0" w:line="240" w:lineRule="auto"/>
            </w:pPr>
            <w:r>
              <w:t>Management team</w:t>
            </w:r>
          </w:p>
        </w:tc>
        <w:tc>
          <w:tcPr>
            <w:tcW w:w="2160" w:type="dxa"/>
          </w:tcPr>
          <w:p w14:paraId="3D94ACC7">
            <w:pPr>
              <w:spacing w:after="0" w:line="240" w:lineRule="auto"/>
            </w:pPr>
            <w:r>
              <w:t>Programme, traffic, services, safety, quality, procurement</w:t>
            </w:r>
          </w:p>
        </w:tc>
      </w:tr>
      <w:tr w14:paraId="452E74D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3F5D84BD">
            <w:pPr>
              <w:spacing w:after="0" w:line="240" w:lineRule="auto"/>
            </w:pPr>
            <w:r>
              <w:t>Monthly progress report</w:t>
            </w:r>
          </w:p>
        </w:tc>
        <w:tc>
          <w:tcPr>
            <w:tcW w:w="2160" w:type="dxa"/>
          </w:tcPr>
          <w:p w14:paraId="4D21CB16">
            <w:pPr>
              <w:spacing w:after="0" w:line="240" w:lineRule="auto"/>
            </w:pPr>
            <w:r>
              <w:t>Monthly</w:t>
            </w:r>
          </w:p>
        </w:tc>
        <w:tc>
          <w:tcPr>
            <w:tcW w:w="2160" w:type="dxa"/>
          </w:tcPr>
          <w:p w14:paraId="7233C1AA">
            <w:pPr>
              <w:spacing w:after="0" w:line="240" w:lineRule="auto"/>
            </w:pPr>
            <w:r>
              <w:t>Employer / Engineer</w:t>
            </w:r>
          </w:p>
        </w:tc>
        <w:tc>
          <w:tcPr>
            <w:tcW w:w="2160" w:type="dxa"/>
          </w:tcPr>
          <w:p w14:paraId="11C07D04">
            <w:pPr>
              <w:spacing w:after="0" w:line="240" w:lineRule="auto"/>
            </w:pPr>
            <w:r>
              <w:t>Programme status, S-curve, labour/plant utilisation, SARDS, HSE, TE performance</w:t>
            </w:r>
          </w:p>
        </w:tc>
      </w:tr>
      <w:tr w14:paraId="3DDB822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54E3F14E">
            <w:pPr>
              <w:spacing w:after="0" w:line="240" w:lineRule="auto"/>
            </w:pPr>
            <w:r>
              <w:t>Quality test summary</w:t>
            </w:r>
          </w:p>
        </w:tc>
        <w:tc>
          <w:tcPr>
            <w:tcW w:w="2160" w:type="dxa"/>
          </w:tcPr>
          <w:p w14:paraId="4A60C541">
            <w:pPr>
              <w:spacing w:after="0" w:line="240" w:lineRule="auto"/>
            </w:pPr>
            <w:r>
              <w:t>Monthly</w:t>
            </w:r>
          </w:p>
        </w:tc>
        <w:tc>
          <w:tcPr>
            <w:tcW w:w="2160" w:type="dxa"/>
          </w:tcPr>
          <w:p w14:paraId="49F1FDFD">
            <w:pPr>
              <w:spacing w:after="0" w:line="240" w:lineRule="auto"/>
            </w:pPr>
            <w:r>
              <w:t>Engineer</w:t>
            </w:r>
          </w:p>
        </w:tc>
        <w:tc>
          <w:tcPr>
            <w:tcW w:w="2160" w:type="dxa"/>
          </w:tcPr>
          <w:p w14:paraId="732D1B1D">
            <w:pPr>
              <w:spacing w:after="0" w:line="240" w:lineRule="auto"/>
            </w:pPr>
            <w:r>
              <w:t>SARDS data, NCR status, ITP compliance</w:t>
            </w:r>
          </w:p>
        </w:tc>
      </w:tr>
      <w:tr w14:paraId="1CD5F1D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1804AE4">
            <w:pPr>
              <w:spacing w:after="0" w:line="240" w:lineRule="auto"/>
            </w:pPr>
            <w:r>
              <w:t>HSE report</w:t>
            </w:r>
          </w:p>
        </w:tc>
        <w:tc>
          <w:tcPr>
            <w:tcW w:w="2160" w:type="dxa"/>
          </w:tcPr>
          <w:p w14:paraId="46DC23AA">
            <w:pPr>
              <w:spacing w:after="0" w:line="240" w:lineRule="auto"/>
            </w:pPr>
            <w:r>
              <w:t>Monthly</w:t>
            </w:r>
          </w:p>
        </w:tc>
        <w:tc>
          <w:tcPr>
            <w:tcW w:w="2160" w:type="dxa"/>
          </w:tcPr>
          <w:p w14:paraId="0DBCBB66">
            <w:pPr>
              <w:spacing w:after="0" w:line="240" w:lineRule="auto"/>
            </w:pPr>
            <w:r>
              <w:t>Employer</w:t>
            </w:r>
          </w:p>
        </w:tc>
        <w:tc>
          <w:tcPr>
            <w:tcW w:w="2160" w:type="dxa"/>
          </w:tcPr>
          <w:p w14:paraId="1B39658A">
            <w:pPr>
              <w:spacing w:after="0" w:line="240" w:lineRule="auto"/>
            </w:pPr>
            <w:r>
              <w:t>Safety statistics, PPE compliance, environmental status</w:t>
            </w:r>
          </w:p>
        </w:tc>
      </w:tr>
      <w:tr w14:paraId="057D7E1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0345A93C">
            <w:pPr>
              <w:spacing w:after="0" w:line="240" w:lineRule="auto"/>
            </w:pPr>
            <w:r>
              <w:t>CPG/CPP return</w:t>
            </w:r>
          </w:p>
        </w:tc>
        <w:tc>
          <w:tcPr>
            <w:tcW w:w="2160" w:type="dxa"/>
          </w:tcPr>
          <w:p w14:paraId="193282A0">
            <w:pPr>
              <w:spacing w:after="0" w:line="240" w:lineRule="auto"/>
            </w:pPr>
            <w:r>
              <w:t>Monthly</w:t>
            </w:r>
          </w:p>
        </w:tc>
        <w:tc>
          <w:tcPr>
            <w:tcW w:w="2160" w:type="dxa"/>
          </w:tcPr>
          <w:p w14:paraId="3B339CD9">
            <w:pPr>
              <w:spacing w:after="0" w:line="240" w:lineRule="auto"/>
            </w:pPr>
            <w:r>
              <w:t>Engineer / SANRAL</w:t>
            </w:r>
          </w:p>
        </w:tc>
        <w:tc>
          <w:tcPr>
            <w:tcW w:w="2160" w:type="dxa"/>
          </w:tcPr>
          <w:p w14:paraId="59D6070E">
            <w:pPr>
              <w:spacing w:after="0" w:line="240" w:lineRule="auto"/>
            </w:pPr>
            <w:r>
              <w:t>TE expenditure, CIDB grading breakdown, milestone variance</w:t>
            </w:r>
          </w:p>
        </w:tc>
      </w:tr>
      <w:tr w14:paraId="2E4F06B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667B852D">
            <w:pPr>
              <w:spacing w:after="0" w:line="240" w:lineRule="auto"/>
            </w:pPr>
            <w:r>
              <w:t>Risk register review</w:t>
            </w:r>
          </w:p>
        </w:tc>
        <w:tc>
          <w:tcPr>
            <w:tcW w:w="2160" w:type="dxa"/>
          </w:tcPr>
          <w:p w14:paraId="7F42AC78">
            <w:pPr>
              <w:spacing w:after="0" w:line="240" w:lineRule="auto"/>
            </w:pPr>
            <w:r>
              <w:t>Monthly</w:t>
            </w:r>
          </w:p>
        </w:tc>
        <w:tc>
          <w:tcPr>
            <w:tcW w:w="2160" w:type="dxa"/>
          </w:tcPr>
          <w:p w14:paraId="2CAE3091">
            <w:pPr>
              <w:spacing w:after="0" w:line="240" w:lineRule="auto"/>
            </w:pPr>
            <w:r>
              <w:t>Contract Director</w:t>
            </w:r>
          </w:p>
        </w:tc>
        <w:tc>
          <w:tcPr>
            <w:tcW w:w="2160" w:type="dxa"/>
          </w:tcPr>
          <w:p w14:paraId="56FCD9B6">
            <w:pPr>
              <w:spacing w:after="0" w:line="240" w:lineRule="auto"/>
            </w:pPr>
            <w:r>
              <w:t>Updated risk ratings, mitigation status</w:t>
            </w:r>
          </w:p>
        </w:tc>
      </w:tr>
      <w:tr w14:paraId="5088254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2160" w:type="dxa"/>
          </w:tcPr>
          <w:p w14:paraId="20C23DE5">
            <w:pPr>
              <w:spacing w:after="0" w:line="240" w:lineRule="auto"/>
            </w:pPr>
            <w:r>
              <w:t>Programme update</w:t>
            </w:r>
          </w:p>
        </w:tc>
        <w:tc>
          <w:tcPr>
            <w:tcW w:w="2160" w:type="dxa"/>
          </w:tcPr>
          <w:p w14:paraId="3D33024D">
            <w:pPr>
              <w:spacing w:after="0" w:line="240" w:lineRule="auto"/>
            </w:pPr>
            <w:r>
              <w:t>Monthly</w:t>
            </w:r>
          </w:p>
        </w:tc>
        <w:tc>
          <w:tcPr>
            <w:tcW w:w="2160" w:type="dxa"/>
          </w:tcPr>
          <w:p w14:paraId="714E93EC">
            <w:pPr>
              <w:spacing w:after="0" w:line="240" w:lineRule="auto"/>
            </w:pPr>
            <w:r>
              <w:t>Engineer</w:t>
            </w:r>
          </w:p>
        </w:tc>
        <w:tc>
          <w:tcPr>
            <w:tcW w:w="2160" w:type="dxa"/>
          </w:tcPr>
          <w:p w14:paraId="71A25504">
            <w:pPr>
              <w:spacing w:after="0" w:line="240" w:lineRule="auto"/>
            </w:pPr>
            <w:r>
              <w:t>Baseline comparison, float consumption, critical path</w:t>
            </w:r>
          </w:p>
        </w:tc>
      </w:tr>
    </w:tbl>
    <w:p w14:paraId="142D36D9">
      <w:r>
        <w:t>If the critical path slips by more than 14 days, a recovery plan is prepared within 7 days, identifying acceleration measures, additional resources or re-sequencing options. The Contractor maintains daily cost-to-complete reviews, earned-value tracking against the programme, and cash-flow forecasting updated at each progress meeting.</w:t>
      </w:r>
    </w:p>
    <w:p w14:paraId="3FFB4038">
      <w:r>
        <w:br w:type="page"/>
      </w:r>
    </w:p>
    <w:p w14:paraId="026B84B0">
      <w:pPr>
        <w:pStyle w:val="2"/>
      </w:pPr>
      <w:bookmarkStart w:id="56" w:name="_Toc9631"/>
      <w:r>
        <w:t>12. Completion, Handover and Close-out</w:t>
      </w:r>
      <w:bookmarkEnd w:id="56"/>
    </w:p>
    <w:p w14:paraId="3101583B">
      <w:pPr>
        <w:pStyle w:val="3"/>
      </w:pPr>
      <w:bookmarkStart w:id="57" w:name="_Toc671"/>
      <w:r>
        <w:t>12.1 Terminal Float and Sectional Completion</w:t>
      </w:r>
      <w:bookmarkEnd w:id="57"/>
    </w:p>
    <w:p w14:paraId="5D44AFAC">
      <w:r>
        <w:t>The programme reserves 84 days of terminal float between physical completion (10 December 2030) and the Taking Over Certificate (20 March 2031). This period is not hidden production time — it is allocated exclusively to snagging, final testing, as-built record compilation, environmental close-out, traffic-stage removal and handover preparation. Protecting this float throughout construction is a standing objective of the Contractor’s schedule management and progress reporting.</w:t>
      </w:r>
      <w:r>
        <w:br w:type="textWrapping"/>
      </w:r>
      <w:r>
        <w:br w:type="textWrapping"/>
      </w:r>
      <w:r>
        <w:t>The completion sequence follows five phases: physical construction completion by 10 December 2030; terminal float for snagging and close-out activities; the Taking Over Certificate on 20 March 2031; the Defects Notification Period of 12 months; and final acceptance with the Performance Certificate. Each phase has defined deliverables and acceptance criteria that are tracked in the monthly progress report.</w:t>
      </w:r>
    </w:p>
    <w:p w14:paraId="27BF8F9C">
      <w:r>
        <w:t>Each road section and structure is tracked independently for completion. Completion of a section triggers its own snagging cycle, quality close-out and traffic-stage removal. Peri-urban stages are closed sequentially as surfacing, markings, drainage, barriers and signage are accepted and traffic is switched to final configuration. Urban sections are completed by sub-section pair, with services reinstatement, access restoration and pedestrian facilities forming part of each close-out.</w:t>
      </w:r>
      <w:r>
        <w:br w:type="textWrapping"/>
      </w:r>
      <w:r>
        <w:br w:type="textWrapping"/>
      </w:r>
      <w:r>
        <w:t>Every bridge and major culvert is independently tracked through concrete strength records, precast erection, bearing and joint records, approach works, traffic barrier alignment and handover inspection. Electrical and lighting sections are tested, energised and accepted independently against SANS 10098-1. Sectional completion allows the Contractor to release resources progressively, close traffic stages early and reduce the volume of outstanding work entering the terminal float period. The sectional completion programme is maintained as a sub-schedule of the main  programme and is updated at each monthly review.</w:t>
      </w:r>
    </w:p>
    <w:p w14:paraId="3DFBB05A">
      <w:pPr>
        <w:pStyle w:val="3"/>
      </w:pPr>
      <w:bookmarkStart w:id="58" w:name="_Toc32729"/>
      <w:r>
        <w:t>12.2 Snagging and Defect Rectification</w:t>
      </w:r>
      <w:bookmarkEnd w:id="58"/>
    </w:p>
    <w:p w14:paraId="3189B261">
      <w:r>
        <w:t>A rolling snag list is compiled from three months before planned section completion and updated weekly. Joint walk-through inspections with the Engineer are conducted at planned completion, producing an agreed snag list signed off by both parties. Snags are categorised as: Category A (safety-critical — complete before Taking Over), Category B (functional — complete within 28 days of Taking Over) and Category C (cosmetic — complete within the Defects Notification Period).</w:t>
      </w:r>
      <w:r>
        <w:br w:type="textWrapping"/>
      </w:r>
      <w:r>
        <w:br w:type="textWrapping"/>
      </w:r>
      <w:r>
        <w:t>The Taking Over Certificate requires that no more than 2% of contract value in outstanding or defective work remains at the time of issue. All Category A snags are completed before the planned Taking Over Certificate date for each section. Category B and C snags are scheduled into the terminal float and DNP work programmes respectively, with resource allocation planned accordingly.</w:t>
      </w:r>
    </w:p>
    <w:p w14:paraId="714BA7FD">
      <w:pPr>
        <w:pStyle w:val="3"/>
      </w:pPr>
      <w:bookmarkStart w:id="59" w:name="_Toc10537"/>
      <w:r>
        <w:t>12.3 As-Built Records and Handover Packages</w:t>
      </w:r>
      <w:bookmarkEnd w:id="59"/>
    </w:p>
    <w:p w14:paraId="72B8101B">
      <w:r>
        <w:t>As-built records are compiled progressively during construction, not left to the terminal float period. Road geometry surveys — horizontal alignment, vertical profile, cross-sections and superelevation — are completed within 14 days of each section’s completion. Layer thickness and level data from survey and core records are finalised within 28 days. Drainage as-builts capture culvert locations, invert levels, pipe sizes and outlet details. Structure as-builts record foundation depths, concrete strengths, reinforcement details, bearing levels and joint configurations. Services records document all relocated and new service positions, depths and wayleave references. Road furniture and lighting records are compiled within 14 days of installation. All records form part of the handover packages and are submitted to the Engineer for acceptance. The Contractor’s survey team, quality department and environmental officer each contribute to the as-built compilation, ensuring that records are technically complete and internally consistent before submission.</w:t>
      </w:r>
    </w:p>
    <w:p w14:paraId="253A57E5">
      <w:r>
        <w:t>The Contractor prepares six handover record packages for the Engineer’s acceptance: quality records (ITPs, test results, SARDS, NCR close-out, material approvals, PPG documentation); safety records (safety file, HIRA updates, incident close-out, MHSA records, audit reports); environmental records (EMPr compliance, monitoring data, rehabilitation records, permits, waste manifests); traffic records (approved stages, inspection records, final configuration acceptance); community and TE records (procurement files, mentoring reports, payment records, CPG/CPP returns, grievance close-out); and as-built information (survey records, drawings, services and structure details, drainage and lighting records).</w:t>
      </w:r>
      <w:r>
        <w:br w:type="textWrapping"/>
      </w:r>
      <w:r>
        <w:br w:type="textWrapping"/>
      </w:r>
      <w:r>
        <w:t>All packages are delivered 28 days before the Taking Over Certificate. Performance testing — including pavement IRI, surface texture, deflection, lighting levels, drainage flow and barrier alignment — is completed before package submission, with results included in the quality records package. Traffic accommodation close-out runs in parallel: all temporary signage, barriers and flag-person stations are removed, and a joint final route inspection with the Engineer and traffic authority confirms the route is in its final safe traffic configuration.</w:t>
      </w:r>
    </w:p>
    <w:p w14:paraId="26B928B2">
      <w:pPr>
        <w:pStyle w:val="3"/>
      </w:pPr>
      <w:bookmarkStart w:id="60" w:name="_Toc28979"/>
      <w:r>
        <w:t>12.4 Environmental Close-out and Demobilisation</w:t>
      </w:r>
      <w:bookmarkEnd w:id="60"/>
    </w:p>
    <w:p w14:paraId="49DEA1DD">
      <w:r>
        <w:t>Environmental close-out runs in parallel with the terminal float activities: borrow pit rehabilitation, camp and yard removal, crusher pad restoration, stockpile area reprofiling and watercourse reinstatement are all completed and verified by the Dedicated Environmental Officer before the Taking Over Certificate. A final environmental audit by an independent auditor is submitted to the Engineer and the Employer’s Environmental Agent. All temporary diversions and cofferdams are removed and watercourses reinstated before environmental close-out sign-off.</w:t>
      </w:r>
    </w:p>
    <w:p w14:paraId="022E246C">
      <w:pPr>
        <w:pStyle w:val="3"/>
      </w:pPr>
      <w:bookmarkStart w:id="61" w:name="_Toc6234"/>
      <w:r>
        <w:t>12.5 Defects Notification Period</w:t>
      </w:r>
      <w:bookmarkEnd w:id="61"/>
    </w:p>
    <w:tbl>
      <w:tblPr>
        <w:tblStyle w:val="23"/>
        <w:tblW w:w="0" w:type="auto"/>
        <w:tblInd w:w="0" w:type="dxa"/>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4320"/>
        <w:gridCol w:w="4320"/>
      </w:tblGrid>
      <w:tr w14:paraId="7DB2DC2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42F8DB14">
            <w:r>
              <w:rPr>
                <w:b/>
              </w:rPr>
              <w:t>Close-out Area</w:t>
            </w:r>
          </w:p>
        </w:tc>
        <w:tc>
          <w:tcPr>
            <w:tcW w:w="4320" w:type="dxa"/>
          </w:tcPr>
          <w:p w14:paraId="196719C5">
            <w:r>
              <w:rPr>
                <w:b/>
              </w:rPr>
              <w:t>Required Deliverable</w:t>
            </w:r>
          </w:p>
        </w:tc>
      </w:tr>
      <w:tr w14:paraId="3214E49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6BF5C919">
            <w:r>
              <w:t>Roadworks</w:t>
            </w:r>
          </w:p>
        </w:tc>
        <w:tc>
          <w:tcPr>
            <w:tcW w:w="4320" w:type="dxa"/>
          </w:tcPr>
          <w:p w14:paraId="5236BA0F">
            <w:r>
              <w:t>Accepted wearing course, layer records, IRI/texture results, drainage, shoulders, kerbs, sidewalks, access reinstatement and final traffic configuration</w:t>
            </w:r>
          </w:p>
        </w:tc>
      </w:tr>
      <w:tr w14:paraId="41B3FE6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1FECD95C">
            <w:r>
              <w:t>Drainage and culverts</w:t>
            </w:r>
          </w:p>
        </w:tc>
        <w:tc>
          <w:tcPr>
            <w:tcW w:w="4320" w:type="dxa"/>
          </w:tcPr>
          <w:p w14:paraId="30A1AA29">
            <w:r>
              <w:t>As-built invert levels, pipe sizes, culvert locations, outfall protection, flow checks and erosion controls</w:t>
            </w:r>
          </w:p>
        </w:tc>
      </w:tr>
      <w:tr w14:paraId="5085D9B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618874E7">
            <w:r>
              <w:t>Structures (bridges, MSE, shotcrete)</w:t>
            </w:r>
          </w:p>
        </w:tc>
        <w:tc>
          <w:tcPr>
            <w:tcW w:w="4320" w:type="dxa"/>
          </w:tcPr>
          <w:p w14:paraId="103784CB">
            <w:r>
              <w:t>Foundation records, concrete strengths, reinforcement details, bearing levels, joint configurations, precast erection records, as-built surveys</w:t>
            </w:r>
          </w:p>
        </w:tc>
      </w:tr>
      <w:tr w14:paraId="7AB9E3C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3D3BD887">
            <w:r>
              <w:t>Electrical and lighting</w:t>
            </w:r>
          </w:p>
        </w:tc>
        <w:tc>
          <w:tcPr>
            <w:tcW w:w="4320" w:type="dxa"/>
          </w:tcPr>
          <w:p w14:paraId="5DCCA4DB">
            <w:r>
              <w:t>Pole locations, cable routes, lux level measurements, earth continuity, insulation resistance, energisation certificates</w:t>
            </w:r>
          </w:p>
        </w:tc>
      </w:tr>
      <w:tr w14:paraId="120921E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451EA839">
            <w:r>
              <w:t>Road furniture and markings</w:t>
            </w:r>
          </w:p>
        </w:tc>
        <w:tc>
          <w:tcPr>
            <w:tcW w:w="4320" w:type="dxa"/>
          </w:tcPr>
          <w:p w14:paraId="35C152EA">
            <w:r>
              <w:t>Guardrail alignment, sign inventory, road-stud spacing, marking retroreflectivity, delineator records</w:t>
            </w:r>
          </w:p>
        </w:tc>
      </w:tr>
      <w:tr w14:paraId="5FC2940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22F37E86">
            <w:r>
              <w:t>Environmental</w:t>
            </w:r>
          </w:p>
        </w:tc>
        <w:tc>
          <w:tcPr>
            <w:tcW w:w="4320" w:type="dxa"/>
          </w:tcPr>
          <w:p w14:paraId="777422AA">
            <w:r>
              <w:t>Borrow pit rehabilitation, camp removal, watercourse reinstatement, waste disposal certificates, final environmental audit report</w:t>
            </w:r>
          </w:p>
        </w:tc>
      </w:tr>
      <w:tr w14:paraId="7D25EFB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7AA71040">
            <w:r>
              <w:t>Traffic accommodation</w:t>
            </w:r>
          </w:p>
        </w:tc>
        <w:tc>
          <w:tcPr>
            <w:tcW w:w="4320" w:type="dxa"/>
          </w:tcPr>
          <w:p w14:paraId="4ED79155">
            <w:r>
              <w:t>All temporary signs, barriers and devices removed; final route inspection with Engineer and traffic authority; permanent configuration accepted</w:t>
            </w:r>
          </w:p>
        </w:tc>
      </w:tr>
      <w:tr w14:paraId="261FB9E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55444BB9">
            <w:r>
              <w:t>Community and TE</w:t>
            </w:r>
          </w:p>
        </w:tc>
        <w:tc>
          <w:tcPr>
            <w:tcW w:w="4320" w:type="dxa"/>
          </w:tcPr>
          <w:p w14:paraId="2C69B312">
            <w:r>
              <w:t>CPG/CPP final return, TE payment evidence, Targeted Labour records, training completion certificates, grievance register closed, CSI close-out</w:t>
            </w:r>
          </w:p>
        </w:tc>
      </w:tr>
      <w:tr w14:paraId="17CCDE7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588A03F3">
            <w:r>
              <w:t>Quality records</w:t>
            </w:r>
          </w:p>
        </w:tc>
        <w:tc>
          <w:tcPr>
            <w:tcW w:w="4320" w:type="dxa"/>
          </w:tcPr>
          <w:p w14:paraId="72FADD41">
            <w:r>
              <w:t>Complete SARDS database, NCR register closed, ITP files, material approvals, mix designs, PPG certificates, all test records by lot and chainage</w:t>
            </w:r>
          </w:p>
        </w:tc>
      </w:tr>
      <w:tr w14:paraId="473398D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785F79E3">
            <w:r>
              <w:t>Safety records</w:t>
            </w:r>
          </w:p>
        </w:tc>
        <w:tc>
          <w:tcPr>
            <w:tcW w:w="4320" w:type="dxa"/>
          </w:tcPr>
          <w:p w14:paraId="55786A2F">
            <w:r>
              <w:t>Safety file complete, HIRA register, incident close-out, MHSA statutory records, audit reports, PPE registers</w:t>
            </w:r>
          </w:p>
        </w:tc>
      </w:tr>
      <w:tr w14:paraId="6E866B7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c>
          <w:tcPr>
            <w:tcW w:w="4320" w:type="dxa"/>
          </w:tcPr>
          <w:p w14:paraId="07DBD4EC">
            <w:r>
              <w:t>As-built drawings</w:t>
            </w:r>
          </w:p>
        </w:tc>
        <w:tc>
          <w:tcPr>
            <w:tcW w:w="4320" w:type="dxa"/>
          </w:tcPr>
          <w:p w14:paraId="6D650F88">
            <w:r>
              <w:t>Road geometry, drainage networks, service positions, structure details, lighting layouts, signing schedules — all compiled and submitted to Engineer</w:t>
            </w:r>
          </w:p>
        </w:tc>
      </w:tr>
    </w:tbl>
    <w:p w14:paraId="0146D97F">
      <w:r>
        <w:t>The Defects Notification Period (DNP) is 12 months from the Taking Over Certificate. During this period the Contractor rectifies all notified defects at the Contractor’s cost, with response times of 24 hours for safety-critical defects, 7 days for functional defects and 28 days for cosmetic defects. Routine road maintenance continues throughout the DNP. Product Performance Guarantee (PPG) providers conduct annual reviews.</w:t>
      </w:r>
      <w:r>
        <w:br w:type="textWrapping"/>
      </w:r>
      <w:r>
        <w:br w:type="textWrapping"/>
      </w:r>
      <w:r>
        <w:t>Demobilisation is managed as a controlled process, not an ad hoc withdrawal: plant is demobilised in phases as work fronts close, labour is released in line with the histogram decline, camps and yards are removed and rehabilitated, utility accounts are closed and site access is formally surrendered. A joint final inspection is held at the end of the DNP; the Performance Certificate is issued within 28 days thereafter, followed by release of retention money and performance security within 21 days.</w:t>
      </w:r>
      <w:r>
        <w:br w:type="textWrapping"/>
      </w:r>
      <w:r>
        <w:br w:type="textWrapping"/>
      </w:r>
    </w:p>
    <w:p w14:paraId="2F1ED6B1">
      <w:r>
        <w:br w:type="page"/>
      </w:r>
    </w:p>
    <w:p w14:paraId="18ED2860">
      <w:pPr>
        <w:pStyle w:val="2"/>
      </w:pPr>
      <w:bookmarkStart w:id="62" w:name="_Toc902"/>
      <w:r>
        <w:t>List of Attachments</w:t>
      </w:r>
      <w:bookmarkEnd w:id="62"/>
    </w:p>
    <w:p w14:paraId="40F4DFC1">
      <w:pPr>
        <w:rPr>
          <w:rFonts w:hint="default" w:eastAsia="宋体"/>
          <w:lang w:val="en-US" w:eastAsia="zh-CN"/>
        </w:rPr>
      </w:pPr>
      <w:r>
        <w:t xml:space="preserve">Attachment 1 — </w:t>
      </w:r>
      <w:r>
        <w:rPr>
          <w:rFonts w:hint="eastAsia"/>
        </w:rPr>
        <w:t>Upgrade on National Route N2 Section 18 between Viedgesville and Mthatha Tender Programme</w:t>
      </w:r>
      <w:r>
        <w:rPr>
          <w:rFonts w:hint="eastAsia" w:eastAsia="宋体"/>
          <w:lang w:val="en-US" w:eastAsia="zh-CN"/>
        </w:rPr>
        <w:t xml:space="preserve"> R00</w:t>
      </w:r>
    </w:p>
    <w:p w14:paraId="4C60AFF1">
      <w:pPr>
        <w:rPr>
          <w:rFonts w:hint="eastAsia" w:eastAsia="宋体"/>
          <w:lang w:val="en-US" w:eastAsia="zh-CN"/>
        </w:rPr>
      </w:pPr>
      <w:r>
        <w:t>Attachment 2 — Upgrade on National Route N2 Section 18 between Viedgesville and Mthatha Plant Histogram R0</w:t>
      </w:r>
      <w:r>
        <w:rPr>
          <w:rFonts w:hint="eastAsia" w:eastAsia="宋体"/>
          <w:lang w:val="en-US" w:eastAsia="zh-CN"/>
        </w:rPr>
        <w:t>0</w:t>
      </w:r>
    </w:p>
    <w:p w14:paraId="0B074001">
      <w:pPr>
        <w:rPr>
          <w:rFonts w:hint="eastAsia" w:eastAsia="宋体"/>
          <w:lang w:val="en-US" w:eastAsia="zh-CN"/>
        </w:rPr>
      </w:pPr>
      <w:r>
        <w:t>Attachment 3 — Upgrade on National Route N2 Section 18 between Viedgesville and Mthatha Labour Histogram R0</w:t>
      </w:r>
      <w:r>
        <w:rPr>
          <w:rFonts w:hint="eastAsia" w:eastAsia="宋体"/>
          <w:lang w:val="en-US" w:eastAsia="zh-CN"/>
        </w:rPr>
        <w:t>0</w:t>
      </w:r>
    </w:p>
    <w:p w14:paraId="2B5D44CD">
      <w:r>
        <w:t>Attachment 4 — Site Establishment Layout (Schematic)</w:t>
      </w:r>
    </w:p>
    <w:p w14:paraId="1058547E">
      <w:pPr>
        <w:tabs>
          <w:tab w:val="left" w:pos="1624"/>
        </w:tabs>
        <w:bidi w:val="0"/>
        <w:jc w:val="left"/>
        <w:rPr>
          <w:rFonts w:hint="eastAsia" w:eastAsia="宋体"/>
          <w:lang w:val="en-US" w:eastAsia="zh-CN"/>
        </w:rPr>
      </w:pPr>
      <w:r>
        <w:t>Attachment 5 — S-Curve Cash Flow Forecast</w:t>
      </w:r>
      <w:r>
        <w:rPr>
          <w:rFonts w:hint="eastAsia" w:eastAsia="宋体"/>
          <w:lang w:val="en-US" w:eastAsia="zh-CN"/>
        </w:rPr>
        <w:tab/>
      </w:r>
    </w:p>
    <w:sectPr>
      <w:headerReference r:id="rId5" w:type="default"/>
      <w:footerReference r:id="rId6" w:type="default"/>
      <w:footnotePr>
        <w:numRestart w:val="eachSect"/>
      </w:footnotePr>
      <w:pgSz w:w="11906" w:h="16838"/>
      <w:pgMar w:top="1417" w:right="1134" w:bottom="1134"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ptos">
    <w:panose1 w:val="020B0004020202020204"/>
    <w:charset w:val="00"/>
    <w:family w:val="swiss"/>
    <w:pitch w:val="default"/>
    <w:sig w:usb0="20000287" w:usb1="00000003" w:usb2="00000000" w:usb3="00000000" w:csb0="2000019F" w:csb1="00000000"/>
  </w:font>
  <w:font w:name="等线">
    <w:panose1 w:val="02010600030101010101"/>
    <w:charset w:val="86"/>
    <w:family w:val="auto"/>
    <w:pitch w:val="default"/>
    <w:sig w:usb0="A00002BF" w:usb1="38CF7CFA" w:usb2="00000016" w:usb3="00000000" w:csb0="0004000F" w:csb1="00000000"/>
  </w:font>
  <w:font w:name="Aptos Display">
    <w:panose1 w:val="020B0004020202020204"/>
    <w:charset w:val="00"/>
    <w:family w:val="swiss"/>
    <w:pitch w:val="default"/>
    <w:sig w:usb0="20000287" w:usb1="00000003"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New times roman">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9599C">
    <w:pPr>
      <w:pBdr>
        <w:top w:val="single" w:color="1B3A5C" w:sz="4" w:space="1"/>
      </w:pBdr>
      <w:jc w:val="center"/>
    </w:pPr>
    <w:r>
      <w:rPr>
        <w:rFonts w:ascii="Calibri" w:hAnsi="Calibri" w:eastAsia="Calibri"/>
        <w:color w:val="999999"/>
        <w:sz w:val="18"/>
      </w:rPr>
      <w:t xml:space="preserve">— </w:t>
    </w:r>
    <w:r>
      <w:fldChar w:fldCharType="begin"/>
    </w:r>
    <w:r>
      <w:instrText xml:space="preserve"> PAGE </w:instrText>
    </w:r>
    <w:r>
      <w:fldChar w:fldCharType="end"/>
    </w:r>
    <w:r>
      <w:rPr>
        <w:rFonts w:ascii="Calibri" w:hAnsi="Calibri" w:eastAsia="Calibri"/>
        <w:color w:val="999999"/>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E93D6">
    <w:pPr>
      <w:pBdr>
        <w:bottom w:val="single" w:color="1B3A5C" w:sz="4" w:space="1"/>
      </w:pBdr>
      <w:jc w:val="right"/>
    </w:pPr>
    <w:r>
      <w:rPr>
        <w:lang w:val="en-ZA"/>
      </w:rPr>
      <w:drawing>
        <wp:inline distT="0" distB="0" distL="114300" distR="114300">
          <wp:extent cx="1376045" cy="596265"/>
          <wp:effectExtent l="0" t="0" r="8255" b="635"/>
          <wp:docPr id="2" name="图片 2" descr="38869acc8d0fa2fd824d52c6f962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8869acc8d0fa2fd824d52c6f962bf8"/>
                  <pic:cNvPicPr>
                    <a:picLocks noChangeAspect="1"/>
                  </pic:cNvPicPr>
                </pic:nvPicPr>
                <pic:blipFill>
                  <a:blip r:embed="rId1"/>
                  <a:stretch>
                    <a:fillRect/>
                  </a:stretch>
                </pic:blipFill>
                <pic:spPr>
                  <a:xfrm>
                    <a:off x="0" y="0"/>
                    <a:ext cx="1376045" cy="596265"/>
                  </a:xfrm>
                  <a:prstGeom prst="rect">
                    <a:avLst/>
                  </a:prstGeom>
                </pic:spPr>
              </pic:pic>
            </a:graphicData>
          </a:graphic>
        </wp:inline>
      </w:drawing>
    </w:r>
    <w:r>
      <w:rPr>
        <w:lang w:val="en-ZA"/>
      </w:rPr>
      <w:tab/>
    </w:r>
    <w:r>
      <w:rPr>
        <w:lang w:val="en-ZA"/>
      </w:rPr>
      <w:tab/>
    </w:r>
    <w:r>
      <w:rPr>
        <w:rFonts w:ascii="Calibri" w:hAnsi="Calibri" w:eastAsia="Calibri"/>
        <w:i/>
        <w:color w:val="999999"/>
        <w:sz w:val="16"/>
      </w:rPr>
      <w:t xml:space="preserve">SANRAL N.002-180-2018/1R  |  NRA 2025/0069  |  Construction Methodology Statement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5A5B7E"/>
    <w:multiLevelType w:val="singleLevel"/>
    <w:tmpl w:val="5A5A5B7E"/>
    <w:lvl w:ilvl="0" w:tentative="0">
      <w:start w:val="1"/>
      <w:numFmt w:val="bullet"/>
      <w:pStyle w:val="13"/>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174CB"/>
    <w:rsid w:val="091A14A2"/>
    <w:rsid w:val="150D654D"/>
    <w:rsid w:val="1D24052A"/>
    <w:rsid w:val="1D467ED0"/>
    <w:rsid w:val="224F46D5"/>
    <w:rsid w:val="3AE56270"/>
    <w:rsid w:val="3B5D1CD2"/>
    <w:rsid w:val="3D9646D4"/>
    <w:rsid w:val="3E250A5D"/>
    <w:rsid w:val="59E7033A"/>
    <w:rsid w:val="640C4F5C"/>
    <w:rsid w:val="65A022F2"/>
    <w:rsid w:val="6C626078"/>
    <w:rsid w:val="729A7D92"/>
    <w:rsid w:val="7CD92E35"/>
    <w:rsid w:val="7E2714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theme="minorBidi"/>
      <w:color w:val="333333"/>
      <w:sz w:val="22"/>
      <w:szCs w:val="24"/>
      <w:lang w:val="en-US" w:eastAsia="zh-CN" w:bidi="ar-SA"/>
    </w:rPr>
  </w:style>
  <w:style w:type="paragraph" w:styleId="2">
    <w:name w:val="heading 1"/>
    <w:basedOn w:val="1"/>
    <w:next w:val="1"/>
    <w:link w:val="36"/>
    <w:qFormat/>
    <w:uiPriority w:val="9"/>
    <w:pPr>
      <w:keepNext/>
      <w:keepLines/>
      <w:spacing w:before="720" w:after="240"/>
      <w:outlineLvl w:val="0"/>
    </w:pPr>
    <w:rPr>
      <w:rFonts w:asciiTheme="majorHAnsi" w:hAnsiTheme="majorHAnsi" w:eastAsiaTheme="majorEastAsia" w:cstheme="majorBidi"/>
      <w:b/>
      <w:color w:val="1B3A5C"/>
      <w:sz w:val="52"/>
      <w:szCs w:val="40"/>
    </w:rPr>
  </w:style>
  <w:style w:type="paragraph" w:styleId="3">
    <w:name w:val="heading 2"/>
    <w:basedOn w:val="1"/>
    <w:next w:val="1"/>
    <w:link w:val="37"/>
    <w:semiHidden/>
    <w:unhideWhenUsed/>
    <w:qFormat/>
    <w:uiPriority w:val="9"/>
    <w:pPr>
      <w:keepNext/>
      <w:keepLines/>
      <w:spacing w:before="480" w:after="160"/>
      <w:outlineLvl w:val="1"/>
    </w:pPr>
    <w:rPr>
      <w:rFonts w:asciiTheme="majorHAnsi" w:hAnsiTheme="majorHAnsi" w:eastAsiaTheme="majorEastAsia" w:cstheme="majorBidi"/>
      <w:b/>
      <w:color w:val="1B3A5C"/>
      <w:sz w:val="32"/>
      <w:szCs w:val="32"/>
    </w:rPr>
  </w:style>
  <w:style w:type="paragraph" w:styleId="4">
    <w:name w:val="heading 3"/>
    <w:basedOn w:val="1"/>
    <w:next w:val="5"/>
    <w:link w:val="38"/>
    <w:semiHidden/>
    <w:unhideWhenUsed/>
    <w:qFormat/>
    <w:uiPriority w:val="9"/>
    <w:pPr>
      <w:keepNext/>
      <w:keepLines/>
      <w:spacing w:before="280" w:after="120"/>
      <w:outlineLvl w:val="2"/>
    </w:pPr>
    <w:rPr>
      <w:rFonts w:ascii="Calibri" w:hAnsi="Calibri" w:eastAsiaTheme="majorEastAsia" w:cstheme="majorBidi"/>
      <w:b/>
      <w:color w:val="2E6B9E"/>
      <w:sz w:val="26"/>
      <w:szCs w:val="28"/>
    </w:rPr>
  </w:style>
  <w:style w:type="paragraph" w:styleId="6">
    <w:name w:val="heading 4"/>
    <w:basedOn w:val="1"/>
    <w:next w:val="5"/>
    <w:link w:val="39"/>
    <w:semiHidden/>
    <w:unhideWhenUsed/>
    <w:qFormat/>
    <w:uiPriority w:val="9"/>
    <w:pPr>
      <w:keepNext/>
      <w:keepLines/>
      <w:spacing w:before="200" w:after="80"/>
      <w:outlineLvl w:val="3"/>
    </w:pPr>
    <w:rPr>
      <w:rFonts w:ascii="Calibri" w:hAnsi="Calibri" w:eastAsiaTheme="majorEastAsia" w:cstheme="majorBidi"/>
      <w:b/>
      <w:i/>
      <w:iCs/>
      <w:color w:val="1B3A5C"/>
      <w:sz w:val="23"/>
    </w:rPr>
  </w:style>
  <w:style w:type="paragraph" w:styleId="7">
    <w:name w:val="heading 5"/>
    <w:basedOn w:val="1"/>
    <w:next w:val="5"/>
    <w:link w:val="4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5"/>
    <w:link w:val="4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5"/>
    <w:link w:val="4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5"/>
    <w:link w:val="4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5"/>
    <w:link w:val="4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4">
    <w:name w:val="Default Paragraph Font"/>
    <w:semiHidden/>
    <w:unhideWhenUsed/>
    <w:qFormat/>
    <w:uiPriority w:val="0"/>
  </w:style>
  <w:style w:type="table" w:default="1" w:styleId="22">
    <w:name w:val="Normal Table"/>
    <w:qFormat/>
    <w:uiPriority w:val="0"/>
    <w:tblPr>
      <w:tblCellMar>
        <w:top w:w="0" w:type="dxa"/>
        <w:left w:w="108" w:type="dxa"/>
        <w:bottom w:w="0" w:type="dxa"/>
        <w:right w:w="108" w:type="dxa"/>
      </w:tblCellMar>
    </w:tblPr>
  </w:style>
  <w:style w:type="paragraph" w:styleId="5">
    <w:name w:val="Body Text"/>
    <w:basedOn w:val="1"/>
    <w:link w:val="26"/>
    <w:qFormat/>
    <w:uiPriority w:val="0"/>
    <w:pPr>
      <w:spacing w:before="180" w:after="180"/>
    </w:pPr>
  </w:style>
  <w:style w:type="paragraph" w:styleId="12">
    <w:name w:val="caption"/>
    <w:basedOn w:val="1"/>
    <w:qFormat/>
    <w:uiPriority w:val="0"/>
    <w:pPr>
      <w:spacing w:before="0" w:after="120"/>
    </w:pPr>
    <w:rPr>
      <w:i/>
    </w:rPr>
  </w:style>
  <w:style w:type="paragraph" w:styleId="13">
    <w:name w:val="List Bullet"/>
    <w:basedOn w:val="1"/>
    <w:qFormat/>
    <w:uiPriority w:val="0"/>
    <w:pPr>
      <w:numPr>
        <w:ilvl w:val="0"/>
        <w:numId w:val="1"/>
      </w:numPr>
    </w:pPr>
  </w:style>
  <w:style w:type="paragraph" w:styleId="14">
    <w:name w:val="Block Text"/>
    <w:basedOn w:val="5"/>
    <w:next w:val="5"/>
    <w:unhideWhenUsed/>
    <w:qFormat/>
    <w:uiPriority w:val="9"/>
    <w:pPr>
      <w:spacing w:before="100" w:after="100"/>
      <w:ind w:left="480" w:right="480" w:firstLine="0"/>
    </w:pPr>
  </w:style>
  <w:style w:type="paragraph" w:styleId="15">
    <w:name w:val="toc 3"/>
    <w:basedOn w:val="1"/>
    <w:next w:val="1"/>
    <w:qFormat/>
    <w:uiPriority w:val="0"/>
    <w:pPr>
      <w:ind w:left="840" w:leftChars="400"/>
    </w:pPr>
  </w:style>
  <w:style w:type="paragraph" w:styleId="16">
    <w:name w:val="Date"/>
    <w:basedOn w:val="17"/>
    <w:next w:val="5"/>
    <w:qFormat/>
    <w:uiPriority w:val="0"/>
    <w:pPr>
      <w:keepNext/>
      <w:keepLines/>
    </w:pPr>
    <w:rPr>
      <w:sz w:val="24"/>
      <w:szCs w:val="24"/>
    </w:rPr>
  </w:style>
  <w:style w:type="paragraph" w:styleId="17">
    <w:name w:val="Title"/>
    <w:basedOn w:val="1"/>
    <w:next w:val="5"/>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8">
    <w:name w:val="toc 1"/>
    <w:basedOn w:val="1"/>
    <w:next w:val="1"/>
    <w:qFormat/>
    <w:uiPriority w:val="0"/>
  </w:style>
  <w:style w:type="paragraph" w:styleId="19">
    <w:name w:val="Subtitle"/>
    <w:basedOn w:val="17"/>
    <w:next w:val="5"/>
    <w:link w:val="31"/>
    <w:qFormat/>
    <w:uiPriority w:val="11"/>
    <w:rPr>
      <w:rFonts w:eastAsiaTheme="majorEastAsia" w:cstheme="majorBidi"/>
      <w:spacing w:val="15"/>
      <w:sz w:val="28"/>
      <w:szCs w:val="28"/>
    </w:rPr>
  </w:style>
  <w:style w:type="paragraph" w:styleId="20">
    <w:name w:val="footnote text"/>
    <w:basedOn w:val="1"/>
    <w:unhideWhenUsed/>
    <w:qFormat/>
    <w:uiPriority w:val="9"/>
  </w:style>
  <w:style w:type="paragraph" w:styleId="21">
    <w:name w:val="toc 2"/>
    <w:basedOn w:val="1"/>
    <w:next w:val="1"/>
    <w:qFormat/>
    <w:uiPriority w:val="0"/>
    <w:pPr>
      <w:ind w:left="420" w:leftChars="200"/>
    </w:pPr>
  </w:style>
  <w:style w:type="table" w:styleId="23">
    <w:name w:val="Light Grid Accent 1"/>
    <w:basedOn w:val="22"/>
    <w:qFormat/>
    <w:uiPriority w:val="62"/>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tcPr>
    </w:tblStylePr>
  </w:style>
  <w:style w:type="character" w:styleId="25">
    <w:name w:val="Hyperlink"/>
    <w:basedOn w:val="26"/>
    <w:qFormat/>
    <w:uiPriority w:val="0"/>
    <w:rPr>
      <w:color w:val="156082" w:themeColor="accent1"/>
      <w14:textFill>
        <w14:solidFill>
          <w14:schemeClr w14:val="accent1"/>
        </w14:solidFill>
      </w14:textFill>
    </w:rPr>
  </w:style>
  <w:style w:type="character" w:customStyle="1" w:styleId="26">
    <w:name w:val="Body Text Char"/>
    <w:basedOn w:val="24"/>
    <w:link w:val="5"/>
    <w:qFormat/>
    <w:uiPriority w:val="0"/>
  </w:style>
  <w:style w:type="character" w:styleId="27">
    <w:name w:val="footnote reference"/>
    <w:basedOn w:val="26"/>
    <w:qFormat/>
    <w:uiPriority w:val="0"/>
    <w:rPr>
      <w:vertAlign w:val="superscript"/>
    </w:rPr>
  </w:style>
  <w:style w:type="paragraph" w:customStyle="1" w:styleId="28">
    <w:name w:val="First Paragraph"/>
    <w:basedOn w:val="5"/>
    <w:next w:val="5"/>
    <w:qFormat/>
    <w:uiPriority w:val="0"/>
  </w:style>
  <w:style w:type="paragraph" w:customStyle="1" w:styleId="29">
    <w:name w:val="Compact"/>
    <w:basedOn w:val="5"/>
    <w:qFormat/>
    <w:uiPriority w:val="0"/>
    <w:pPr>
      <w:spacing w:before="36" w:after="36"/>
    </w:pPr>
  </w:style>
  <w:style w:type="character" w:customStyle="1" w:styleId="30">
    <w:name w:val="Title Char"/>
    <w:basedOn w:val="24"/>
    <w:link w:val="17"/>
    <w:qFormat/>
    <w:uiPriority w:val="10"/>
    <w:rPr>
      <w:rFonts w:asciiTheme="majorHAnsi" w:hAnsiTheme="majorHAnsi" w:eastAsiaTheme="majorEastAsia" w:cstheme="majorBidi"/>
      <w:sz w:val="56"/>
      <w:szCs w:val="56"/>
    </w:rPr>
  </w:style>
  <w:style w:type="character" w:customStyle="1" w:styleId="31">
    <w:name w:val="Subtitle Char"/>
    <w:basedOn w:val="24"/>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2">
    <w:name w:val="Author"/>
    <w:basedOn w:val="17"/>
    <w:next w:val="5"/>
    <w:qFormat/>
    <w:uiPriority w:val="0"/>
    <w:pPr>
      <w:keepNext/>
      <w:keepLines/>
    </w:pPr>
    <w:rPr>
      <w:sz w:val="24"/>
      <w:szCs w:val="24"/>
    </w:rPr>
  </w:style>
  <w:style w:type="paragraph" w:customStyle="1" w:styleId="33">
    <w:name w:val="Abstract Title"/>
    <w:basedOn w:val="1"/>
    <w:next w:val="34"/>
    <w:qFormat/>
    <w:uiPriority w:val="0"/>
    <w:pPr>
      <w:keepNext/>
      <w:keepLines/>
      <w:spacing w:before="300" w:after="0"/>
      <w:jc w:val="center"/>
    </w:pPr>
    <w:rPr>
      <w:b/>
      <w:sz w:val="20"/>
      <w:szCs w:val="20"/>
    </w:rPr>
  </w:style>
  <w:style w:type="paragraph" w:customStyle="1" w:styleId="34">
    <w:name w:val="Abstract"/>
    <w:basedOn w:val="1"/>
    <w:next w:val="5"/>
    <w:qFormat/>
    <w:uiPriority w:val="0"/>
    <w:pPr>
      <w:keepNext/>
      <w:keepLines/>
      <w:spacing w:before="100" w:after="300"/>
    </w:pPr>
    <w:rPr>
      <w:sz w:val="20"/>
      <w:szCs w:val="20"/>
    </w:rPr>
  </w:style>
  <w:style w:type="paragraph" w:customStyle="1" w:styleId="35">
    <w:name w:val="Bibliography"/>
    <w:basedOn w:val="1"/>
    <w:qFormat/>
    <w:uiPriority w:val="0"/>
  </w:style>
  <w:style w:type="character" w:customStyle="1" w:styleId="36">
    <w:name w:val="Heading 1 Char"/>
    <w:basedOn w:val="24"/>
    <w:link w:val="2"/>
    <w:qFormat/>
    <w:uiPriority w:val="9"/>
    <w:rPr>
      <w:rFonts w:asciiTheme="majorHAnsi" w:hAnsiTheme="majorHAnsi" w:eastAsiaTheme="majorEastAsia" w:cstheme="majorBidi"/>
      <w:color w:val="104862" w:themeColor="accent1" w:themeShade="BF"/>
      <w:sz w:val="40"/>
      <w:szCs w:val="40"/>
    </w:rPr>
  </w:style>
  <w:style w:type="character" w:customStyle="1" w:styleId="37">
    <w:name w:val="Heading 2 Char"/>
    <w:basedOn w:val="24"/>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38">
    <w:name w:val="Heading 3 Char"/>
    <w:basedOn w:val="24"/>
    <w:link w:val="4"/>
    <w:semiHidden/>
    <w:qFormat/>
    <w:uiPriority w:val="9"/>
    <w:rPr>
      <w:rFonts w:eastAsiaTheme="majorEastAsia" w:cstheme="majorBidi"/>
      <w:color w:val="104862" w:themeColor="accent1" w:themeShade="BF"/>
      <w:sz w:val="28"/>
      <w:szCs w:val="28"/>
    </w:rPr>
  </w:style>
  <w:style w:type="character" w:customStyle="1" w:styleId="39">
    <w:name w:val="Heading 4 Char"/>
    <w:basedOn w:val="24"/>
    <w:link w:val="6"/>
    <w:semiHidden/>
    <w:qFormat/>
    <w:uiPriority w:val="9"/>
    <w:rPr>
      <w:rFonts w:eastAsiaTheme="majorEastAsia" w:cstheme="majorBidi"/>
      <w:i/>
      <w:iCs/>
      <w:color w:val="104862" w:themeColor="accent1" w:themeShade="BF"/>
    </w:rPr>
  </w:style>
  <w:style w:type="character" w:customStyle="1" w:styleId="40">
    <w:name w:val="Heading 5 Char"/>
    <w:basedOn w:val="24"/>
    <w:link w:val="7"/>
    <w:semiHidden/>
    <w:qFormat/>
    <w:uiPriority w:val="9"/>
    <w:rPr>
      <w:rFonts w:eastAsiaTheme="majorEastAsia" w:cstheme="majorBidi"/>
      <w:color w:val="104862" w:themeColor="accent1" w:themeShade="BF"/>
    </w:rPr>
  </w:style>
  <w:style w:type="character" w:customStyle="1" w:styleId="41">
    <w:name w:val="Heading 6 Char"/>
    <w:basedOn w:val="24"/>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2">
    <w:name w:val="Heading 7 Char"/>
    <w:basedOn w:val="24"/>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Heading 8 Char"/>
    <w:basedOn w:val="24"/>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4">
    <w:name w:val="Heading 9 Char"/>
    <w:basedOn w:val="24"/>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5">
    <w:name w:val="Footnote Block Text"/>
    <w:basedOn w:val="20"/>
    <w:next w:val="20"/>
    <w:unhideWhenUsed/>
    <w:qFormat/>
    <w:uiPriority w:val="9"/>
    <w:pPr>
      <w:spacing w:before="100" w:after="100"/>
      <w:ind w:left="480" w:right="480" w:firstLine="0"/>
    </w:pPr>
  </w:style>
  <w:style w:type="table" w:customStyle="1" w:styleId="4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7">
    <w:name w:val="Definition Term"/>
    <w:basedOn w:val="1"/>
    <w:next w:val="48"/>
    <w:qFormat/>
    <w:uiPriority w:val="0"/>
    <w:pPr>
      <w:keepNext/>
      <w:keepLines/>
      <w:spacing w:after="0"/>
    </w:pPr>
    <w:rPr>
      <w:b/>
    </w:rPr>
  </w:style>
  <w:style w:type="paragraph" w:customStyle="1" w:styleId="48">
    <w:name w:val="Definition"/>
    <w:basedOn w:val="1"/>
    <w:qFormat/>
    <w:uiPriority w:val="0"/>
  </w:style>
  <w:style w:type="paragraph" w:customStyle="1" w:styleId="49">
    <w:name w:val="Table Caption"/>
    <w:basedOn w:val="12"/>
    <w:qFormat/>
    <w:uiPriority w:val="0"/>
    <w:pPr>
      <w:keepNext/>
    </w:pPr>
  </w:style>
  <w:style w:type="paragraph" w:customStyle="1" w:styleId="50">
    <w:name w:val="Image Caption"/>
    <w:basedOn w:val="12"/>
    <w:qFormat/>
    <w:uiPriority w:val="0"/>
  </w:style>
  <w:style w:type="paragraph" w:customStyle="1" w:styleId="51">
    <w:name w:val="Figure"/>
    <w:basedOn w:val="1"/>
    <w:qFormat/>
    <w:uiPriority w:val="0"/>
  </w:style>
  <w:style w:type="paragraph" w:customStyle="1" w:styleId="52">
    <w:name w:val="Captioned Figure"/>
    <w:basedOn w:val="51"/>
    <w:qFormat/>
    <w:uiPriority w:val="0"/>
    <w:pPr>
      <w:keepNext/>
    </w:pPr>
  </w:style>
  <w:style w:type="character" w:customStyle="1" w:styleId="53">
    <w:name w:val="Verbatim Char"/>
    <w:basedOn w:val="26"/>
    <w:link w:val="54"/>
    <w:qFormat/>
    <w:uiPriority w:val="0"/>
    <w:rPr>
      <w:rFonts w:ascii="Consolas" w:hAnsi="Consolas"/>
      <w:sz w:val="22"/>
    </w:rPr>
  </w:style>
  <w:style w:type="paragraph" w:customStyle="1" w:styleId="54">
    <w:name w:val="Source Code"/>
    <w:basedOn w:val="1"/>
    <w:link w:val="53"/>
    <w:qFormat/>
    <w:uiPriority w:val="0"/>
    <w:pPr>
      <w:wordWrap w:val="0"/>
    </w:pPr>
  </w:style>
  <w:style w:type="character" w:customStyle="1" w:styleId="55">
    <w:name w:val="Section Number"/>
    <w:basedOn w:val="26"/>
    <w:qFormat/>
    <w:uiPriority w:val="0"/>
  </w:style>
  <w:style w:type="paragraph" w:customStyle="1" w:styleId="56">
    <w:name w:val="TOC Heading"/>
    <w:basedOn w:val="2"/>
    <w:next w:val="5"/>
    <w:unhideWhenUsed/>
    <w:qFormat/>
    <w:uiPriority w:val="39"/>
    <w:pPr>
      <w:spacing w:before="240" w:line="259" w:lineRule="auto"/>
      <w:outlineLvl w:val="9"/>
    </w:pPr>
    <w:rPr>
      <w:rFonts w:asciiTheme="majorHAnsi" w:hAnsiTheme="majorHAnsi" w:eastAsiaTheme="majorEastAsia" w:cstheme="majorBidi"/>
      <w:b w:val="0"/>
      <w:color w:val="104862" w:themeColor="accent1" w:themeShade="BF"/>
    </w:rPr>
  </w:style>
  <w:style w:type="character" w:customStyle="1" w:styleId="57">
    <w:name w:val="KeywordTok"/>
    <w:basedOn w:val="53"/>
    <w:qFormat/>
    <w:uiPriority w:val="0"/>
    <w:rPr>
      <w:b/>
      <w:color w:val="007020"/>
    </w:rPr>
  </w:style>
  <w:style w:type="character" w:customStyle="1" w:styleId="58">
    <w:name w:val="DataTypeTok"/>
    <w:basedOn w:val="53"/>
    <w:qFormat/>
    <w:uiPriority w:val="0"/>
    <w:rPr>
      <w:color w:val="902000"/>
    </w:rPr>
  </w:style>
  <w:style w:type="character" w:customStyle="1" w:styleId="59">
    <w:name w:val="DecValTok"/>
    <w:basedOn w:val="53"/>
    <w:qFormat/>
    <w:uiPriority w:val="0"/>
    <w:rPr>
      <w:color w:val="40A070"/>
    </w:rPr>
  </w:style>
  <w:style w:type="character" w:customStyle="1" w:styleId="60">
    <w:name w:val="BaseNTok"/>
    <w:basedOn w:val="53"/>
    <w:qFormat/>
    <w:uiPriority w:val="0"/>
    <w:rPr>
      <w:color w:val="40A070"/>
    </w:rPr>
  </w:style>
  <w:style w:type="character" w:customStyle="1" w:styleId="61">
    <w:name w:val="FloatTok"/>
    <w:basedOn w:val="53"/>
    <w:qFormat/>
    <w:uiPriority w:val="0"/>
    <w:rPr>
      <w:color w:val="40A070"/>
    </w:rPr>
  </w:style>
  <w:style w:type="character" w:customStyle="1" w:styleId="62">
    <w:name w:val="ConstantTok"/>
    <w:basedOn w:val="53"/>
    <w:qFormat/>
    <w:uiPriority w:val="0"/>
    <w:rPr>
      <w:color w:val="880000"/>
    </w:rPr>
  </w:style>
  <w:style w:type="character" w:customStyle="1" w:styleId="63">
    <w:name w:val="CharTok"/>
    <w:basedOn w:val="53"/>
    <w:qFormat/>
    <w:uiPriority w:val="0"/>
    <w:rPr>
      <w:color w:val="4070A0"/>
    </w:rPr>
  </w:style>
  <w:style w:type="character" w:customStyle="1" w:styleId="64">
    <w:name w:val="SpecialCharTok"/>
    <w:basedOn w:val="53"/>
    <w:qFormat/>
    <w:uiPriority w:val="0"/>
    <w:rPr>
      <w:color w:val="4070A0"/>
    </w:rPr>
  </w:style>
  <w:style w:type="character" w:customStyle="1" w:styleId="65">
    <w:name w:val="StringTok"/>
    <w:basedOn w:val="53"/>
    <w:qFormat/>
    <w:uiPriority w:val="0"/>
    <w:rPr>
      <w:color w:val="4070A0"/>
    </w:rPr>
  </w:style>
  <w:style w:type="character" w:customStyle="1" w:styleId="66">
    <w:name w:val="VerbatimStringTok"/>
    <w:basedOn w:val="53"/>
    <w:qFormat/>
    <w:uiPriority w:val="0"/>
    <w:rPr>
      <w:color w:val="4070A0"/>
    </w:rPr>
  </w:style>
  <w:style w:type="character" w:customStyle="1" w:styleId="67">
    <w:name w:val="SpecialStringTok"/>
    <w:basedOn w:val="53"/>
    <w:qFormat/>
    <w:uiPriority w:val="0"/>
    <w:rPr>
      <w:color w:val="BB6688"/>
    </w:rPr>
  </w:style>
  <w:style w:type="character" w:customStyle="1" w:styleId="68">
    <w:name w:val="ImportTok"/>
    <w:basedOn w:val="53"/>
    <w:qFormat/>
    <w:uiPriority w:val="0"/>
    <w:rPr>
      <w:b/>
      <w:color w:val="008000"/>
    </w:rPr>
  </w:style>
  <w:style w:type="character" w:customStyle="1" w:styleId="69">
    <w:name w:val="CommentTok"/>
    <w:basedOn w:val="53"/>
    <w:qFormat/>
    <w:uiPriority w:val="0"/>
    <w:rPr>
      <w:i/>
      <w:color w:val="60A0B0"/>
    </w:rPr>
  </w:style>
  <w:style w:type="character" w:customStyle="1" w:styleId="70">
    <w:name w:val="DocumentationTok"/>
    <w:basedOn w:val="53"/>
    <w:uiPriority w:val="0"/>
    <w:rPr>
      <w:i/>
      <w:color w:val="BA2121"/>
    </w:rPr>
  </w:style>
  <w:style w:type="character" w:customStyle="1" w:styleId="71">
    <w:name w:val="AnnotationTok"/>
    <w:basedOn w:val="53"/>
    <w:qFormat/>
    <w:uiPriority w:val="0"/>
    <w:rPr>
      <w:b/>
      <w:i/>
      <w:color w:val="60A0B0"/>
    </w:rPr>
  </w:style>
  <w:style w:type="character" w:customStyle="1" w:styleId="72">
    <w:name w:val="CommentVarTok"/>
    <w:basedOn w:val="53"/>
    <w:qFormat/>
    <w:uiPriority w:val="0"/>
    <w:rPr>
      <w:b/>
      <w:i/>
      <w:color w:val="60A0B0"/>
    </w:rPr>
  </w:style>
  <w:style w:type="character" w:customStyle="1" w:styleId="73">
    <w:name w:val="OtherTok"/>
    <w:basedOn w:val="53"/>
    <w:qFormat/>
    <w:uiPriority w:val="0"/>
    <w:rPr>
      <w:color w:val="007020"/>
    </w:rPr>
  </w:style>
  <w:style w:type="character" w:customStyle="1" w:styleId="74">
    <w:name w:val="FunctionTok"/>
    <w:basedOn w:val="53"/>
    <w:qFormat/>
    <w:uiPriority w:val="0"/>
    <w:rPr>
      <w:color w:val="06287E"/>
    </w:rPr>
  </w:style>
  <w:style w:type="character" w:customStyle="1" w:styleId="75">
    <w:name w:val="VariableTok"/>
    <w:basedOn w:val="53"/>
    <w:qFormat/>
    <w:uiPriority w:val="0"/>
    <w:rPr>
      <w:color w:val="19177C"/>
    </w:rPr>
  </w:style>
  <w:style w:type="character" w:customStyle="1" w:styleId="76">
    <w:name w:val="ControlFlowTok"/>
    <w:basedOn w:val="53"/>
    <w:qFormat/>
    <w:uiPriority w:val="0"/>
    <w:rPr>
      <w:b/>
      <w:color w:val="007020"/>
    </w:rPr>
  </w:style>
  <w:style w:type="character" w:customStyle="1" w:styleId="77">
    <w:name w:val="OperatorTok"/>
    <w:basedOn w:val="53"/>
    <w:qFormat/>
    <w:uiPriority w:val="0"/>
    <w:rPr>
      <w:color w:val="666666"/>
    </w:rPr>
  </w:style>
  <w:style w:type="character" w:customStyle="1" w:styleId="78">
    <w:name w:val="BuiltInTok"/>
    <w:basedOn w:val="53"/>
    <w:qFormat/>
    <w:uiPriority w:val="0"/>
    <w:rPr>
      <w:color w:val="008000"/>
    </w:rPr>
  </w:style>
  <w:style w:type="character" w:customStyle="1" w:styleId="79">
    <w:name w:val="ExtensionTok"/>
    <w:basedOn w:val="53"/>
    <w:qFormat/>
    <w:uiPriority w:val="0"/>
  </w:style>
  <w:style w:type="character" w:customStyle="1" w:styleId="80">
    <w:name w:val="PreprocessorTok"/>
    <w:basedOn w:val="53"/>
    <w:qFormat/>
    <w:uiPriority w:val="0"/>
    <w:rPr>
      <w:color w:val="BC7A00"/>
    </w:rPr>
  </w:style>
  <w:style w:type="character" w:customStyle="1" w:styleId="81">
    <w:name w:val="AttributeTok"/>
    <w:basedOn w:val="53"/>
    <w:qFormat/>
    <w:uiPriority w:val="0"/>
    <w:rPr>
      <w:color w:val="7D9029"/>
    </w:rPr>
  </w:style>
  <w:style w:type="character" w:customStyle="1" w:styleId="82">
    <w:name w:val="RegionMarkerTok"/>
    <w:basedOn w:val="53"/>
    <w:qFormat/>
    <w:uiPriority w:val="0"/>
  </w:style>
  <w:style w:type="character" w:customStyle="1" w:styleId="83">
    <w:name w:val="InformationTok"/>
    <w:basedOn w:val="53"/>
    <w:qFormat/>
    <w:uiPriority w:val="0"/>
    <w:rPr>
      <w:b/>
      <w:i/>
      <w:color w:val="60A0B0"/>
    </w:rPr>
  </w:style>
  <w:style w:type="character" w:customStyle="1" w:styleId="84">
    <w:name w:val="WarningTok"/>
    <w:basedOn w:val="53"/>
    <w:qFormat/>
    <w:uiPriority w:val="0"/>
    <w:rPr>
      <w:b/>
      <w:i/>
      <w:color w:val="60A0B0"/>
    </w:rPr>
  </w:style>
  <w:style w:type="character" w:customStyle="1" w:styleId="85">
    <w:name w:val="AlertTok"/>
    <w:basedOn w:val="53"/>
    <w:qFormat/>
    <w:uiPriority w:val="0"/>
    <w:rPr>
      <w:b/>
      <w:color w:val="FF0000"/>
    </w:rPr>
  </w:style>
  <w:style w:type="character" w:customStyle="1" w:styleId="86">
    <w:name w:val="ErrorTok"/>
    <w:basedOn w:val="53"/>
    <w:qFormat/>
    <w:uiPriority w:val="0"/>
    <w:rPr>
      <w:b/>
      <w:color w:val="FF0000"/>
    </w:rPr>
  </w:style>
  <w:style w:type="character" w:customStyle="1" w:styleId="87">
    <w:name w:val="NormalTok"/>
    <w:basedOn w:val="53"/>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3134</Words>
  <Characters>19470</Characters>
  <Lines>12</Lines>
  <Paragraphs>8</Paragraphs>
  <TotalTime>0</TotalTime>
  <ScaleCrop>false</ScaleCrop>
  <LinksUpToDate>false</LinksUpToDate>
  <CharactersWithSpaces>22317</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2026-06-11T08:16:00Z</dcterms:created>
  <dc:creator>The Contractor</dc:creator>
  <cp:lastModifiedBy>向鑫</cp:lastModifiedBy>
  <dcterms:modified xsi:type="dcterms:W3CDTF">2026-06-19T22:18:54Z</dcterms:modified>
  <dc:title>Construction Methodology Statement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N2 Section 18 — Viedgesville to Mthatha</vt:lpwstr>
  </property>
  <property fmtid="{D5CDD505-2E9C-101B-9397-08002B2CF9AE}" pid="4" name="KSOTemplateDocerSaveRecord">
    <vt:lpwstr>eyJoZGlkIjoiY2Q5YzllYmVhMDM3N2I2MmI4ZmUzNDFkNzdiNzA4MjkiLCJ1c2VySWQiOiI0NzM2NzcifQ==</vt:lpwstr>
  </property>
  <property fmtid="{D5CDD505-2E9C-101B-9397-08002B2CF9AE}" pid="5" name="KSOProductBuildVer">
    <vt:lpwstr>2052-12.1.0.26884</vt:lpwstr>
  </property>
  <property fmtid="{D5CDD505-2E9C-101B-9397-08002B2CF9AE}" pid="6" name="ICV">
    <vt:lpwstr>A6A26C0AE6FC4EF190C3F1E1F9BAFFDA_13</vt:lpwstr>
  </property>
</Properties>
</file>