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rFonts w:hint="default"/>
        </w:rPr>
      </w:pPr>
      <w:r>
        <w:rPr>
          <w:color w:val="000000"/>
        </w:rPr>
        <w:t>M-&gt;H:movidius-&gt;host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DBE567C"/>
    <w:rsid w:val="2EF21802"/>
    <w:rsid w:val="2FFF6869"/>
    <w:rsid w:val="33FF06DE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E5198"/>
    <w:rsid w:val="4A3BB484"/>
    <w:rsid w:val="4E5CA98A"/>
    <w:rsid w:val="4EBD72B0"/>
    <w:rsid w:val="4EFF04AD"/>
    <w:rsid w:val="4F6E9104"/>
    <w:rsid w:val="4FEF6CA4"/>
    <w:rsid w:val="4FF471A3"/>
    <w:rsid w:val="4FFD99E3"/>
    <w:rsid w:val="53BF0A63"/>
    <w:rsid w:val="53BF838F"/>
    <w:rsid w:val="53D54B11"/>
    <w:rsid w:val="53F22C3C"/>
    <w:rsid w:val="551B7180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B77D7"/>
    <w:rsid w:val="63CECE19"/>
    <w:rsid w:val="6597E161"/>
    <w:rsid w:val="66FFBF2B"/>
    <w:rsid w:val="67969603"/>
    <w:rsid w:val="67BFA439"/>
    <w:rsid w:val="67E5CBDC"/>
    <w:rsid w:val="6BD3A2CA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71FB3EDA"/>
    <w:rsid w:val="73FB618A"/>
    <w:rsid w:val="73FF3863"/>
    <w:rsid w:val="757D612F"/>
    <w:rsid w:val="76FF4341"/>
    <w:rsid w:val="77276FEA"/>
    <w:rsid w:val="77BF7DA4"/>
    <w:rsid w:val="77D6251A"/>
    <w:rsid w:val="794F86BA"/>
    <w:rsid w:val="79EEE6B7"/>
    <w:rsid w:val="79FABFB3"/>
    <w:rsid w:val="79FBB16A"/>
    <w:rsid w:val="7AE32224"/>
    <w:rsid w:val="7B5FCC05"/>
    <w:rsid w:val="7B6B486A"/>
    <w:rsid w:val="7B73C945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D8B22"/>
    <w:rsid w:val="7CFFBCE6"/>
    <w:rsid w:val="7D3E05D0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7303D"/>
    <w:rsid w:val="7FDCE2A4"/>
    <w:rsid w:val="7FEE33B7"/>
    <w:rsid w:val="7FEF3DA0"/>
    <w:rsid w:val="7FFF361B"/>
    <w:rsid w:val="7FFF5AAB"/>
    <w:rsid w:val="8ADD5E9B"/>
    <w:rsid w:val="8E73FC26"/>
    <w:rsid w:val="9F9AB807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DC082B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EDB3548"/>
    <w:rsid w:val="DFE60CEF"/>
    <w:rsid w:val="DFFAE4E5"/>
    <w:rsid w:val="DFFEFE93"/>
    <w:rsid w:val="DFFF45DB"/>
    <w:rsid w:val="E5DB2BDD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D9378"/>
    <w:rsid w:val="F3FDCB5B"/>
    <w:rsid w:val="F467CAB4"/>
    <w:rsid w:val="F47C07DE"/>
    <w:rsid w:val="F4B537B6"/>
    <w:rsid w:val="F5D762BC"/>
    <w:rsid w:val="F5E7FE63"/>
    <w:rsid w:val="F5EFD0E0"/>
    <w:rsid w:val="F6FF7DC6"/>
    <w:rsid w:val="F75768B1"/>
    <w:rsid w:val="F77806FA"/>
    <w:rsid w:val="F77B30C4"/>
    <w:rsid w:val="F7EF3081"/>
    <w:rsid w:val="F7F3EC23"/>
    <w:rsid w:val="F7FD2436"/>
    <w:rsid w:val="F7FDC1D6"/>
    <w:rsid w:val="F8F706C2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E529927"/>
    <w:rsid w:val="FE7F2CE8"/>
    <w:rsid w:val="FEA7C62F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5505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2022-04-09T10:44:00Z</dcterms:created>
  <dc:creator>yu</dc:creator>
  <cp:lastModifiedBy>mark</cp:lastModifiedBy>
  <dcterms:modified xsi:type="dcterms:W3CDTF">2022-08-02T14:53:01Z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