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D86D" w14:textId="77777777" w:rsidR="004226B2" w:rsidRPr="004226B2" w:rsidRDefault="004226B2" w:rsidP="00034667">
      <w:pPr>
        <w:spacing w:after="0" w:line="240" w:lineRule="auto"/>
        <w:contextualSpacing/>
        <w:rPr>
          <w:rFonts w:cs="Georgia"/>
          <w:color w:val="000000" w:themeColor="text1"/>
          <w:sz w:val="22"/>
          <w:szCs w:val="22"/>
          <w:lang w:eastAsia="ko-KR"/>
        </w:rPr>
      </w:pPr>
    </w:p>
    <w:p w14:paraId="70C42579" w14:textId="4435BD2D" w:rsidR="00C53993" w:rsidRDefault="007671B1" w:rsidP="00034667">
      <w:pPr>
        <w:spacing w:after="0" w:line="240" w:lineRule="auto"/>
        <w:contextualSpacing/>
        <w:jc w:val="center"/>
        <w:rPr>
          <w:rFonts w:ascii="Georgia" w:eastAsia="宋体" w:hAnsi="Georgia" w:cs="Georgia"/>
          <w:b/>
          <w:bCs/>
          <w:sz w:val="22"/>
          <w:szCs w:val="22"/>
          <w:lang w:eastAsia="zh-CN"/>
        </w:rPr>
      </w:pPr>
      <w:r w:rsidRPr="007671B1">
        <w:rPr>
          <w:rFonts w:ascii="Georgia" w:eastAsia="Georgia" w:hAnsi="Georgia" w:cs="Georgia"/>
          <w:b/>
          <w:bCs/>
          <w:sz w:val="22"/>
          <w:szCs w:val="22"/>
        </w:rPr>
        <w:t>Identifying Physical Activity Intensity Windows Associated with Joint Space Width Using Accelerometer Data</w:t>
      </w:r>
    </w:p>
    <w:p w14:paraId="14E2458D" w14:textId="77777777" w:rsidR="00F935E7" w:rsidRPr="00F935E7" w:rsidRDefault="00F935E7" w:rsidP="00F935E7">
      <w:pPr>
        <w:spacing w:after="0" w:line="240" w:lineRule="auto"/>
        <w:contextualSpacing/>
        <w:rPr>
          <w:rFonts w:eastAsia="宋体" w:hint="eastAsia"/>
          <w:lang w:eastAsia="zh-CN"/>
        </w:rPr>
      </w:pPr>
    </w:p>
    <w:p w14:paraId="2826FB61" w14:textId="02614B84" w:rsidR="00C53993" w:rsidRPr="007671B1" w:rsidRDefault="007671B1" w:rsidP="00034667">
      <w:pPr>
        <w:spacing w:after="0" w:line="240" w:lineRule="auto"/>
        <w:contextualSpacing/>
        <w:jc w:val="center"/>
        <w:rPr>
          <w:rFonts w:eastAsia="宋体" w:hint="eastAsia"/>
          <w:lang w:eastAsia="zh-CN"/>
        </w:rPr>
      </w:pPr>
      <w:r w:rsidRPr="007671B1">
        <w:rPr>
          <w:rFonts w:ascii="Georgia" w:eastAsia="Georgia" w:hAnsi="Georgia" w:cs="Georgia" w:hint="eastAsia"/>
          <w:sz w:val="22"/>
          <w:szCs w:val="22"/>
        </w:rPr>
        <w:t>Xiankai Yang</w:t>
      </w:r>
      <w:r>
        <w:rPr>
          <w:rFonts w:ascii="Georgia" w:eastAsia="宋体" w:hAnsi="Georgia" w:cs="Georgia" w:hint="eastAsia"/>
          <w:sz w:val="22"/>
          <w:szCs w:val="22"/>
          <w:vertAlign w:val="superscript"/>
          <w:lang w:eastAsia="zh-CN"/>
        </w:rPr>
        <w:t>1</w:t>
      </w:r>
      <w:r w:rsidR="1715C085" w:rsidRPr="17D82742">
        <w:rPr>
          <w:rFonts w:ascii="Georgia" w:eastAsia="Georgia" w:hAnsi="Georgia" w:cs="Georgia"/>
          <w:sz w:val="22"/>
          <w:szCs w:val="22"/>
        </w:rPr>
        <w:t>, Osvaldo Espin-Garcia</w:t>
      </w:r>
      <w:r>
        <w:rPr>
          <w:rFonts w:ascii="Georgia" w:eastAsia="宋体" w:hAnsi="Georgia" w:cs="Georgia" w:hint="eastAsia"/>
          <w:sz w:val="22"/>
          <w:szCs w:val="22"/>
          <w:vertAlign w:val="superscript"/>
          <w:lang w:eastAsia="zh-CN"/>
        </w:rPr>
        <w:t>2</w:t>
      </w:r>
    </w:p>
    <w:p w14:paraId="447F018B" w14:textId="3F08FFB8" w:rsidR="00C53993" w:rsidRDefault="1715C085" w:rsidP="00034667">
      <w:pPr>
        <w:spacing w:after="0" w:line="240" w:lineRule="auto"/>
        <w:contextualSpacing/>
        <w:jc w:val="center"/>
      </w:pPr>
      <w:r w:rsidRPr="01870FC7">
        <w:rPr>
          <w:rFonts w:ascii="Georgia" w:eastAsia="Georgia" w:hAnsi="Georgia" w:cs="Georgia"/>
          <w:sz w:val="22"/>
          <w:szCs w:val="22"/>
          <w:vertAlign w:val="superscript"/>
        </w:rPr>
        <w:t>1</w:t>
      </w:r>
      <w:r w:rsidRPr="01870FC7">
        <w:rPr>
          <w:rFonts w:ascii="Georgia" w:eastAsia="Georgia" w:hAnsi="Georgia" w:cs="Georgia"/>
          <w:sz w:val="22"/>
          <w:szCs w:val="22"/>
        </w:rPr>
        <w:t>Dalla Lana School of Public Health, Biostatistics Division, University of Toronto, Toronto, Canada.</w:t>
      </w:r>
    </w:p>
    <w:p w14:paraId="44555C5E" w14:textId="1C129686" w:rsidR="00C53993" w:rsidRDefault="007671B1" w:rsidP="00034667">
      <w:pPr>
        <w:spacing w:after="0" w:line="240" w:lineRule="auto"/>
        <w:contextualSpacing/>
        <w:jc w:val="center"/>
      </w:pPr>
      <w:r>
        <w:rPr>
          <w:rFonts w:ascii="Georgia" w:eastAsia="宋体" w:hAnsi="Georgia" w:cs="Georgia" w:hint="eastAsia"/>
          <w:sz w:val="22"/>
          <w:szCs w:val="22"/>
          <w:vertAlign w:val="superscript"/>
          <w:lang w:eastAsia="zh-CN"/>
        </w:rPr>
        <w:t>2</w:t>
      </w:r>
      <w:r w:rsidR="1715C085" w:rsidRPr="01870FC7">
        <w:rPr>
          <w:rFonts w:ascii="Georgia" w:eastAsia="Georgia" w:hAnsi="Georgia" w:cs="Georgia"/>
          <w:sz w:val="22"/>
          <w:szCs w:val="22"/>
        </w:rPr>
        <w:t>Department of Epidemiology and Biostatistics, Western University, London, Canada.</w:t>
      </w:r>
    </w:p>
    <w:p w14:paraId="7501A81D" w14:textId="09316E9A" w:rsidR="00F935E7" w:rsidRPr="00F935E7" w:rsidRDefault="1715C085" w:rsidP="00F935E7">
      <w:pPr>
        <w:spacing w:after="0" w:line="240" w:lineRule="auto"/>
        <w:contextualSpacing/>
        <w:jc w:val="center"/>
        <w:rPr>
          <w:rStyle w:val="ad"/>
          <w:rFonts w:eastAsia="宋体"/>
          <w:color w:val="auto"/>
          <w:u w:val="none"/>
          <w:lang w:eastAsia="zh-CN"/>
        </w:rPr>
      </w:pPr>
      <w:r w:rsidRPr="01870FC7">
        <w:rPr>
          <w:rFonts w:ascii="Georgia" w:eastAsia="Georgia" w:hAnsi="Georgia" w:cs="Georgia"/>
          <w:sz w:val="22"/>
          <w:szCs w:val="22"/>
        </w:rPr>
        <w:t xml:space="preserve">E-mail: </w:t>
      </w:r>
      <w:r w:rsidR="00F935E7" w:rsidRPr="00F935E7">
        <w:rPr>
          <w:rStyle w:val="ad"/>
          <w:rFonts w:ascii="Georgia" w:eastAsia="Georgia" w:hAnsi="Georgia" w:cs="Georgia"/>
          <w:color w:val="0000FF"/>
          <w:sz w:val="22"/>
          <w:szCs w:val="22"/>
        </w:rPr>
        <w:t>xiankai.yang@mail.utoronto.ca</w:t>
      </w:r>
    </w:p>
    <w:p w14:paraId="78B0AA8A" w14:textId="351E028C" w:rsidR="00C53993" w:rsidRDefault="1715C085" w:rsidP="00034667">
      <w:pPr>
        <w:spacing w:after="0" w:line="240" w:lineRule="auto"/>
        <w:contextualSpacing/>
        <w:jc w:val="both"/>
      </w:pPr>
      <w:r w:rsidRPr="01870FC7">
        <w:rPr>
          <w:rFonts w:ascii="Georgia" w:eastAsia="Georgia" w:hAnsi="Georgia" w:cs="Georgia"/>
          <w:sz w:val="22"/>
          <w:szCs w:val="22"/>
        </w:rPr>
        <w:t xml:space="preserve"> </w:t>
      </w:r>
    </w:p>
    <w:p w14:paraId="263C014A" w14:textId="75344897" w:rsidR="00134D00" w:rsidRPr="00F935E7" w:rsidRDefault="1BC9D705" w:rsidP="00F935E7">
      <w:pPr>
        <w:spacing w:after="0" w:line="240" w:lineRule="auto"/>
        <w:contextualSpacing/>
        <w:jc w:val="both"/>
        <w:rPr>
          <w:rFonts w:ascii="Georgia" w:eastAsia="宋体" w:hAnsi="Georgia" w:cs="Georgia" w:hint="eastAsia"/>
          <w:sz w:val="22"/>
          <w:szCs w:val="22"/>
          <w:lang w:eastAsia="zh-CN"/>
        </w:rPr>
      </w:pPr>
      <w:r w:rsidRPr="17D82742">
        <w:rPr>
          <w:rFonts w:ascii="Georgia" w:eastAsia="Georgia" w:hAnsi="Georgia" w:cs="Georgia"/>
          <w:i/>
          <w:iCs/>
          <w:color w:val="FF0000"/>
          <w:sz w:val="22"/>
          <w:szCs w:val="22"/>
        </w:rPr>
        <w:t>Backgrou</w:t>
      </w:r>
      <w:r w:rsidRPr="00364AE2">
        <w:rPr>
          <w:rFonts w:ascii="Georgia" w:eastAsia="Georgia" w:hAnsi="Georgia" w:cs="Georgia"/>
          <w:i/>
          <w:iCs/>
          <w:color w:val="FF0000"/>
          <w:sz w:val="22"/>
          <w:szCs w:val="22"/>
        </w:rPr>
        <w:t>nd</w:t>
      </w:r>
      <w:r w:rsidR="1715C085" w:rsidRPr="00364AE2">
        <w:rPr>
          <w:rFonts w:ascii="Georgia" w:eastAsia="Georgia" w:hAnsi="Georgia" w:cs="Georgia"/>
          <w:i/>
          <w:iCs/>
          <w:color w:val="FF0000"/>
          <w:sz w:val="22"/>
          <w:szCs w:val="22"/>
        </w:rPr>
        <w:t>:</w:t>
      </w:r>
      <w:r w:rsidR="1715C085" w:rsidRPr="17D82742">
        <w:rPr>
          <w:rFonts w:ascii="Georgia" w:eastAsia="Georgia" w:hAnsi="Georgia" w:cs="Georgia"/>
          <w:color w:val="FF0000"/>
          <w:sz w:val="22"/>
          <w:szCs w:val="22"/>
        </w:rPr>
        <w:t xml:space="preserve"> </w:t>
      </w:r>
      <w:r w:rsidR="007F1B6B" w:rsidRPr="007F1B6B">
        <w:rPr>
          <w:rFonts w:ascii="Georgia" w:eastAsia="Georgia" w:hAnsi="Georgia" w:cs="Georgia"/>
          <w:sz w:val="22"/>
          <w:szCs w:val="22"/>
        </w:rPr>
        <w:t xml:space="preserve">Osteoarthritis is a chronic joint disease characterized by structural degeneration, which is commonly assessed by joint space width (JSW). While physical activity is believed to influence joint health, the specific intensity ranges most relevant to structural outcomes remain unclear. Accelerometer data provides detailed activity measurements but requires appropriate analytical methods to extract meaningful patterns. </w:t>
      </w:r>
      <w:r w:rsidR="1715C085" w:rsidRPr="17D82742">
        <w:rPr>
          <w:rFonts w:ascii="Georgia" w:eastAsia="Georgia" w:hAnsi="Georgia" w:cs="Georgia"/>
          <w:sz w:val="22"/>
          <w:szCs w:val="22"/>
        </w:rPr>
        <w:t xml:space="preserve"> </w:t>
      </w:r>
      <w:r w:rsidR="03499A2F" w:rsidRPr="00364AE2">
        <w:rPr>
          <w:rFonts w:ascii="Georgia" w:eastAsia="Georgia" w:hAnsi="Georgia" w:cs="Georgia"/>
          <w:i/>
          <w:iCs/>
          <w:color w:val="FF0000"/>
          <w:sz w:val="22"/>
          <w:szCs w:val="22"/>
        </w:rPr>
        <w:t>Objectives:</w:t>
      </w:r>
      <w:r w:rsidR="03499A2F" w:rsidRPr="17D82742">
        <w:rPr>
          <w:rFonts w:ascii="Georgia" w:eastAsia="Georgia" w:hAnsi="Georgia" w:cs="Georgia"/>
          <w:color w:val="FF0000"/>
          <w:sz w:val="22"/>
          <w:szCs w:val="22"/>
        </w:rPr>
        <w:t xml:space="preserve"> </w:t>
      </w:r>
      <w:r w:rsidR="007F1B6B" w:rsidRPr="007F1B6B">
        <w:rPr>
          <w:rFonts w:ascii="Georgia" w:eastAsia="Georgia" w:hAnsi="Georgia" w:cs="Georgia"/>
          <w:sz w:val="22"/>
          <w:szCs w:val="22"/>
        </w:rPr>
        <w:t>This study aims to identify critical windows of physical activity intensity associated with joint space width using a data-driven functional modelling approach.</w:t>
      </w:r>
      <w:r w:rsidR="007671B1" w:rsidRPr="00364AE2">
        <w:rPr>
          <w:rFonts w:ascii="Georgia" w:eastAsia="Georgia" w:hAnsi="Georgia" w:cs="Georgia"/>
          <w:i/>
          <w:iCs/>
          <w:color w:val="FF0000"/>
          <w:sz w:val="22"/>
          <w:szCs w:val="22"/>
        </w:rPr>
        <w:t xml:space="preserve"> Methods</w:t>
      </w:r>
      <w:r w:rsidR="1715C085" w:rsidRPr="00364AE2">
        <w:rPr>
          <w:rFonts w:ascii="Georgia" w:eastAsia="Georgia" w:hAnsi="Georgia" w:cs="Georgia"/>
          <w:i/>
          <w:iCs/>
          <w:color w:val="FF0000"/>
          <w:sz w:val="22"/>
          <w:szCs w:val="22"/>
        </w:rPr>
        <w:t>:</w:t>
      </w:r>
      <w:r w:rsidR="1715C085" w:rsidRPr="00364AE2">
        <w:rPr>
          <w:rFonts w:ascii="Georgia" w:eastAsia="Georgia" w:hAnsi="Georgia" w:cs="Georgia"/>
          <w:color w:val="FF0000"/>
          <w:sz w:val="22"/>
          <w:szCs w:val="22"/>
        </w:rPr>
        <w:t xml:space="preserve"> </w:t>
      </w:r>
      <w:r w:rsidR="007F1B6B" w:rsidRPr="007F1B6B">
        <w:rPr>
          <w:rFonts w:ascii="Georgia" w:eastAsia="Georgia" w:hAnsi="Georgia" w:cs="Georgia"/>
          <w:sz w:val="22"/>
          <w:szCs w:val="22"/>
        </w:rPr>
        <w:t xml:space="preserve">Accelerometer data from the Osteoarthritis Initiative (OAI) will be used to construct Occupation Time Curves (OTCs), which represent the proportion of time spent above varying activity-intensity thresholds. These will be discretized into area under the curve (AUC) features. A scalar-on-function regression framework will be approximated using these features. To address multicollinearity and improve interpretability, a mixed-integer optimization (MIO) approach with L0 </w:t>
      </w:r>
      <w:r w:rsidR="007F1B6B" w:rsidRPr="007F1B6B">
        <w:rPr>
          <w:rFonts w:ascii="Georgia" w:eastAsia="Georgia" w:hAnsi="Georgia" w:cs="Georgia"/>
          <w:sz w:val="22"/>
          <w:szCs w:val="22"/>
        </w:rPr>
        <w:t>regularization</w:t>
      </w:r>
      <w:r w:rsidR="007F1B6B" w:rsidRPr="007F1B6B">
        <w:rPr>
          <w:rFonts w:ascii="Georgia" w:eastAsia="Georgia" w:hAnsi="Georgia" w:cs="Georgia"/>
          <w:sz w:val="22"/>
          <w:szCs w:val="22"/>
        </w:rPr>
        <w:t xml:space="preserve"> will be used to identify contiguous intensity intervals. Model selection will be guided by the Bayesian Information Criterion (BIC).</w:t>
      </w:r>
      <w:r w:rsidR="007671B1">
        <w:rPr>
          <w:rFonts w:ascii="Georgia" w:eastAsia="宋体" w:hAnsi="Georgia" w:cs="Georgia" w:hint="eastAsia"/>
          <w:sz w:val="22"/>
          <w:szCs w:val="22"/>
          <w:lang w:eastAsia="zh-CN"/>
        </w:rPr>
        <w:t xml:space="preserve"> </w:t>
      </w:r>
      <w:r w:rsidR="1715C085" w:rsidRPr="17D82742">
        <w:rPr>
          <w:rFonts w:ascii="Georgia" w:eastAsia="Georgia" w:hAnsi="Georgia" w:cs="Georgia"/>
          <w:i/>
          <w:iCs/>
          <w:color w:val="FF0000"/>
          <w:sz w:val="22"/>
          <w:szCs w:val="22"/>
        </w:rPr>
        <w:t>Resul</w:t>
      </w:r>
      <w:r w:rsidR="1715C085" w:rsidRPr="00364AE2">
        <w:rPr>
          <w:rFonts w:ascii="Georgia" w:eastAsia="Georgia" w:hAnsi="Georgia" w:cs="Georgia"/>
          <w:i/>
          <w:iCs/>
          <w:color w:val="FF0000"/>
          <w:sz w:val="22"/>
          <w:szCs w:val="22"/>
        </w:rPr>
        <w:t>ts:</w:t>
      </w:r>
      <w:r w:rsidR="1715C085" w:rsidRPr="00364AE2">
        <w:rPr>
          <w:rFonts w:ascii="Georgia" w:eastAsia="Georgia" w:hAnsi="Georgia" w:cs="Georgia"/>
          <w:color w:val="FF0000"/>
          <w:sz w:val="22"/>
          <w:szCs w:val="22"/>
        </w:rPr>
        <w:t xml:space="preserve"> </w:t>
      </w:r>
      <w:r w:rsidR="007F1B6B" w:rsidRPr="007F1B6B">
        <w:rPr>
          <w:rFonts w:ascii="Georgia" w:eastAsia="Georgia" w:hAnsi="Georgia" w:cs="Georgia"/>
          <w:sz w:val="22"/>
          <w:szCs w:val="22"/>
        </w:rPr>
        <w:t>The analysis will estimate the relationship between activity intensity and joint space width and is expected to identify a small number of interpretable intensity intervals. Sensitivity analyses will assess the stability of estimated cutpoints.</w:t>
      </w:r>
      <w:r w:rsidR="1715C085" w:rsidRPr="17D82742">
        <w:rPr>
          <w:rFonts w:ascii="Georgia" w:eastAsia="Georgia" w:hAnsi="Georgia" w:cs="Georgia"/>
          <w:sz w:val="22"/>
          <w:szCs w:val="22"/>
        </w:rPr>
        <w:t xml:space="preserve"> </w:t>
      </w:r>
      <w:r w:rsidR="1715C085" w:rsidRPr="00364AE2">
        <w:rPr>
          <w:rFonts w:ascii="Georgia" w:eastAsia="Georgia" w:hAnsi="Georgia" w:cs="Georgia"/>
          <w:i/>
          <w:iCs/>
          <w:color w:val="FF0000"/>
          <w:sz w:val="22"/>
          <w:szCs w:val="22"/>
        </w:rPr>
        <w:t>Conclusion</w:t>
      </w:r>
      <w:r w:rsidR="78E035FA" w:rsidRPr="00364AE2">
        <w:rPr>
          <w:rFonts w:ascii="Georgia" w:eastAsia="Georgia" w:hAnsi="Georgia" w:cs="Georgia"/>
          <w:i/>
          <w:iCs/>
          <w:color w:val="FF0000"/>
          <w:sz w:val="22"/>
          <w:szCs w:val="22"/>
        </w:rPr>
        <w:t>s</w:t>
      </w:r>
      <w:r w:rsidR="1715C085" w:rsidRPr="00364AE2">
        <w:rPr>
          <w:rFonts w:ascii="Georgia" w:eastAsia="Georgia" w:hAnsi="Georgia" w:cs="Georgia"/>
          <w:i/>
          <w:iCs/>
          <w:color w:val="FF0000"/>
          <w:sz w:val="22"/>
          <w:szCs w:val="22"/>
        </w:rPr>
        <w:t>:</w:t>
      </w:r>
      <w:r w:rsidR="1715C085" w:rsidRPr="00364AE2">
        <w:rPr>
          <w:rFonts w:ascii="Georgia" w:eastAsia="Georgia" w:hAnsi="Georgia" w:cs="Georgia"/>
          <w:color w:val="FF0000"/>
          <w:sz w:val="22"/>
          <w:szCs w:val="22"/>
        </w:rPr>
        <w:t xml:space="preserve"> </w:t>
      </w:r>
      <w:r w:rsidR="007F1B6B" w:rsidRPr="007F1B6B">
        <w:rPr>
          <w:rFonts w:ascii="Georgia" w:eastAsia="Georgia" w:hAnsi="Georgia" w:cs="Georgia"/>
          <w:sz w:val="22"/>
          <w:szCs w:val="22"/>
        </w:rPr>
        <w:t>This study is expected to provide a data-driven framework linking accelerometer-derived activity patterns to structural outcomes in osteoarthritis. Identifying meaningful intensity windows may improve understanding of how activity relates to joint health and inform future research.</w:t>
      </w:r>
    </w:p>
    <w:sectPr w:rsidR="00134D00" w:rsidRPr="00F935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C1E2C" w14:textId="77777777" w:rsidR="00FA0FCE" w:rsidRDefault="00FA0FCE" w:rsidP="004226B2">
      <w:pPr>
        <w:spacing w:after="0" w:line="240" w:lineRule="auto"/>
      </w:pPr>
      <w:r>
        <w:separator/>
      </w:r>
    </w:p>
  </w:endnote>
  <w:endnote w:type="continuationSeparator" w:id="0">
    <w:p w14:paraId="6A910838" w14:textId="77777777" w:rsidR="00FA0FCE" w:rsidRDefault="00FA0FCE" w:rsidP="0042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5816" w14:textId="77777777" w:rsidR="00FA0FCE" w:rsidRDefault="00FA0FCE" w:rsidP="004226B2">
      <w:pPr>
        <w:spacing w:after="0" w:line="240" w:lineRule="auto"/>
      </w:pPr>
      <w:r>
        <w:separator/>
      </w:r>
    </w:p>
  </w:footnote>
  <w:footnote w:type="continuationSeparator" w:id="0">
    <w:p w14:paraId="57628BAB" w14:textId="77777777" w:rsidR="00FA0FCE" w:rsidRDefault="00FA0FCE" w:rsidP="004226B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Dji+abMBs/wxDx" int2:id="9kb9OdD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3ECA"/>
    <w:multiLevelType w:val="hybridMultilevel"/>
    <w:tmpl w:val="E948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D2FDF"/>
    <w:multiLevelType w:val="hybridMultilevel"/>
    <w:tmpl w:val="A4EA31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83689"/>
    <w:multiLevelType w:val="hybridMultilevel"/>
    <w:tmpl w:val="0F768064"/>
    <w:lvl w:ilvl="0" w:tplc="C83C28FE">
      <w:numFmt w:val="bullet"/>
      <w:lvlText w:val="-"/>
      <w:lvlJc w:val="left"/>
      <w:pPr>
        <w:ind w:left="720" w:hanging="360"/>
      </w:pPr>
      <w:rPr>
        <w:rFonts w:ascii="Aptos" w:eastAsia="Georgia"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E18ED"/>
    <w:multiLevelType w:val="hybridMultilevel"/>
    <w:tmpl w:val="EA264E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7A3CA4"/>
    <w:multiLevelType w:val="hybridMultilevel"/>
    <w:tmpl w:val="26445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6634EF5"/>
    <w:multiLevelType w:val="hybridMultilevel"/>
    <w:tmpl w:val="DC6C97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2820C7"/>
    <w:multiLevelType w:val="hybridMultilevel"/>
    <w:tmpl w:val="1896B8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51A728"/>
    <w:multiLevelType w:val="hybridMultilevel"/>
    <w:tmpl w:val="D22C9CE4"/>
    <w:lvl w:ilvl="0" w:tplc="5E74E17E">
      <w:start w:val="1"/>
      <w:numFmt w:val="bullet"/>
      <w:lvlText w:val=""/>
      <w:lvlJc w:val="left"/>
      <w:pPr>
        <w:ind w:left="720" w:hanging="360"/>
      </w:pPr>
      <w:rPr>
        <w:rFonts w:ascii="Symbol" w:hAnsi="Symbol" w:hint="default"/>
      </w:rPr>
    </w:lvl>
    <w:lvl w:ilvl="1" w:tplc="2618D40A">
      <w:start w:val="1"/>
      <w:numFmt w:val="bullet"/>
      <w:lvlText w:val="o"/>
      <w:lvlJc w:val="left"/>
      <w:pPr>
        <w:ind w:left="1440" w:hanging="360"/>
      </w:pPr>
      <w:rPr>
        <w:rFonts w:ascii="Courier New" w:hAnsi="Courier New" w:hint="default"/>
      </w:rPr>
    </w:lvl>
    <w:lvl w:ilvl="2" w:tplc="3A2044CE">
      <w:start w:val="1"/>
      <w:numFmt w:val="bullet"/>
      <w:lvlText w:val=""/>
      <w:lvlJc w:val="left"/>
      <w:pPr>
        <w:ind w:left="2160" w:hanging="360"/>
      </w:pPr>
      <w:rPr>
        <w:rFonts w:ascii="Wingdings" w:hAnsi="Wingdings" w:hint="default"/>
      </w:rPr>
    </w:lvl>
    <w:lvl w:ilvl="3" w:tplc="E5D6D982">
      <w:start w:val="1"/>
      <w:numFmt w:val="bullet"/>
      <w:lvlText w:val=""/>
      <w:lvlJc w:val="left"/>
      <w:pPr>
        <w:ind w:left="2880" w:hanging="360"/>
      </w:pPr>
      <w:rPr>
        <w:rFonts w:ascii="Symbol" w:hAnsi="Symbol" w:hint="default"/>
      </w:rPr>
    </w:lvl>
    <w:lvl w:ilvl="4" w:tplc="0194021E">
      <w:start w:val="1"/>
      <w:numFmt w:val="bullet"/>
      <w:lvlText w:val="o"/>
      <w:lvlJc w:val="left"/>
      <w:pPr>
        <w:ind w:left="3600" w:hanging="360"/>
      </w:pPr>
      <w:rPr>
        <w:rFonts w:ascii="Courier New" w:hAnsi="Courier New" w:hint="default"/>
      </w:rPr>
    </w:lvl>
    <w:lvl w:ilvl="5" w:tplc="7626FAC4">
      <w:start w:val="1"/>
      <w:numFmt w:val="bullet"/>
      <w:lvlText w:val=""/>
      <w:lvlJc w:val="left"/>
      <w:pPr>
        <w:ind w:left="4320" w:hanging="360"/>
      </w:pPr>
      <w:rPr>
        <w:rFonts w:ascii="Wingdings" w:hAnsi="Wingdings" w:hint="default"/>
      </w:rPr>
    </w:lvl>
    <w:lvl w:ilvl="6" w:tplc="DED07F8E">
      <w:start w:val="1"/>
      <w:numFmt w:val="bullet"/>
      <w:lvlText w:val=""/>
      <w:lvlJc w:val="left"/>
      <w:pPr>
        <w:ind w:left="5040" w:hanging="360"/>
      </w:pPr>
      <w:rPr>
        <w:rFonts w:ascii="Symbol" w:hAnsi="Symbol" w:hint="default"/>
      </w:rPr>
    </w:lvl>
    <w:lvl w:ilvl="7" w:tplc="09765A74">
      <w:start w:val="1"/>
      <w:numFmt w:val="bullet"/>
      <w:lvlText w:val="o"/>
      <w:lvlJc w:val="left"/>
      <w:pPr>
        <w:ind w:left="5760" w:hanging="360"/>
      </w:pPr>
      <w:rPr>
        <w:rFonts w:ascii="Courier New" w:hAnsi="Courier New" w:hint="default"/>
      </w:rPr>
    </w:lvl>
    <w:lvl w:ilvl="8" w:tplc="A63619B0">
      <w:start w:val="1"/>
      <w:numFmt w:val="bullet"/>
      <w:lvlText w:val=""/>
      <w:lvlJc w:val="left"/>
      <w:pPr>
        <w:ind w:left="6480" w:hanging="360"/>
      </w:pPr>
      <w:rPr>
        <w:rFonts w:ascii="Wingdings" w:hAnsi="Wingdings" w:hint="default"/>
      </w:rPr>
    </w:lvl>
  </w:abstractNum>
  <w:abstractNum w:abstractNumId="8" w15:restartNumberingAfterBreak="0">
    <w:nsid w:val="72697FFE"/>
    <w:multiLevelType w:val="hybridMultilevel"/>
    <w:tmpl w:val="192E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272216">
    <w:abstractNumId w:val="7"/>
  </w:num>
  <w:num w:numId="2" w16cid:durableId="617957549">
    <w:abstractNumId w:val="1"/>
  </w:num>
  <w:num w:numId="3" w16cid:durableId="2012904775">
    <w:abstractNumId w:val="5"/>
  </w:num>
  <w:num w:numId="4" w16cid:durableId="86855613">
    <w:abstractNumId w:val="4"/>
  </w:num>
  <w:num w:numId="5" w16cid:durableId="5257552">
    <w:abstractNumId w:val="6"/>
  </w:num>
  <w:num w:numId="6" w16cid:durableId="1704359516">
    <w:abstractNumId w:val="8"/>
  </w:num>
  <w:num w:numId="7" w16cid:durableId="873272777">
    <w:abstractNumId w:val="2"/>
  </w:num>
  <w:num w:numId="8" w16cid:durableId="770930178">
    <w:abstractNumId w:val="0"/>
  </w:num>
  <w:num w:numId="9" w16cid:durableId="73011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D81F7B"/>
    <w:rsid w:val="00007AA0"/>
    <w:rsid w:val="00010A53"/>
    <w:rsid w:val="00034667"/>
    <w:rsid w:val="0008468D"/>
    <w:rsid w:val="00094AF0"/>
    <w:rsid w:val="000D1174"/>
    <w:rsid w:val="000D7201"/>
    <w:rsid w:val="00107A79"/>
    <w:rsid w:val="0012767D"/>
    <w:rsid w:val="00127F28"/>
    <w:rsid w:val="00132DD9"/>
    <w:rsid w:val="00134D00"/>
    <w:rsid w:val="001C18A6"/>
    <w:rsid w:val="001C39D5"/>
    <w:rsid w:val="00201AC3"/>
    <w:rsid w:val="002070C0"/>
    <w:rsid w:val="0028162B"/>
    <w:rsid w:val="002E0650"/>
    <w:rsid w:val="002E67E1"/>
    <w:rsid w:val="002F286B"/>
    <w:rsid w:val="003431FB"/>
    <w:rsid w:val="00357363"/>
    <w:rsid w:val="00364AE2"/>
    <w:rsid w:val="003743F1"/>
    <w:rsid w:val="003753AC"/>
    <w:rsid w:val="00397325"/>
    <w:rsid w:val="003E46C9"/>
    <w:rsid w:val="00402927"/>
    <w:rsid w:val="004226B2"/>
    <w:rsid w:val="00447CE0"/>
    <w:rsid w:val="004769F7"/>
    <w:rsid w:val="0049555A"/>
    <w:rsid w:val="004A5045"/>
    <w:rsid w:val="004C6BBA"/>
    <w:rsid w:val="004D04E2"/>
    <w:rsid w:val="004D0835"/>
    <w:rsid w:val="004D0959"/>
    <w:rsid w:val="00515049"/>
    <w:rsid w:val="00532BEA"/>
    <w:rsid w:val="00555793"/>
    <w:rsid w:val="0059568D"/>
    <w:rsid w:val="0060392B"/>
    <w:rsid w:val="00616925"/>
    <w:rsid w:val="006261E9"/>
    <w:rsid w:val="0066039D"/>
    <w:rsid w:val="006705C0"/>
    <w:rsid w:val="00674293"/>
    <w:rsid w:val="006D2E20"/>
    <w:rsid w:val="006E32B9"/>
    <w:rsid w:val="006F2B0B"/>
    <w:rsid w:val="0075455A"/>
    <w:rsid w:val="007671B1"/>
    <w:rsid w:val="00780EB1"/>
    <w:rsid w:val="00782058"/>
    <w:rsid w:val="007A1DDB"/>
    <w:rsid w:val="007B0D71"/>
    <w:rsid w:val="007F1B6B"/>
    <w:rsid w:val="007F510D"/>
    <w:rsid w:val="008125D6"/>
    <w:rsid w:val="0082601D"/>
    <w:rsid w:val="008524BA"/>
    <w:rsid w:val="00867569"/>
    <w:rsid w:val="008A2EA0"/>
    <w:rsid w:val="008E4A5F"/>
    <w:rsid w:val="00900245"/>
    <w:rsid w:val="009450CC"/>
    <w:rsid w:val="00947203"/>
    <w:rsid w:val="00970DD5"/>
    <w:rsid w:val="009746D4"/>
    <w:rsid w:val="0099306B"/>
    <w:rsid w:val="009A62D6"/>
    <w:rsid w:val="009A6D5D"/>
    <w:rsid w:val="009B4CFD"/>
    <w:rsid w:val="009E58C6"/>
    <w:rsid w:val="009F4EA3"/>
    <w:rsid w:val="00A43D4C"/>
    <w:rsid w:val="00A55526"/>
    <w:rsid w:val="00A619BA"/>
    <w:rsid w:val="00A70D98"/>
    <w:rsid w:val="00A77E75"/>
    <w:rsid w:val="00A83C96"/>
    <w:rsid w:val="00A86334"/>
    <w:rsid w:val="00A921A2"/>
    <w:rsid w:val="00AF3C38"/>
    <w:rsid w:val="00B53B1B"/>
    <w:rsid w:val="00B90C3D"/>
    <w:rsid w:val="00BB3EE7"/>
    <w:rsid w:val="00BC64E7"/>
    <w:rsid w:val="00C53993"/>
    <w:rsid w:val="00C6075B"/>
    <w:rsid w:val="00C63311"/>
    <w:rsid w:val="00C931EE"/>
    <w:rsid w:val="00D028CE"/>
    <w:rsid w:val="00D46616"/>
    <w:rsid w:val="00D8323A"/>
    <w:rsid w:val="00D84BD3"/>
    <w:rsid w:val="00D85520"/>
    <w:rsid w:val="00D9393A"/>
    <w:rsid w:val="00DB0EDE"/>
    <w:rsid w:val="00DC157A"/>
    <w:rsid w:val="00DD1772"/>
    <w:rsid w:val="00E155C8"/>
    <w:rsid w:val="00E35911"/>
    <w:rsid w:val="00E756A5"/>
    <w:rsid w:val="00E818AE"/>
    <w:rsid w:val="00F2C9AC"/>
    <w:rsid w:val="00F47194"/>
    <w:rsid w:val="00F52323"/>
    <w:rsid w:val="00F76B0C"/>
    <w:rsid w:val="00F935E7"/>
    <w:rsid w:val="00F97B9E"/>
    <w:rsid w:val="00FA0FCE"/>
    <w:rsid w:val="00FB0B4D"/>
    <w:rsid w:val="00FB6820"/>
    <w:rsid w:val="00FE4BB5"/>
    <w:rsid w:val="01870FC7"/>
    <w:rsid w:val="02789F74"/>
    <w:rsid w:val="03499A2F"/>
    <w:rsid w:val="04716090"/>
    <w:rsid w:val="05348FCC"/>
    <w:rsid w:val="08F94EFF"/>
    <w:rsid w:val="0DAE71BE"/>
    <w:rsid w:val="116B0566"/>
    <w:rsid w:val="128B7BAC"/>
    <w:rsid w:val="1440952D"/>
    <w:rsid w:val="147BCFC4"/>
    <w:rsid w:val="14911211"/>
    <w:rsid w:val="14998D2C"/>
    <w:rsid w:val="14F3A256"/>
    <w:rsid w:val="154B8744"/>
    <w:rsid w:val="16E757A5"/>
    <w:rsid w:val="1715C085"/>
    <w:rsid w:val="17D82742"/>
    <w:rsid w:val="18832806"/>
    <w:rsid w:val="1895889D"/>
    <w:rsid w:val="1998DDFA"/>
    <w:rsid w:val="19AC95EA"/>
    <w:rsid w:val="1B0ACDD4"/>
    <w:rsid w:val="1BC9D705"/>
    <w:rsid w:val="1D3637B3"/>
    <w:rsid w:val="1FAF70D4"/>
    <w:rsid w:val="249887BD"/>
    <w:rsid w:val="255D5848"/>
    <w:rsid w:val="29FA571E"/>
    <w:rsid w:val="2A554194"/>
    <w:rsid w:val="2C61FCB2"/>
    <w:rsid w:val="2FD3E551"/>
    <w:rsid w:val="30B4A600"/>
    <w:rsid w:val="30D9FB84"/>
    <w:rsid w:val="3226CA7E"/>
    <w:rsid w:val="325624E5"/>
    <w:rsid w:val="331F1578"/>
    <w:rsid w:val="3492A96B"/>
    <w:rsid w:val="362E79CC"/>
    <w:rsid w:val="3652696E"/>
    <w:rsid w:val="37EE39CF"/>
    <w:rsid w:val="3997AFCD"/>
    <w:rsid w:val="39C74826"/>
    <w:rsid w:val="3A3B50C9"/>
    <w:rsid w:val="3A476B09"/>
    <w:rsid w:val="3B25B6EB"/>
    <w:rsid w:val="3C344252"/>
    <w:rsid w:val="3C7D7DC3"/>
    <w:rsid w:val="3EC78749"/>
    <w:rsid w:val="3FC50207"/>
    <w:rsid w:val="4434887F"/>
    <w:rsid w:val="44D81F7B"/>
    <w:rsid w:val="44DFD948"/>
    <w:rsid w:val="4517D734"/>
    <w:rsid w:val="4A1912D7"/>
    <w:rsid w:val="4B8AA970"/>
    <w:rsid w:val="4BB4E338"/>
    <w:rsid w:val="4CC625D9"/>
    <w:rsid w:val="4CF6FC13"/>
    <w:rsid w:val="4E579D01"/>
    <w:rsid w:val="4FB10FBF"/>
    <w:rsid w:val="51623367"/>
    <w:rsid w:val="5403BD1C"/>
    <w:rsid w:val="59F0A36B"/>
    <w:rsid w:val="5D00C322"/>
    <w:rsid w:val="5E993EF7"/>
    <w:rsid w:val="62858FD2"/>
    <w:rsid w:val="62D2AABD"/>
    <w:rsid w:val="6507EEF7"/>
    <w:rsid w:val="65126936"/>
    <w:rsid w:val="65B1463C"/>
    <w:rsid w:val="674271E0"/>
    <w:rsid w:val="678BFFBD"/>
    <w:rsid w:val="6A6A21BB"/>
    <w:rsid w:val="6A7A12A2"/>
    <w:rsid w:val="6AF9DF81"/>
    <w:rsid w:val="6B413D3F"/>
    <w:rsid w:val="6D8FDA90"/>
    <w:rsid w:val="6E14E4CA"/>
    <w:rsid w:val="70D02BC9"/>
    <w:rsid w:val="70E1272F"/>
    <w:rsid w:val="720FC0CE"/>
    <w:rsid w:val="721F6F2C"/>
    <w:rsid w:val="7332F46C"/>
    <w:rsid w:val="766A952E"/>
    <w:rsid w:val="76F5CB43"/>
    <w:rsid w:val="773F6D4D"/>
    <w:rsid w:val="78705DE3"/>
    <w:rsid w:val="78E035FA"/>
    <w:rsid w:val="7ABFE437"/>
    <w:rsid w:val="7F46CC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81F7B"/>
  <w15:chartTrackingRefBased/>
  <w15:docId w15:val="{BE2FF449-D1E6-4B77-9BDC-3E2A7CAAB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character" w:styleId="ad">
    <w:name w:val="Hyperlink"/>
    <w:basedOn w:val="a0"/>
    <w:uiPriority w:val="99"/>
    <w:unhideWhenUsed/>
    <w:rPr>
      <w:color w:val="467886" w:themeColor="hyperlink"/>
      <w:u w:val="single"/>
    </w:rPr>
  </w:style>
  <w:style w:type="paragraph" w:styleId="ae">
    <w:name w:val="List Paragraph"/>
    <w:basedOn w:val="a"/>
    <w:uiPriority w:val="34"/>
    <w:qFormat/>
    <w:pPr>
      <w:ind w:left="720"/>
      <w:contextualSpacing/>
    </w:pPr>
  </w:style>
  <w:style w:type="paragraph" w:styleId="af">
    <w:name w:val="header"/>
    <w:basedOn w:val="a"/>
    <w:link w:val="af0"/>
    <w:uiPriority w:val="99"/>
    <w:unhideWhenUsed/>
    <w:rsid w:val="004226B2"/>
    <w:pPr>
      <w:tabs>
        <w:tab w:val="center" w:pos="4680"/>
        <w:tab w:val="right" w:pos="9360"/>
      </w:tabs>
      <w:spacing w:after="0" w:line="240" w:lineRule="auto"/>
    </w:pPr>
  </w:style>
  <w:style w:type="character" w:customStyle="1" w:styleId="af0">
    <w:name w:val="页眉 字符"/>
    <w:basedOn w:val="a0"/>
    <w:link w:val="af"/>
    <w:uiPriority w:val="99"/>
    <w:rsid w:val="004226B2"/>
  </w:style>
  <w:style w:type="paragraph" w:styleId="af1">
    <w:name w:val="footer"/>
    <w:basedOn w:val="a"/>
    <w:link w:val="af2"/>
    <w:uiPriority w:val="99"/>
    <w:unhideWhenUsed/>
    <w:rsid w:val="004226B2"/>
    <w:pPr>
      <w:tabs>
        <w:tab w:val="center" w:pos="4680"/>
        <w:tab w:val="right" w:pos="9360"/>
      </w:tabs>
      <w:spacing w:after="0" w:line="240" w:lineRule="auto"/>
    </w:pPr>
  </w:style>
  <w:style w:type="character" w:customStyle="1" w:styleId="af2">
    <w:name w:val="页脚 字符"/>
    <w:basedOn w:val="a0"/>
    <w:link w:val="af1"/>
    <w:uiPriority w:val="99"/>
    <w:rsid w:val="004226B2"/>
  </w:style>
  <w:style w:type="character" w:styleId="af3">
    <w:name w:val="Unresolved Mention"/>
    <w:basedOn w:val="a0"/>
    <w:uiPriority w:val="99"/>
    <w:semiHidden/>
    <w:unhideWhenUsed/>
    <w:rsid w:val="00107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6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1846</Characters>
  <Application>Microsoft Office Word</Application>
  <DocSecurity>0</DocSecurity>
  <Lines>38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Rosner</dc:creator>
  <cp:keywords/>
  <dc:description/>
  <cp:lastModifiedBy>Xiankai Yang</cp:lastModifiedBy>
  <cp:revision>2</cp:revision>
  <dcterms:created xsi:type="dcterms:W3CDTF">2026-04-13T12:18:00Z</dcterms:created>
  <dcterms:modified xsi:type="dcterms:W3CDTF">2026-04-13T12:18:00Z</dcterms:modified>
</cp:coreProperties>
</file>