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ERP 进销存管理系统 · 技术文档</w:t>
      </w:r>
    </w:p>
    <w:p>
      <w:pPr>
        <w:spacing w:after="120"/>
        <w:ind w:left="340"/>
      </w:pPr>
      <w:r>
        <w:rPr>
          <w:rFonts w:ascii="微软雅黑" w:hAnsi="微软雅黑" w:eastAsia="微软雅黑"/>
          <w:i/>
          <w:color w:val="595959"/>
          <w:sz w:val="20"/>
        </w:rPr>
        <w:t>项目类型：企业级进销存一体化管理系统（前后端分离）</w:t>
      </w:r>
    </w:p>
    <w:p>
      <w:pPr>
        <w:spacing w:after="120"/>
        <w:ind w:left="340"/>
      </w:pPr>
      <w:r>
        <w:rPr>
          <w:rFonts w:ascii="微软雅黑" w:hAnsi="微软雅黑" w:eastAsia="微软雅黑"/>
          <w:i/>
          <w:color w:val="595959"/>
          <w:sz w:val="20"/>
        </w:rPr>
        <w:t>技术形态：Maven 多模块单体应用 + SPA 前端</w:t>
      </w:r>
    </w:p>
    <w:p>
      <w:pPr>
        <w:spacing w:after="120"/>
        <w:ind w:left="340"/>
      </w:pPr>
      <w:r>
        <w:rPr>
          <w:rFonts w:ascii="微软雅黑" w:hAnsi="微软雅黑" w:eastAsia="微软雅黑"/>
          <w:i/>
          <w:color w:val="595959"/>
          <w:sz w:val="20"/>
        </w:rPr>
        <w:t>文档用途：简历项目说明 / 面试技术陈述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29"/>
        </w:rPr>
        <w:t>一、项目简介</w:t>
      </w:r>
    </w:p>
    <w:p>
      <w:pPr>
        <w:spacing w:line="348" w:lineRule="auto" w:after="120"/>
      </w:pPr>
      <w:r>
        <w:rPr>
          <w:rFonts w:ascii="微软雅黑" w:hAnsi="微软雅黑" w:eastAsia="微软雅黑"/>
          <w:sz w:val="21"/>
        </w:rPr>
        <w:t xml:space="preserve">一套面向中小型商贸 / 制造企业的 </w:t>
      </w:r>
      <w:r>
        <w:rPr>
          <w:rFonts w:ascii="微软雅黑" w:hAnsi="微软雅黑" w:eastAsia="微软雅黑"/>
          <w:b/>
          <w:sz w:val="21"/>
        </w:rPr>
        <w:t>进销存一体化管理系统</w:t>
      </w:r>
      <w:r>
        <w:rPr>
          <w:rFonts w:ascii="微软雅黑" w:hAnsi="微软雅黑" w:eastAsia="微软雅黑"/>
          <w:sz w:val="21"/>
        </w:rPr>
        <w:t>，覆盖「基础数据 → 采购 → 销售 → 零售 → 库存 → 结算 → 报表」全链路业务。</w:t>
      </w:r>
    </w:p>
    <w:p>
      <w:pPr>
        <w:spacing w:line="348" w:lineRule="auto" w:after="120"/>
      </w:pPr>
      <w:r>
        <w:rPr>
          <w:rFonts w:ascii="微软雅黑" w:hAnsi="微软雅黑" w:eastAsia="微软雅黑"/>
          <w:sz w:val="21"/>
        </w:rPr>
        <w:t xml:space="preserve">系统采用 </w:t>
      </w:r>
      <w:r>
        <w:rPr>
          <w:rFonts w:ascii="微软雅黑" w:hAnsi="微软雅黑" w:eastAsia="微软雅黑"/>
          <w:b/>
          <w:sz w:val="21"/>
        </w:rPr>
        <w:t>前后端分离</w:t>
      </w:r>
      <w:r>
        <w:rPr>
          <w:rFonts w:ascii="微软雅黑" w:hAnsi="微软雅黑" w:eastAsia="微软雅黑"/>
          <w:sz w:val="21"/>
        </w:rPr>
        <w:t xml:space="preserve"> 架构：后端提供 RESTful 接口并统一鉴权与响应规范，前端为独立 SPA。核心业务围绕</w:t>
      </w:r>
      <w:r>
        <w:rPr>
          <w:rFonts w:ascii="微软雅黑" w:hAnsi="微软雅黑" w:eastAsia="微软雅黑"/>
          <w:b/>
          <w:sz w:val="21"/>
        </w:rPr>
        <w:t>单据流</w:t>
      </w:r>
      <w:r>
        <w:rPr>
          <w:rFonts w:ascii="微软雅黑" w:hAnsi="微软雅黑" w:eastAsia="微软雅黑"/>
          <w:sz w:val="21"/>
        </w:rPr>
        <w:t>运转——采购订单收货入库、销售订单发货出库、零售收银出货、库存调拨与盘点，每一类单据都有独立的主表 / 明细表，通过统一编号规则、库存变动入口与状态机串联。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核心业务模块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759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主要功能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系统管理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用户、角色、部门、菜单、字典、操作日志、登录日志</w:t>
            </w:r>
          </w:p>
        </w:tc>
      </w:tr>
      <w:tr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基础数据</w:t>
            </w:r>
          </w:p>
        </w:tc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仓库、供应商、客户、品牌、物料分类、计量单位、商品 SKU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采购管理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采购订单、采购收货、采购退货</w:t>
            </w:r>
          </w:p>
        </w:tc>
      </w:tr>
      <w:tr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销售管理</w:t>
            </w:r>
          </w:p>
        </w:tc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销售订单、销售出库、销售退货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零售管理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零售配置、零售出库、零售退货</w:t>
            </w:r>
          </w:p>
        </w:tc>
      </w:tr>
      <w:tr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库存管理</w:t>
            </w:r>
          </w:p>
        </w:tc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库存查询、库存流水、库存调整、库存盘点、库存调拨、库存预警、成本调整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结算管理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收支项目 + 供应商/客户 往来对账（各四单）</w:t>
            </w:r>
          </w:p>
        </w:tc>
      </w:tr>
      <w:tr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报表统计</w:t>
            </w:r>
          </w:p>
        </w:tc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数据看板、采购统计、销售统计、库存报表、进销存汇总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商品中心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SPU 商品、销售属性（颜色/尺码）、SKU 矩阵生成、一品多码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29"/>
        </w:rPr>
        <w:t>二、技术栈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后端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173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173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Java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21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主体语言</w:t>
            </w:r>
          </w:p>
        </w:tc>
      </w:tr>
      <w:tr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Spring Boot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3.5.0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应用框架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MyBatis-Plus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3.5.7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ORM、单分页插件、自动填充</w:t>
            </w:r>
          </w:p>
        </w:tc>
      </w:tr>
      <w:tr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Sa-Token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1.46.0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登录认证 + RBAC 权限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Redis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5.x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Sa-Token 会话存储 + 权限缓存</w:t>
            </w:r>
          </w:p>
        </w:tc>
      </w:tr>
      <w:tr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MySQL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8.0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关系型数据库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EasyExcel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3.3.4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批量导入导出</w:t>
            </w:r>
          </w:p>
        </w:tc>
      </w:tr>
      <w:tr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Knife4j (OpenAPI3)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4.5.0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接口文档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Hutool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5.8.30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工具库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前端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173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173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React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19.2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UI 框架</w:t>
            </w:r>
          </w:p>
        </w:tc>
      </w:tr>
      <w:tr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TypeScript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5.9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类型约束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Vite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7.2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构建工具</w:t>
            </w:r>
          </w:p>
        </w:tc>
      </w:tr>
      <w:tr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Ant Design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5.29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组件库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Ant Design Pro Components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2.8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ProTable / ProForm 高级表格与表单</w:t>
            </w:r>
          </w:p>
        </w:tc>
      </w:tr>
      <w:tr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Zustand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5.0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全局状态管理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SWR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2.3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数据请求缓存</w:t>
            </w:r>
          </w:p>
        </w:tc>
      </w:tr>
      <w:tr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React Router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7.10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路由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Axios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1.13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HTTP 客户端</w:t>
            </w:r>
          </w:p>
        </w:tc>
      </w:tr>
      <w:tr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ahooks / dayjs / lodash-es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Hooks / 时间 / 工具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29"/>
        </w:rPr>
        <w:t>三、系统架构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1. 后端多模块划分</w:t>
      </w:r>
    </w:p>
    <w:p>
      <w:pPr>
        <w:spacing w:line="348" w:lineRule="auto" w:after="120"/>
      </w:pPr>
      <w:r>
        <w:rPr>
          <w:rFonts w:ascii="微软雅黑" w:hAnsi="微软雅黑" w:eastAsia="微软雅黑"/>
          <w:sz w:val="21"/>
        </w:rPr>
        <w:t xml:space="preserve">采用 </w:t>
      </w:r>
      <w:r>
        <w:rPr>
          <w:rFonts w:ascii="微软雅黑" w:hAnsi="微软雅黑" w:eastAsia="微软雅黑"/>
          <w:b/>
          <w:sz w:val="21"/>
        </w:rPr>
        <w:t>Maven 多模块</w:t>
      </w:r>
      <w:r>
        <w:rPr>
          <w:rFonts w:ascii="微软雅黑" w:hAnsi="微软雅黑" w:eastAsia="微软雅黑"/>
          <w:sz w:val="21"/>
        </w:rPr>
        <w:t xml:space="preserve"> 拆分，按职责而非按技术分层，保证模块间依赖单向、无环：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erp-parent (父 POM，统一版本管理)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├── erp-common      公共能力：统一响应 R、异常体系、全局异常处理、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│                   操作日志切面、编号生成服务、实体基类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├── erp-system      系统域：用户/角色/菜单/部门/字典/日志 + Sa-Token 配置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├── erp-basedata    基础数据域：仓库/供应商/客户/物料/商品中心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├── erp-business    业务域：采购/销售/零售/库存/结算/报表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└── erp-web         接入层：全部 Controller、全局配置、定时任务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 xml:space="preserve">                    （唯一持有 Web 依赖的模块）</w:t>
      </w:r>
    </w:p>
    <w:p>
      <w:pPr>
        <w:spacing w:after="80"/>
      </w:pPr>
    </w:p>
    <w:p>
      <w:pPr>
        <w:spacing w:line="348" w:lineRule="auto" w:after="120"/>
      </w:pPr>
      <w:r>
        <w:rPr>
          <w:rFonts w:ascii="微软雅黑" w:hAnsi="微软雅黑" w:eastAsia="微软雅黑"/>
          <w:b/>
          <w:sz w:val="21"/>
        </w:rPr>
        <w:t>设计要点：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Controller 全部收敛在 `erp-web`</w:t>
      </w:r>
      <w:r>
        <w:rPr>
          <w:rFonts w:ascii="微软雅黑" w:hAnsi="微软雅黑" w:eastAsia="微软雅黑"/>
          <w:sz w:val="21"/>
        </w:rPr>
        <w:t>，业务模块只暴露 Service，避免业务层被 Web 语义污染。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实体基类下沉 `erp-common`</w:t>
      </w:r>
      <w:r>
        <w:rPr>
          <w:rFonts w:ascii="微软雅黑" w:hAnsi="微软雅黑" w:eastAsia="微软雅黑"/>
          <w:sz w:val="21"/>
        </w:rPr>
        <w:t>，</w:t>
      </w:r>
      <w:r>
        <w:rPr>
          <w:rFonts w:ascii="微软雅黑" w:hAnsi="微软雅黑" w:eastAsia="微软雅黑"/>
          <w:color w:val="A31D1D"/>
          <w:sz w:val="21"/>
        </w:rPr>
        <w:t>erp-system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微软雅黑" w:hAnsi="微软雅黑" w:eastAsia="微软雅黑"/>
          <w:color w:val="A31D1D"/>
          <w:sz w:val="21"/>
        </w:rPr>
        <w:t>erp-business</w:t>
      </w:r>
      <w:r>
        <w:rPr>
          <w:rFonts w:ascii="微软雅黑" w:hAnsi="微软雅黑" w:eastAsia="微软雅黑"/>
          <w:sz w:val="21"/>
        </w:rPr>
        <w:t xml:space="preserve"> 共同继承，避免重复代码。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编号生成服务置于 `erp-common`</w:t>
      </w:r>
      <w:r>
        <w:rPr>
          <w:rFonts w:ascii="微软雅黑" w:hAnsi="微软雅黑" w:eastAsia="微软雅黑"/>
          <w:sz w:val="21"/>
        </w:rPr>
        <w:t>，采购、销售、零售、结算等各域共用同一套单据号体系。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2. 分层设计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Controller（参数校验 / 权限注解 / 响应封装）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Service 接口 + Impl（事务边界 @Transactional，业务规则，状态流转）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Mapper（MyBatis-Plus BaseMapper + LambdaQueryWrapper）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MySQL</w:t>
      </w:r>
    </w:p>
    <w:p>
      <w:pPr>
        <w:spacing w:after="80"/>
      </w:pP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Entity / DTO / VO 三层分离</w:t>
      </w:r>
      <w:r>
        <w:rPr>
          <w:rFonts w:ascii="微软雅黑" w:hAnsi="微软雅黑" w:eastAsia="微软雅黑"/>
          <w:sz w:val="21"/>
        </w:rPr>
        <w:t>：Entity 对应表，VO 对应出参（列表页做字段裁剪与联表拼装），DTO 对应入参，杜绝实体直接出参导致的关联字段泄露。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统一响应 `R&lt;T&gt;`</w:t>
      </w:r>
      <w:r>
        <w:rPr>
          <w:rFonts w:ascii="微软雅黑" w:hAnsi="微软雅黑" w:eastAsia="微软雅黑"/>
          <w:sz w:val="21"/>
        </w:rPr>
        <w:t xml:space="preserve">：所有接口返回 </w:t>
      </w:r>
      <w:r>
        <w:rPr>
          <w:rFonts w:ascii="微软雅黑" w:hAnsi="微软雅黑" w:eastAsia="微软雅黑"/>
          <w:color w:val="A31D1D"/>
          <w:sz w:val="21"/>
        </w:rPr>
        <w:t>{ code, msg, data }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全局异常处理</w:t>
      </w:r>
      <w:r>
        <w:rPr>
          <w:rFonts w:ascii="微软雅黑" w:hAnsi="微软雅黑" w:eastAsia="微软雅黑"/>
          <w:sz w:val="21"/>
        </w:rPr>
        <w:t>：业务异常、业务校验异常统一捕获，映射为标准响应结构。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3. 前端架构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src/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├── api/          按模块划分的请求函数（axios 实例 + 拦截器）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├── components/   通用组件（下拉选择器、文件上传、导出按钮等）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├── layouts/      布局（侧边菜单、顶栏、面包屑，由后端菜单动态生成）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├── pages/        101 个业务页面，按模块分目录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├── store/        Zustand 全局状态（用户信息、权限、菜单）</w:t>
      </w:r>
    </w:p>
    <w:p>
      <w:pPr>
        <w:spacing w:after="0" w:line="240" w:lineRule="auto"/>
        <w:ind w:left="340"/>
      </w:pPr>
      <w:r>
        <w:rPr>
          <w:rFonts w:ascii="Consolas" w:hAnsi="Consolas"/>
          <w:color w:val="333333"/>
          <w:sz w:val="18"/>
        </w:rPr>
        <w:t>└── utils/        request 封装、二进制下载、日期处理</w:t>
      </w:r>
    </w:p>
    <w:p>
      <w:pPr>
        <w:spacing w:after="80"/>
      </w:pP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动态路由 + 动态菜单</w:t>
      </w:r>
      <w:r>
        <w:rPr>
          <w:rFonts w:ascii="微软雅黑" w:hAnsi="微软雅黑" w:eastAsia="微软雅黑"/>
          <w:sz w:val="21"/>
        </w:rPr>
        <w:t>：登录后由后端返回该用户可见菜单树，前端据此生成侧边栏与路由，菜单与角色权限完全解耦。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按钮级权限</w:t>
      </w:r>
      <w:r>
        <w:rPr>
          <w:rFonts w:ascii="微软雅黑" w:hAnsi="微软雅黑" w:eastAsia="微软雅黑"/>
          <w:sz w:val="21"/>
        </w:rPr>
        <w:t>：页面内操作按钮按权限串控制显隐，后端再校验一次，前端隐藏只是体验优化，后端才是唯一可信边界。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29"/>
        </w:rPr>
        <w:t>四、关键技术实现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1. 权限体系：Sa-Token + RBAC</w:t>
      </w:r>
    </w:p>
    <w:p>
      <w:pPr>
        <w:spacing w:line="348" w:lineRule="auto" w:after="120"/>
      </w:pPr>
      <w:r>
        <w:rPr>
          <w:rFonts w:ascii="微软雅黑" w:hAnsi="微软雅黑" w:eastAsia="微软雅黑"/>
          <w:sz w:val="21"/>
        </w:rPr>
        <w:t xml:space="preserve">采用 </w:t>
      </w:r>
      <w:r>
        <w:rPr>
          <w:rFonts w:ascii="微软雅黑" w:hAnsi="微软雅黑" w:eastAsia="微软雅黑"/>
          <w:b/>
          <w:sz w:val="21"/>
        </w:rPr>
        <w:t>Sa-Token 1.46</w:t>
      </w:r>
      <w:r>
        <w:rPr>
          <w:rFonts w:ascii="微软雅黑" w:hAnsi="微软雅黑" w:eastAsia="微软雅黑"/>
          <w:sz w:val="21"/>
        </w:rPr>
        <w:t xml:space="preserve"> 实现登录认证与接口鉴权，权限模型为「用户 → 角色 → 菜单（权限串）」三级结构。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 xml:space="preserve">全系统 </w:t>
      </w:r>
      <w:r>
        <w:rPr>
          <w:rFonts w:ascii="微软雅黑" w:hAnsi="微软雅黑" w:eastAsia="微软雅黑"/>
          <w:b/>
          <w:sz w:val="21"/>
        </w:rPr>
        <w:t>282 个 `@SaCheckPermission` 注解</w:t>
      </w:r>
      <w:r>
        <w:rPr>
          <w:rFonts w:ascii="微软雅黑" w:hAnsi="微软雅黑" w:eastAsia="微软雅黑"/>
          <w:sz w:val="21"/>
        </w:rPr>
        <w:t>覆盖到 Controller 方法粒度，实现接口级最小权限。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鉴权异常返回</w:t>
      </w:r>
      <w:r>
        <w:rPr>
          <w:rFonts w:ascii="微软雅黑" w:hAnsi="微软雅黑" w:eastAsia="微软雅黑"/>
          <w:b/>
          <w:sz w:val="21"/>
        </w:rPr>
        <w:t>真实 HTTP 401 / 403</w:t>
      </w:r>
      <w:r>
        <w:rPr>
          <w:rFonts w:ascii="微软雅黑" w:hAnsi="微软雅黑" w:eastAsia="微软雅黑"/>
          <w:sz w:val="21"/>
        </w:rPr>
        <w:t>，而非 200 包裹业务码，保证网关 / 前端拦截器 / 监控告警能正确识别。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登录拦截器统一注册，白名单接口（登录、验证码）显式放行，避免逐个接口加注解遗漏。</w:t>
      </w:r>
    </w:p>
    <w:p>
      <w:pPr>
        <w:spacing w:line="348" w:lineRule="auto" w:after="120"/>
      </w:pPr>
      <w:r>
        <w:rPr>
          <w:rFonts w:ascii="微软雅黑" w:hAnsi="微软雅黑" w:eastAsia="微软雅黑"/>
          <w:b/>
          <w:sz w:val="21"/>
        </w:rPr>
        <w:t>权限缓存优化：</w:t>
      </w:r>
      <w:r>
        <w:rPr>
          <w:rFonts w:ascii="微软雅黑" w:hAnsi="微软雅黑" w:eastAsia="微软雅黑"/>
          <w:sz w:val="21"/>
        </w:rPr>
        <w:t xml:space="preserve"> Sa-Token 的 </w:t>
      </w:r>
      <w:r>
        <w:rPr>
          <w:rFonts w:ascii="微软雅黑" w:hAnsi="微软雅黑" w:eastAsia="微软雅黑"/>
          <w:color w:val="A31D1D"/>
          <w:sz w:val="19"/>
        </w:rPr>
        <w:t>StpInterface</w:t>
      </w:r>
      <w:r>
        <w:rPr>
          <w:rFonts w:ascii="微软雅黑" w:hAnsi="微软雅黑" w:eastAsia="微软雅黑"/>
          <w:sz w:val="21"/>
        </w:rPr>
        <w:t xml:space="preserve"> 每次鉴权都会被调用，若每次都查库则成为性能瓶颈。自定义 </w:t>
      </w:r>
      <w:r>
        <w:rPr>
          <w:rFonts w:ascii="微软雅黑" w:hAnsi="微软雅黑" w:eastAsia="微软雅黑"/>
          <w:color w:val="A31D1D"/>
          <w:sz w:val="19"/>
        </w:rPr>
        <w:t>SaPermissionCache</w:t>
      </w:r>
      <w:r>
        <w:rPr>
          <w:rFonts w:ascii="微软雅黑" w:hAnsi="微软雅黑" w:eastAsia="微软雅黑"/>
          <w:sz w:val="21"/>
        </w:rPr>
        <w:t xml:space="preserve"> 一次性查询用户所有权限串写入 Redis，鉴权时直接读缓存；角色授权变更后主动 </w:t>
      </w:r>
      <w:r>
        <w:rPr>
          <w:rFonts w:ascii="微软雅黑" w:hAnsi="微软雅黑" w:eastAsia="微软雅黑"/>
          <w:color w:val="A31D1D"/>
          <w:sz w:val="19"/>
        </w:rPr>
        <w:t>evictUser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微软雅黑" w:hAnsi="微软雅黑" w:eastAsia="微软雅黑"/>
          <w:color w:val="A31D1D"/>
          <w:sz w:val="19"/>
        </w:rPr>
        <w:t>evictAll</w:t>
      </w:r>
      <w:r>
        <w:rPr>
          <w:rFonts w:ascii="微软雅黑" w:hAnsi="微软雅黑" w:eastAsia="微软雅黑"/>
          <w:sz w:val="21"/>
        </w:rPr>
        <w:t xml:space="preserve"> 失效缓存，兼顾性能与实时性。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2. 单据编号规则引擎</w:t>
      </w:r>
    </w:p>
    <w:p>
      <w:pPr>
        <w:spacing w:line="348" w:lineRule="auto" w:after="120"/>
      </w:pPr>
      <w:r>
        <w:rPr>
          <w:rFonts w:ascii="微软雅黑" w:hAnsi="微软雅黑" w:eastAsia="微软雅黑"/>
          <w:sz w:val="21"/>
        </w:rPr>
        <w:t>单据号（采购单号、销售单号等）是业务主键的唯一标识，并发下重复会造成数据覆盖。设计了一套</w:t>
      </w:r>
      <w:r>
        <w:rPr>
          <w:rFonts w:ascii="微软雅黑" w:hAnsi="微软雅黑" w:eastAsia="微软雅黑"/>
          <w:b/>
          <w:sz w:val="21"/>
        </w:rPr>
        <w:t>表驱动的编号规则引擎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color w:val="A31D1D"/>
          <w:sz w:val="21"/>
        </w:rPr>
        <w:t>sys_code_rule</w:t>
      </w:r>
      <w:r>
        <w:rPr>
          <w:rFonts w:ascii="微软雅黑" w:hAnsi="微软雅黑" w:eastAsia="微软雅黑"/>
          <w:sz w:val="21"/>
        </w:rPr>
        <w:t xml:space="preserve"> 表存储各单据的编号规则（前后缀、日期格式、流水位数、重置周期），共 </w:t>
      </w:r>
      <w:r>
        <w:rPr>
          <w:rFonts w:ascii="微软雅黑" w:hAnsi="微软雅黑" w:eastAsia="微软雅黑"/>
          <w:b/>
          <w:sz w:val="21"/>
        </w:rPr>
        <w:t>29 条规则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 xml:space="preserve">取号时对规则行执行 </w:t>
      </w:r>
      <w:r>
        <w:rPr>
          <w:rFonts w:ascii="微软雅黑" w:hAnsi="微软雅黑" w:eastAsia="微软雅黑"/>
          <w:color w:val="A31D1D"/>
          <w:sz w:val="21"/>
        </w:rPr>
        <w:t>SELECT ... FOR UPDATE</w:t>
      </w:r>
      <w:r>
        <w:rPr>
          <w:rFonts w:ascii="微软雅黑" w:hAnsi="微软雅黑" w:eastAsia="微软雅黑"/>
          <w:sz w:val="21"/>
        </w:rPr>
        <w:t xml:space="preserve"> 行锁 + 最大流水号递增，</w:t>
      </w:r>
      <w:r>
        <w:rPr>
          <w:rFonts w:ascii="微软雅黑" w:hAnsi="微软雅黑" w:eastAsia="微软雅黑"/>
          <w:b/>
          <w:sz w:val="21"/>
        </w:rPr>
        <w:t>实测 20 并发取号零重号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支持按日 / 月 / 年重置流水，取号口径为</w:t>
      </w:r>
      <w:r>
        <w:rPr>
          <w:rFonts w:ascii="微软雅黑" w:hAnsi="微软雅黑" w:eastAsia="微软雅黑"/>
          <w:b/>
          <w:sz w:val="21"/>
        </w:rPr>
        <w:t>含已逻辑删除记录的全表最大值</w:t>
      </w:r>
      <w:r>
        <w:rPr>
          <w:rFonts w:ascii="微软雅黑" w:hAnsi="微软雅黑" w:eastAsia="微软雅黑"/>
          <w:sz w:val="21"/>
        </w:rPr>
        <w:t>，避免删除后重建撞唯一键；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 xml:space="preserve">该服务收敛在 </w:t>
      </w:r>
      <w:r>
        <w:rPr>
          <w:rFonts w:ascii="微软雅黑" w:hAnsi="微软雅黑" w:eastAsia="微软雅黑"/>
          <w:color w:val="A31D1D"/>
          <w:sz w:val="21"/>
        </w:rPr>
        <w:t>erp-common</w:t>
      </w:r>
      <w:r>
        <w:rPr>
          <w:rFonts w:ascii="微软雅黑" w:hAnsi="微软雅黑" w:eastAsia="微软雅黑"/>
          <w:sz w:val="21"/>
        </w:rPr>
        <w:t xml:space="preserve">，此前散落在各业务 Service 中的 28 处重复 </w:t>
      </w:r>
      <w:r>
        <w:rPr>
          <w:rFonts w:ascii="微软雅黑" w:hAnsi="微软雅黑" w:eastAsia="微软雅黑"/>
          <w:color w:val="A31D1D"/>
          <w:sz w:val="21"/>
        </w:rPr>
        <w:t>generateXxxCode()</w:t>
      </w:r>
      <w:r>
        <w:rPr>
          <w:rFonts w:ascii="微软雅黑" w:hAnsi="微软雅黑" w:eastAsia="微软雅黑"/>
          <w:sz w:val="21"/>
        </w:rPr>
        <w:t xml:space="preserve"> 全部删除，编号规则统一可配置。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3. 库存变动三入口（数据一致性的核心设计）</w:t>
      </w:r>
    </w:p>
    <w:p>
      <w:pPr>
        <w:spacing w:line="348" w:lineRule="auto" w:after="120"/>
      </w:pPr>
      <w:r>
        <w:rPr>
          <w:rFonts w:ascii="微软雅黑" w:hAnsi="微软雅黑" w:eastAsia="微软雅黑"/>
          <w:sz w:val="21"/>
        </w:rPr>
        <w:t xml:space="preserve">库存是 ERP 最容易出错的地方。原设计所有库存变动都走同一个 </w:t>
      </w:r>
      <w:r>
        <w:rPr>
          <w:rFonts w:ascii="微软雅黑" w:hAnsi="微软雅黑" w:eastAsia="微软雅黑"/>
          <w:color w:val="A31D1D"/>
          <w:sz w:val="19"/>
        </w:rPr>
        <w:t>addStock</w:t>
      </w:r>
      <w:r>
        <w:rPr>
          <w:rFonts w:ascii="微软雅黑" w:hAnsi="微软雅黑" w:eastAsia="微软雅黑"/>
          <w:sz w:val="21"/>
        </w:rPr>
        <w:t xml:space="preserve"> 方法，导致售价污染成本价、负库存等问题。重构为</w:t>
      </w:r>
      <w:r>
        <w:rPr>
          <w:rFonts w:ascii="微软雅黑" w:hAnsi="微软雅黑" w:eastAsia="微软雅黑"/>
          <w:b/>
          <w:sz w:val="21"/>
        </w:rPr>
        <w:t>语义清晰的三个入口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</w:t>
            </w:r>
          </w:p>
        </w:tc>
        <w:tc>
          <w:tcPr>
            <w:tcW w:type="dxa" w:w="3173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3173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语义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addStock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采购入库等（数量 + 成本价同时变）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数量与成本价同时更新</w:t>
            </w:r>
          </w:p>
        </w:tc>
      </w:tr>
      <w:tr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addStockKeepCost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退货、盘盈等（只回数量）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不动成本价</w:t>
            </w:r>
            <w:r>
              <w:rPr>
                <w:rFonts w:ascii="微软雅黑" w:hAnsi="微软雅黑" w:eastAsia="微软雅黑"/>
                <w:sz w:val="19"/>
              </w:rPr>
              <w:t>，避免售价 / 单价覆盖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subStock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各类出库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扣减数量，出库成本按移动加权计算</w:t>
            </w:r>
          </w:p>
        </w:tc>
      </w:tr>
    </w:tbl>
    <w:p>
      <w:pPr>
        <w:spacing w:after="120"/>
      </w:pPr>
    </w:p>
    <w:p>
      <w:pPr>
        <w:spacing w:line="348" w:lineRule="auto" w:after="120"/>
      </w:pPr>
      <w:r>
        <w:rPr>
          <w:rFonts w:ascii="微软雅黑" w:hAnsi="微软雅黑" w:eastAsia="微软雅黑"/>
          <w:sz w:val="21"/>
        </w:rPr>
        <w:t>并配合：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出库前按商品汇总校验库存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微软雅黑" w:hAnsi="微软雅黑" w:eastAsia="微软雅黑"/>
          <w:color w:val="A31D1D"/>
          <w:sz w:val="21"/>
        </w:rPr>
        <w:t>checkStockEnough</w:t>
      </w:r>
      <w:r>
        <w:rPr>
          <w:rFonts w:ascii="微软雅黑" w:hAnsi="微软雅黑" w:eastAsia="微软雅黑"/>
          <w:sz w:val="21"/>
        </w:rPr>
        <w:t xml:space="preserve">）：明细可能同一商品出现多行，必须先按 </w:t>
      </w:r>
      <w:r>
        <w:rPr>
          <w:rFonts w:ascii="微软雅黑" w:hAnsi="微软雅黑" w:eastAsia="微软雅黑"/>
          <w:color w:val="A31D1D"/>
          <w:sz w:val="21"/>
        </w:rPr>
        <w:t>product_id</w:t>
      </w:r>
      <w:r>
        <w:rPr>
          <w:rFonts w:ascii="微软雅黑" w:hAnsi="微软雅黑" w:eastAsia="微软雅黑"/>
          <w:sz w:val="21"/>
        </w:rPr>
        <w:t xml:space="preserve"> 汇总再比对，逐条校验会漏判导致超卖；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成本调整只改价不改量</w:t>
      </w:r>
      <w:r>
        <w:rPr>
          <w:rFonts w:ascii="微软雅黑" w:hAnsi="微软雅黑" w:eastAsia="微软雅黑"/>
          <w:sz w:val="21"/>
        </w:rPr>
        <w:t xml:space="preserve">：直接 </w:t>
      </w:r>
      <w:r>
        <w:rPr>
          <w:rFonts w:ascii="微软雅黑" w:hAnsi="微软雅黑" w:eastAsia="微软雅黑"/>
          <w:color w:val="A31D1D"/>
          <w:sz w:val="21"/>
        </w:rPr>
        <w:t>UPDATE product_stock</w:t>
      </w:r>
      <w:r>
        <w:rPr>
          <w:rFonts w:ascii="微软雅黑" w:hAnsi="微软雅黑" w:eastAsia="微软雅黑"/>
          <w:sz w:val="21"/>
        </w:rPr>
        <w:t xml:space="preserve">，绝不经过 </w:t>
      </w:r>
      <w:r>
        <w:rPr>
          <w:rFonts w:ascii="微软雅黑" w:hAnsi="微软雅黑" w:eastAsia="微软雅黑"/>
          <w:color w:val="A31D1D"/>
          <w:sz w:val="21"/>
        </w:rPr>
        <w:t>addStock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微软雅黑" w:hAnsi="微软雅黑" w:eastAsia="微软雅黑"/>
          <w:color w:val="A31D1D"/>
          <w:sz w:val="21"/>
        </w:rPr>
        <w:t>subStock</w:t>
      </w:r>
      <w:r>
        <w:rPr>
          <w:rFonts w:ascii="微软雅黑" w:hAnsi="微软雅黑" w:eastAsia="微软雅黑"/>
          <w:sz w:val="21"/>
        </w:rPr>
        <w:t>，否则数量被二次变动。</w:t>
      </w:r>
    </w:p>
    <w:p>
      <w:pPr>
        <w:spacing w:line="348" w:lineRule="auto" w:after="120"/>
      </w:pPr>
      <w:r>
        <w:rPr>
          <w:rFonts w:ascii="微软雅黑" w:hAnsi="微软雅黑" w:eastAsia="微软雅黑"/>
          <w:b/>
          <w:sz w:val="21"/>
        </w:rPr>
        <w:t>排查并修复的实际缺陷（均有实测用例覆盖）：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缺陷</w:t>
            </w:r>
          </w:p>
        </w:tc>
        <w:tc>
          <w:tcPr>
            <w:tcW w:type="dxa" w:w="3173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后果</w:t>
            </w:r>
          </w:p>
        </w:tc>
        <w:tc>
          <w:tcPr>
            <w:tcW w:type="dxa" w:w="3173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出库未校验库存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可扣出</w:t>
            </w:r>
            <w:r>
              <w:rPr>
                <w:rFonts w:ascii="微软雅黑" w:hAnsi="微软雅黑" w:eastAsia="微软雅黑"/>
                <w:b/>
                <w:sz w:val="19"/>
              </w:rPr>
              <w:t>负库存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三处出库入口补 </w:t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checkStockEnough</w:t>
            </w:r>
          </w:p>
        </w:tc>
      </w:tr>
      <w:tr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退货走 </w:t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addStock</w:t>
            </w:r>
            <w:r>
              <w:rPr>
                <w:rFonts w:ascii="微软雅黑" w:hAnsi="微软雅黑" w:eastAsia="微软雅黑"/>
                <w:sz w:val="19"/>
              </w:rPr>
              <w:t xml:space="preserve"> 传售价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成本价被售价覆盖</w:t>
            </w:r>
            <w:r>
              <w:rPr>
                <w:rFonts w:ascii="微软雅黑" w:hAnsi="微软雅黑" w:eastAsia="微软雅黑"/>
                <w:sz w:val="19"/>
              </w:rPr>
              <w:t>，库存金额失真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改走 </w:t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addStockKeepCost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调整单传 </w:t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BigDecimal.ZERO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成本价归零、库存金额归零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改走 </w:t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addStockKeepCost</w:t>
            </w:r>
          </w:p>
        </w:tc>
      </w:tr>
      <w:tr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盘盈用盘点单单价覆盖成本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库存金额被改错</w:t>
            </w:r>
          </w:p>
        </w:tc>
        <w:tc>
          <w:tcPr>
            <w:tcW w:type="dxa" w:w="3173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改走 </w:t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addStockKeepCost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getStatus() != 0</w:t>
            </w:r>
            <w:r>
              <w:rPr>
                <w:rFonts w:ascii="微软雅黑" w:hAnsi="微软雅黑" w:eastAsia="微软雅黑"/>
                <w:sz w:val="19"/>
              </w:rPr>
              <w:t xml:space="preserve"> 直接比较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null</w:t>
            </w:r>
            <w:r>
              <w:rPr>
                <w:rFonts w:ascii="微软雅黑" w:hAnsi="微软雅黑" w:eastAsia="微软雅黑"/>
                <w:sz w:val="19"/>
              </w:rPr>
              <w:t xml:space="preserve"> 时</w:t>
            </w:r>
            <w:r>
              <w:rPr>
                <w:rFonts w:ascii="微软雅黑" w:hAnsi="微软雅黑" w:eastAsia="微软雅黑"/>
                <w:b/>
                <w:sz w:val="19"/>
              </w:rPr>
              <w:t>拆箱 NPE</w:t>
            </w:r>
            <w:r>
              <w:rPr>
                <w:rFonts w:ascii="微软雅黑" w:hAnsi="微软雅黑" w:eastAsia="微软雅黑"/>
                <w:sz w:val="19"/>
              </w:rPr>
              <w:t>（37 处）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统一用常量枚举 + </w:t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Objects.equals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4. 商品中心：SPU / SKU 双层模型</w:t>
      </w:r>
    </w:p>
    <w:p>
      <w:pPr>
        <w:spacing w:line="348" w:lineRule="auto" w:after="120"/>
      </w:pPr>
      <w:r>
        <w:rPr>
          <w:rFonts w:ascii="微软雅黑" w:hAnsi="微软雅黑" w:eastAsia="微软雅黑"/>
          <w:sz w:val="21"/>
        </w:rPr>
        <w:t>为支持「一品多规格」且</w:t>
      </w:r>
      <w:r>
        <w:rPr>
          <w:rFonts w:ascii="微软雅黑" w:hAnsi="微软雅黑" w:eastAsia="微软雅黑"/>
          <w:b/>
          <w:sz w:val="21"/>
        </w:rPr>
        <w:t>不影响存量单据</w:t>
      </w:r>
      <w:r>
        <w:rPr>
          <w:rFonts w:ascii="微软雅黑" w:hAnsi="微软雅黑" w:eastAsia="微软雅黑"/>
          <w:sz w:val="21"/>
        </w:rPr>
        <w:t>，引入 SPU + SKU 双层结构：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SPU</w:t>
      </w:r>
      <w:r>
        <w:rPr>
          <w:rFonts w:ascii="微软雅黑" w:hAnsi="微软雅黑" w:eastAsia="微软雅黑"/>
          <w:sz w:val="21"/>
        </w:rPr>
        <w:t xml:space="preserve"> 承载商品公共信息（名称、品牌、分类），</w:t>
      </w:r>
      <w:r>
        <w:rPr>
          <w:rFonts w:ascii="微软雅黑" w:hAnsi="微软雅黑" w:eastAsia="微软雅黑"/>
          <w:b/>
          <w:sz w:val="21"/>
        </w:rPr>
        <w:t>SKU</w:t>
      </w:r>
      <w:r>
        <w:rPr>
          <w:rFonts w:ascii="微软雅黑" w:hAnsi="微软雅黑" w:eastAsia="微软雅黑"/>
          <w:sz w:val="21"/>
        </w:rPr>
        <w:t xml:space="preserve"> 承载规格组合（颜色 × 尺码）与独立条码；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SKU 矩阵：勾选销售属性组按</w:t>
      </w:r>
      <w:r>
        <w:rPr>
          <w:rFonts w:ascii="微软雅黑" w:hAnsi="微软雅黑" w:eastAsia="微软雅黑"/>
          <w:b/>
          <w:sz w:val="21"/>
        </w:rPr>
        <w:t>笛卡尔积</w:t>
      </w:r>
      <w:r>
        <w:rPr>
          <w:rFonts w:ascii="微软雅黑" w:hAnsi="微软雅黑" w:eastAsia="微软雅黑"/>
          <w:sz w:val="21"/>
        </w:rPr>
        <w:t>批量生成 SKU，幂等设计（只增不删，上限 200 条），避免重复点击产生脏数据；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销售属性采用</w:t>
      </w:r>
      <w:r>
        <w:rPr>
          <w:rFonts w:ascii="微软雅黑" w:hAnsi="微软雅黑" w:eastAsia="微软雅黑"/>
          <w:b/>
          <w:sz w:val="21"/>
        </w:rPr>
        <w:t>差异更新</w:t>
      </w:r>
      <w:r>
        <w:rPr>
          <w:rFonts w:ascii="微软雅黑" w:hAnsi="微软雅黑" w:eastAsia="微软雅黑"/>
          <w:sz w:val="21"/>
        </w:rPr>
        <w:t>而非删重建，防止属性 ID 变动导致历史 SKU 失联；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一品多码</w:t>
      </w:r>
      <w:r>
        <w:rPr>
          <w:rFonts w:ascii="微软雅黑" w:hAnsi="微软雅黑" w:eastAsia="微软雅黑"/>
          <w:sz w:val="21"/>
        </w:rPr>
        <w:t>：一个 SKU 挂多个条码，扫码时任一命中即可解析为同一商品。</w:t>
      </w:r>
    </w:p>
    <w:p>
      <w:pPr>
        <w:spacing w:line="348" w:lineRule="auto" w:after="120"/>
      </w:pPr>
      <w:r>
        <w:rPr>
          <w:rFonts w:ascii="微软雅黑" w:hAnsi="微软雅黑" w:eastAsia="微软雅黑"/>
          <w:b/>
          <w:sz w:val="21"/>
        </w:rPr>
        <w:t>关键设计：保持 `base_material.id` 语义为 SKU ID</w:t>
      </w:r>
      <w:r>
        <w:rPr>
          <w:rFonts w:ascii="微软雅黑" w:hAnsi="微软雅黑" w:eastAsia="微软雅黑"/>
          <w:sz w:val="21"/>
        </w:rPr>
        <w:t>，使 13 张业务表、58 处 Java 代码、23 个前端文件</w:t>
      </w:r>
      <w:r>
        <w:rPr>
          <w:rFonts w:ascii="微软雅黑" w:hAnsi="微软雅黑" w:eastAsia="微软雅黑"/>
          <w:b/>
          <w:sz w:val="21"/>
        </w:rPr>
        <w:t>零改动</w:t>
      </w:r>
      <w:r>
        <w:rPr>
          <w:rFonts w:ascii="微软雅黑" w:hAnsi="微软雅黑" w:eastAsia="微软雅黑"/>
          <w:sz w:val="21"/>
        </w:rPr>
        <w:t>即可享受新模型——用「兼容式建模」代替「大规模重构」，把改造风险降到最低。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5. Excel 批量导入导出</w:t>
      </w:r>
    </w:p>
    <w:p>
      <w:pPr>
        <w:spacing w:line="348" w:lineRule="auto" w:after="120"/>
      </w:pPr>
      <w:r>
        <w:rPr>
          <w:rFonts w:ascii="微软雅黑" w:hAnsi="微软雅黑" w:eastAsia="微软雅黑"/>
          <w:sz w:val="21"/>
        </w:rPr>
        <w:t>基于 EasyExcel 实现主数据（物料 / 客户 / 供应商）的模板下载、批量导入、导出。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两趟校验</w:t>
      </w:r>
      <w:r>
        <w:rPr>
          <w:rFonts w:ascii="微软雅黑" w:hAnsi="微软雅黑" w:eastAsia="微软雅黑"/>
          <w:sz w:val="21"/>
        </w:rPr>
        <w:t>：第一趟全量解析校验（格式、必填、唯一性、关联有效性），第二趟才写库，任一行失败</w:t>
      </w:r>
      <w:r>
        <w:rPr>
          <w:rFonts w:ascii="微软雅黑" w:hAnsi="微软雅黑" w:eastAsia="微软雅黑"/>
          <w:b/>
          <w:sz w:val="21"/>
        </w:rPr>
        <w:t>整体回滚</w:t>
      </w:r>
      <w:r>
        <w:rPr>
          <w:rFonts w:ascii="微软雅黑" w:hAnsi="微软雅黑" w:eastAsia="微软雅黑"/>
          <w:sz w:val="21"/>
        </w:rPr>
        <w:t>，杜绝"导入一半"的脏数据；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大文件流式读取，避免 OOM；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下载二进制走独立工具封装（不进通用 request 封装，避免 responseType 污染）。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6. 操作日志与登录日志（AOP）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 xml:space="preserve">自定义 </w:t>
      </w:r>
      <w:r>
        <w:rPr>
          <w:rFonts w:ascii="微软雅黑" w:hAnsi="微软雅黑" w:eastAsia="微软雅黑"/>
          <w:color w:val="A31D1D"/>
          <w:sz w:val="21"/>
        </w:rPr>
        <w:t>LogAspect</w:t>
      </w:r>
      <w:r>
        <w:rPr>
          <w:rFonts w:ascii="微软雅黑" w:hAnsi="微软雅黑" w:eastAsia="微软雅黑"/>
          <w:sz w:val="21"/>
        </w:rPr>
        <w:t xml:space="preserve"> 切面拦截写操作，记录</w:t>
      </w:r>
      <w:r>
        <w:rPr>
          <w:rFonts w:ascii="微软雅黑" w:hAnsi="微软雅黑" w:eastAsia="微软雅黑"/>
          <w:b/>
          <w:sz w:val="21"/>
        </w:rPr>
        <w:t>操作人、接口、参数、耗时、IP、结果</w:t>
      </w:r>
      <w:r>
        <w:rPr>
          <w:rFonts w:ascii="微软雅黑" w:hAnsi="微软雅黑" w:eastAsia="微软雅黑"/>
          <w:sz w:val="21"/>
        </w:rPr>
        <w:t>，敏感字段（密码等）脱敏；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 xml:space="preserve">登录按用户名密码 / 手机验证码 / 管理员三种分支处理，成功后回写 </w:t>
      </w:r>
      <w:r>
        <w:rPr>
          <w:rFonts w:ascii="微软雅黑" w:hAnsi="微软雅黑" w:eastAsia="微软雅黑"/>
          <w:color w:val="A31D1D"/>
          <w:sz w:val="21"/>
        </w:rPr>
        <w:t>last_login_time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微软雅黑" w:hAnsi="微软雅黑" w:eastAsia="微软雅黑"/>
          <w:color w:val="A31D1D"/>
          <w:sz w:val="21"/>
        </w:rPr>
        <w:t>last_login_ip</w:t>
      </w:r>
      <w:r>
        <w:rPr>
          <w:rFonts w:ascii="微软雅黑" w:hAnsi="微软雅黑" w:eastAsia="微软雅黑"/>
          <w:sz w:val="21"/>
        </w:rPr>
        <w:t>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日志列表支持按操作人、类型、时间范围分页过滤。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7. 统一异常与响应规范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 xml:space="preserve">自定义异常体系（业务异常 / 参数校验异常）配合 </w:t>
      </w:r>
      <w:r>
        <w:rPr>
          <w:rFonts w:ascii="微软雅黑" w:hAnsi="微软雅黑" w:eastAsia="微软雅黑"/>
          <w:color w:val="A31D1D"/>
          <w:sz w:val="21"/>
        </w:rPr>
        <w:t>GlobalExceptionHandler</w:t>
      </w:r>
      <w:r>
        <w:rPr>
          <w:rFonts w:ascii="微软雅黑" w:hAnsi="微软雅黑" w:eastAsia="微软雅黑"/>
          <w:sz w:val="21"/>
        </w:rPr>
        <w:t>，把校验错误翻译成用户能看懂的提示；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未匹配 URL 返回规范 404 语义而非兜底 500；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 xml:space="preserve">统一响应包装 </w:t>
      </w:r>
      <w:r>
        <w:rPr>
          <w:rFonts w:ascii="微软雅黑" w:hAnsi="微软雅黑" w:eastAsia="微软雅黑"/>
          <w:color w:val="A31D1D"/>
          <w:sz w:val="21"/>
        </w:rPr>
        <w:t>R&lt;T&gt;</w:t>
      </w:r>
      <w:r>
        <w:rPr>
          <w:rFonts w:ascii="微软雅黑" w:hAnsi="微软雅黑" w:eastAsia="微软雅黑"/>
          <w:sz w:val="21"/>
        </w:rPr>
        <w:t>，前端 axios 拦截器统一处理登录失效跳转、错误提示。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29"/>
        </w:rPr>
        <w:t>五、工程化与质量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59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接口文档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Knife4j / OpenAPI3 全量注解，导入即生成在线文档与调试台</w:t>
            </w:r>
          </w:p>
        </w:tc>
      </w:tr>
      <w:tr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数据字典</w:t>
            </w:r>
          </w:p>
        </w:tc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基础数据统一走字典表，避免枚举硬编码散落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实体规范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统一基类承载审计字段（创建人 / 时间 / 逻辑删除），由 </w:t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MetaObjectHandler</w:t>
            </w:r>
            <w:r>
              <w:rPr>
                <w:rFonts w:ascii="微软雅黑" w:hAnsi="微软雅黑" w:eastAsia="微软雅黑"/>
                <w:sz w:val="19"/>
              </w:rPr>
              <w:t xml:space="preserve"> 自动填充</w:t>
            </w:r>
          </w:p>
        </w:tc>
      </w:tr>
      <w:tr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逻辑删除</w:t>
            </w:r>
          </w:p>
        </w:tc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 xml:space="preserve">全表统一 </w:t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is_deleted</w:t>
            </w:r>
            <w:r>
              <w:rPr>
                <w:rFonts w:ascii="微软雅黑" w:hAnsi="微软雅黑" w:eastAsia="微软雅黑"/>
                <w:sz w:val="19"/>
              </w:rPr>
              <w:t xml:space="preserve"> 标记，MyBatis-Plus 全局配置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定时任务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独立 job 包，承载日志归档、库存预警等调度任务</w:t>
            </w:r>
          </w:p>
        </w:tc>
      </w:tr>
      <w:tr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SQL 脚本</w:t>
            </w:r>
          </w:p>
        </w:tc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color w:val="A31D1D"/>
                <w:sz w:val="19"/>
              </w:rPr>
              <w:t>sql/</w:t>
            </w:r>
            <w:r>
              <w:rPr>
                <w:rFonts w:ascii="微软雅黑" w:hAnsi="微软雅黑" w:eastAsia="微软雅黑"/>
                <w:sz w:val="19"/>
              </w:rPr>
              <w:t xml:space="preserve"> 目录 89 份建表 / 菜单 / 初始化脚本，全部</w:t>
            </w:r>
            <w:r>
              <w:rPr>
                <w:rFonts w:ascii="微软雅黑" w:hAnsi="微软雅黑" w:eastAsia="微软雅黑"/>
                <w:b/>
                <w:sz w:val="19"/>
              </w:rPr>
              <w:t>幂等可重复执行</w:t>
            </w:r>
            <w:r>
              <w:rPr>
                <w:rFonts w:ascii="微软雅黑" w:hAnsi="微软雅黑" w:eastAsia="微软雅黑"/>
                <w:sz w:val="19"/>
              </w:rPr>
              <w:t>，变更前 mysqldump 备份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配置隔离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环境相关配置外置，启动用独立端口实例互不干扰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29"/>
        </w:rPr>
        <w:t>六、项目规模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759"/>
            <w:shd w:val="clear"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后端 Java 类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1614</w:t>
            </w:r>
          </w:p>
        </w:tc>
      </w:tr>
      <w:tr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Controller</w:t>
            </w:r>
          </w:p>
        </w:tc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109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Service 实现类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157</w:t>
            </w:r>
          </w:p>
        </w:tc>
      </w:tr>
      <w:tr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实体类</w:t>
            </w:r>
          </w:p>
        </w:tc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184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数据库表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89</w:t>
            </w:r>
          </w:p>
        </w:tc>
      </w:tr>
      <w:tr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权限注解</w:t>
            </w:r>
          </w:p>
        </w:tc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282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前端页面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101</w:t>
            </w:r>
          </w:p>
        </w:tc>
      </w:tr>
      <w:tr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前端 TS 模块</w:t>
            </w:r>
          </w:p>
        </w:tc>
        <w:tc>
          <w:tcPr>
            <w:tcW w:type="dxa" w:w="4759"/>
            <w:shd w:val="clear" w:fill="F2F5FA"/>
          </w:tcPr>
          <w:p>
            <w:r>
              <w:rPr>
                <w:sz w:val="19"/>
              </w:rPr>
            </w:r>
            <w:r>
              <w:rPr>
                <w:rFonts w:ascii="微软雅黑" w:hAnsi="微软雅黑" w:eastAsia="微软雅黑"/>
                <w:sz w:val="19"/>
              </w:rPr>
              <w:t>45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29"/>
        </w:rPr>
        <w:t>七、技术亮点总结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数据一致性设计</w:t>
      </w:r>
      <w:r>
        <w:rPr>
          <w:rFonts w:ascii="微软雅黑" w:hAnsi="微软雅黑" w:eastAsia="微软雅黑"/>
          <w:sz w:val="21"/>
        </w:rPr>
        <w:t>：将库存变动抽象为三入口（更新价 / 保留成本 / 扣减），从根上杜绝负库存与成本价污染，并用「按商品汇总后再校验」避免多行明细漏判。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并发取号零重号</w:t>
      </w:r>
      <w:r>
        <w:rPr>
          <w:rFonts w:ascii="微软雅黑" w:hAnsi="微软雅黑" w:eastAsia="微软雅黑"/>
          <w:sz w:val="21"/>
        </w:rPr>
        <w:t xml:space="preserve">：表驱动编号规则 + </w:t>
      </w:r>
      <w:r>
        <w:rPr>
          <w:rFonts w:ascii="微软雅黑" w:hAnsi="微软雅黑" w:eastAsia="微软雅黑"/>
          <w:color w:val="A31D1D"/>
          <w:sz w:val="21"/>
        </w:rPr>
        <w:t>FOR UPDATE</w:t>
      </w:r>
      <w:r>
        <w:rPr>
          <w:rFonts w:ascii="微软雅黑" w:hAnsi="微软雅黑" w:eastAsia="微软雅黑"/>
          <w:sz w:val="21"/>
        </w:rPr>
        <w:t xml:space="preserve"> 行锁 + 含删除记录的最大值口径，20 并发实测无重号。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性能优化有据</w:t>
      </w:r>
      <w:r>
        <w:rPr>
          <w:rFonts w:ascii="微软雅黑" w:hAnsi="微软雅黑" w:eastAsia="微软雅黑"/>
          <w:sz w:val="21"/>
        </w:rPr>
        <w:t>：自建权限缓存替代每次鉴权查库，授权变更主动失效，兼顾性能与权限实时性。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低风险架构演进</w:t>
      </w:r>
      <w:r>
        <w:rPr>
          <w:rFonts w:ascii="微软雅黑" w:hAnsi="微软雅黑" w:eastAsia="微软雅黑"/>
          <w:sz w:val="21"/>
        </w:rPr>
        <w:t>：SPU/SKU 改造通过保持存量字段语义不变，实现 13 张业务表、58 处后端代码、23 个前端文件</w:t>
      </w:r>
      <w:r>
        <w:rPr>
          <w:rFonts w:ascii="微软雅黑" w:hAnsi="微软雅黑" w:eastAsia="微软雅黑"/>
          <w:b/>
          <w:sz w:val="21"/>
        </w:rPr>
        <w:t>零改动</w:t>
      </w:r>
      <w:r>
        <w:rPr>
          <w:rFonts w:ascii="微软雅黑" w:hAnsi="微软雅黑" w:eastAsia="微软雅黑"/>
          <w:sz w:val="21"/>
        </w:rPr>
        <w:t>升级。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横切能力复用</w:t>
      </w:r>
      <w:r>
        <w:rPr>
          <w:rFonts w:ascii="微软雅黑" w:hAnsi="微软雅黑" w:eastAsia="微软雅黑"/>
          <w:sz w:val="21"/>
        </w:rPr>
        <w:t xml:space="preserve">：编号生成、Excel 导入导出、操作日志三套能力下沉 </w:t>
      </w:r>
      <w:r>
        <w:rPr>
          <w:rFonts w:ascii="微软雅黑" w:hAnsi="微软雅黑" w:eastAsia="微软雅黑"/>
          <w:color w:val="A31D1D"/>
          <w:sz w:val="21"/>
        </w:rPr>
        <w:t>erp-common</w:t>
      </w:r>
      <w:r>
        <w:rPr>
          <w:rFonts w:ascii="微软雅黑" w:hAnsi="微软雅黑" w:eastAsia="微软雅黑"/>
          <w:sz w:val="21"/>
        </w:rPr>
        <w:t>，业务模块开箱即用。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/>
          <w:sz w:val="21"/>
        </w:rPr>
        <w:t>规范落地</w:t>
      </w:r>
      <w:r>
        <w:rPr>
          <w:rFonts w:ascii="微软雅黑" w:hAnsi="微软雅黑" w:eastAsia="微软雅黑"/>
          <w:sz w:val="21"/>
        </w:rPr>
        <w:t>：统一响应 / 异常 / 审计字段 / 幂等 SQL 脚本，全项目一致执行。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E79"/>
          <w:sz w:val="29"/>
        </w:rPr>
        <w:t>八、项目地址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代码仓库：</w:t>
      </w:r>
      <w:r>
        <w:rPr>
          <w:rFonts w:ascii="微软雅黑" w:hAnsi="微软雅黑" w:eastAsia="微软雅黑"/>
          <w:color w:val="A31D1D"/>
          <w:sz w:val="21"/>
        </w:rPr>
        <w:t>https://github.com/xianliangshu/erp-system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后端：</w:t>
      </w:r>
      <w:r>
        <w:rPr>
          <w:rFonts w:ascii="微软雅黑" w:hAnsi="微软雅黑" w:eastAsia="微软雅黑"/>
          <w:color w:val="A31D1D"/>
          <w:sz w:val="21"/>
        </w:rPr>
        <w:t>erp-system</w:t>
      </w:r>
      <w:r>
        <w:rPr>
          <w:rFonts w:ascii="微软雅黑" w:hAnsi="微软雅黑" w:eastAsia="微软雅黑"/>
          <w:sz w:val="21"/>
        </w:rPr>
        <w:t>（Maven 多模块，Spring Boot 3.5）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前端：</w:t>
      </w:r>
      <w:r>
        <w:rPr>
          <w:rFonts w:ascii="微软雅黑" w:hAnsi="微软雅黑" w:eastAsia="微软雅黑"/>
          <w:color w:val="A31D1D"/>
          <w:sz w:val="21"/>
        </w:rPr>
        <w:t>erp-adminPro</w:t>
      </w:r>
      <w:r>
        <w:rPr>
          <w:rFonts w:ascii="微软雅黑" w:hAnsi="微软雅黑" w:eastAsia="微软雅黑"/>
          <w:sz w:val="21"/>
        </w:rPr>
        <w:t>（React 19 + Vite + TypeScript + antd 5）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262626"/>
      <w:sz w:val="21"/>
      <w:rFonts w:eastAsia="微软雅黑" w:ascii="微软雅黑" w:hAnsi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