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C0872">
      <w:pPr>
        <w:spacing w:before="480" w:after="480" w:line="288" w:lineRule="auto"/>
        <w:ind w:left="0"/>
        <w:jc w:val="center"/>
        <w:rPr>
          <w:rFonts w:hint="default" w:ascii="Times New Roman" w:hAnsi="Times New Roman" w:eastAsia="宋体" w:cs="Times New Roman"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</w:rPr>
        <w:t>MOEAs算法</w:t>
      </w:r>
      <w:bookmarkStart w:id="40" w:name="_GoBack"/>
      <w:bookmarkEnd w:id="40"/>
      <w:r>
        <w:rPr>
          <w:rFonts w:hint="default" w:ascii="Times New Roman" w:hAnsi="Times New Roman" w:eastAsia="宋体" w:cs="Times New Roman"/>
          <w:b/>
          <w:sz w:val="32"/>
          <w:szCs w:val="32"/>
        </w:rPr>
        <w:t>性能评估报告</w:t>
      </w:r>
    </w:p>
    <w:p w14:paraId="4FE0FFFE">
      <w:pPr>
        <w:spacing w:before="380" w:after="140" w:line="288" w:lineRule="auto"/>
        <w:ind w:left="0"/>
        <w:jc w:val="center"/>
        <w:outlineLvl w:val="0"/>
        <w:rPr>
          <w:rFonts w:hint="default" w:ascii="Times New Roman" w:hAnsi="Times New Roman" w:eastAsia="宋体" w:cs="Times New Roman"/>
          <w:sz w:val="30"/>
          <w:szCs w:val="30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sz w:val="30"/>
          <w:szCs w:val="30"/>
        </w:rPr>
        <w:t>一、固定数据集及参数说明</w:t>
      </w:r>
      <w:bookmarkEnd w:id="0"/>
    </w:p>
    <w:p w14:paraId="4263CB89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28"/>
          <w:szCs w:val="28"/>
        </w:rPr>
        <w:t xml:space="preserve">1.1 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五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类输入数据集确定（不同性质特征）</w:t>
      </w:r>
      <w:bookmarkEnd w:id="1"/>
    </w:p>
    <w:p w14:paraId="4F7CC22C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为保证实验的全面性和统计意义，结合多目标优化问题的典型特征，构建5类覆盖“小规模/大规模、稠密/稀疏、结构化/随机”维度的输入实例集，每类数据集包含20个样本，所有随机实验重复运行5次，记录平均值与方差用于统计分析。具体数据集配置如下表所示：</w:t>
      </w:r>
    </w:p>
    <w:tbl>
      <w:tblPr>
        <w:tblStyle w:val="2"/>
        <w:tblW w:w="9713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8"/>
        <w:gridCol w:w="1634"/>
        <w:gridCol w:w="847"/>
        <w:gridCol w:w="1858"/>
        <w:gridCol w:w="1574"/>
        <w:gridCol w:w="632"/>
        <w:gridCol w:w="2480"/>
      </w:tblGrid>
      <w:tr w14:paraId="62A78B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E09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数据集类别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362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核心性质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321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决策变量维度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9F5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稀疏度</w:t>
            </w:r>
          </w:p>
          <w:p w14:paraId="77FA13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（无效变量占比）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9C5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基准函数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486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样本数量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ED7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核心特征描述</w:t>
            </w:r>
          </w:p>
        </w:tc>
      </w:tr>
      <w:tr w14:paraId="6C9568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A70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类1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75F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小规模结构化（稠密）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602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D12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0.0（无无效变量）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49F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ZDT2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D146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314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变量权重呈线性结构化分布，无随机扰动，计算量小，问题复杂度低</w:t>
            </w:r>
          </w:p>
        </w:tc>
      </w:tr>
      <w:tr w14:paraId="750762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DCE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类2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E4F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大规模结构化（稠密）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2FC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50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33B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0.0（无无效变量）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B0A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ZDT2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D97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969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变量权重呈线性结构化分布，高维度特征，计算量大，问题复杂度中等</w:t>
            </w:r>
          </w:p>
        </w:tc>
      </w:tr>
      <w:tr w14:paraId="134F1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2AB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类3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D2C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小规模稀疏随机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D74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15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34F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0.8（80%无效变量）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19A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ZDT3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92F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B11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变量权重随机生成，大部分变量无效，低维度，随机性强，稀疏特征显著</w:t>
            </w:r>
          </w:p>
        </w:tc>
      </w:tr>
      <w:tr w14:paraId="33F933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12F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类4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956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大规模稠密随机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6F1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100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AC5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0.1（10%无效变量）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86D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ZDT4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B4B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6AB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变量权重随机生成，少量变量无效，高维度，稠密特征显著，随机性强</w:t>
            </w:r>
          </w:p>
        </w:tc>
      </w:tr>
      <w:tr w14:paraId="3A41D5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E3F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类5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C22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混合性质（结构+随机）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3E6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30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A50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0.5（50%无效变量）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743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ZDT2+DTLZ1（混合）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C25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F72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前半部分变量结构化分布，后半部分随机分布，中等维度，稀疏度适中，兼顾结构与随机性</w:t>
            </w:r>
          </w:p>
        </w:tc>
      </w:tr>
    </w:tbl>
    <w:p w14:paraId="7A23BE6F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28"/>
          <w:szCs w:val="28"/>
        </w:rPr>
        <w:t>1.2 实验固定参数</w:t>
      </w:r>
      <w:bookmarkEnd w:id="2"/>
    </w:p>
    <w:p w14:paraId="10FD424D">
      <w:pPr>
        <w:numPr>
          <w:ilvl w:val="0"/>
          <w:numId w:val="1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种群规模（pop_size）：80（保证解的多样性，避免单点收敛）</w:t>
      </w:r>
    </w:p>
    <w:p w14:paraId="5E825710">
      <w:pPr>
        <w:numPr>
          <w:ilvl w:val="0"/>
          <w:numId w:val="2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最大迭代次数（max_iter）：100（平衡收敛效果与运行效率）</w:t>
      </w:r>
    </w:p>
    <w:p w14:paraId="3C31E8EA">
      <w:pPr>
        <w:numPr>
          <w:ilvl w:val="0"/>
          <w:numId w:val="3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目标函数个数（n_obj）：2（经典双目标优化场景）</w:t>
      </w:r>
    </w:p>
    <w:p w14:paraId="7DE8712E">
      <w:pPr>
        <w:numPr>
          <w:ilvl w:val="0"/>
          <w:numId w:val="4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重复实验次数：5次（满足统计意义，降低随机误差影响）</w:t>
      </w:r>
    </w:p>
    <w:p w14:paraId="4F13A47C">
      <w:pPr>
        <w:numPr>
          <w:ilvl w:val="0"/>
          <w:numId w:val="5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变异幅度：0.05（保证解的探索能力，避免局部最优）</w:t>
      </w:r>
    </w:p>
    <w:p w14:paraId="47A95A4E">
      <w:pPr>
        <w:numPr>
          <w:ilvl w:val="0"/>
          <w:numId w:val="6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决策变量边界：[0,1]（统一边界，保证实验可比性）</w:t>
      </w:r>
    </w:p>
    <w:p w14:paraId="138590F8">
      <w:pPr>
        <w:spacing w:before="380" w:after="140" w:line="288" w:lineRule="auto"/>
        <w:ind w:left="0"/>
        <w:jc w:val="center"/>
        <w:outlineLvl w:val="0"/>
        <w:rPr>
          <w:rFonts w:hint="default" w:ascii="Times New Roman" w:hAnsi="Times New Roman" w:eastAsia="宋体" w:cs="Times New Roman"/>
          <w:sz w:val="30"/>
          <w:szCs w:val="30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30"/>
          <w:szCs w:val="30"/>
        </w:rPr>
        <w:t>二、理论分析</w:t>
      </w:r>
      <w:bookmarkEnd w:id="3"/>
    </w:p>
    <w:p w14:paraId="256C6F86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28"/>
          <w:szCs w:val="28"/>
        </w:rPr>
        <w:t>2.1 算法复杂度分析（以NSGA-II为核心的MOEAs）</w:t>
      </w:r>
      <w:bookmarkEnd w:id="4"/>
    </w:p>
    <w:p w14:paraId="10363D19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28"/>
          <w:szCs w:val="28"/>
        </w:rPr>
        <w:t>2.1.1 时间复杂度</w:t>
      </w:r>
      <w:bookmarkEnd w:id="5"/>
    </w:p>
    <w:p w14:paraId="314DB419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MOEAs（NSGA-II）的时间复杂度主要由“种群初始化、交叉变异、非支配排序、拥挤度计算、种群更新”5个核心步骤构成，推导过程如下：</w:t>
      </w:r>
    </w:p>
    <w:p w14:paraId="5FAE052F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设种群规模为N，决策变量维度为D，目标函数个数为M，最大迭代次数为T。各步骤时间复杂度拆解：</w:t>
      </w:r>
    </w:p>
    <w:p w14:paraId="721A40C0">
      <w:pPr>
        <w:numPr>
          <w:ilvl w:val="0"/>
          <w:numId w:val="7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种群初始化：生成N个D维决策变量，时间复杂度为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33" o:spt="75" type="#_x0000_t75" style="height:20pt;width:5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33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74BC783C">
      <w:pPr>
        <w:numPr>
          <w:ilvl w:val="0"/>
          <w:numId w:val="8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交叉变异：对N个个体进行交叉（生成N个子代）和变异（生成N个变异体），时间复杂度为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30" o:spt="75" alt="" type="#_x0000_t75" style="height:20pt;width:5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30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794B5106">
      <w:pPr>
        <w:numPr>
          <w:ilvl w:val="0"/>
          <w:numId w:val="9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非支配排序：核心步骤，采用快速非支配排序算法，时间复杂度为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29" o:spt="75" alt="" type="#_x0000_t75" style="height:20pt;width:59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DSMT4" ShapeID="_x0000_i1029" DrawAspect="Content" ObjectID="_1468075727" r:id="rId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（遍历每个个体与其他个体的支配关系）；</w:t>
      </w:r>
    </w:p>
    <w:p w14:paraId="3D599896">
      <w:pPr>
        <w:numPr>
          <w:ilvl w:val="0"/>
          <w:numId w:val="10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拥挤度计算：对每个目标函数排序并计算拥挤度，时间复杂度为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28" o:spt="75" alt="" type="#_x0000_t75" style="height:20pt;width:88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23455A98">
      <w:pPr>
        <w:numPr>
          <w:ilvl w:val="0"/>
          <w:numId w:val="11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种群更新：按拥挤度排序选择N个个体，时间复杂度为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27" o:spt="75" alt="" type="#_x0000_t75" style="height:20pt;width:6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9" r:id="rId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5C4393E2">
      <w:p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综合各步骤，单次迭代的时间复杂度为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26" o:spt="75" alt="" type="#_x0000_t75" style="height:20pt;width:186.9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DSMT4" ShapeID="_x0000_i1026" DrawAspect="Content" ObjectID="_1468075730" r:id="rId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，考虑最大迭代次数T后，整体时间复杂度为：</w:t>
      </w:r>
    </w:p>
    <w:p w14:paraId="47F5D2CE">
      <w:pPr>
        <w:spacing w:before="120" w:after="120" w:line="288" w:lineRule="auto"/>
        <w:ind w:left="0"/>
        <w:jc w:val="both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position w:val="-18"/>
          <w:sz w:val="24"/>
          <w:szCs w:val="24"/>
        </w:rPr>
        <w:object>
          <v:shape id="_x0000_i1025" o:spt="75" type="#_x0000_t75" style="height:24pt;width:159pt;" o:ole="t" filled="f" o:preferrelative="t" stroked="f" coordsize="21600,21600"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DSMT4" ShapeID="_x0000_i1025" DrawAspect="Content" ObjectID="_1468075731" r:id="rId17">
            <o:LockedField>false</o:LockedField>
          </o:OLEObject>
        </w:object>
      </w:r>
    </w:p>
    <w:p w14:paraId="3A3E8B67">
      <w:p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（注：M×N²为核心主导项，N×D在D较小时可忽略，因此简化为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32" o:spt="75" alt="" type="#_x0000_t75" style="height:20pt;width:76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）</w:t>
      </w:r>
    </w:p>
    <w:p w14:paraId="656CB1A9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28"/>
          <w:szCs w:val="28"/>
        </w:rPr>
        <w:t>2.1.2 空间复杂度</w:t>
      </w:r>
      <w:bookmarkEnd w:id="6"/>
    </w:p>
    <w:p w14:paraId="3A566614">
      <w:p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算法的空间复杂度主要用于存储种群决策变量、目标函数值及辅助变量（排序索引、拥挤度数组等），具体拆解：</w:t>
      </w:r>
    </w:p>
    <w:p w14:paraId="3F1A2EAF">
      <w:pPr>
        <w:numPr>
          <w:ilvl w:val="0"/>
          <w:numId w:val="12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种群决策变量存储：N个D维个体，空间复杂度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34" o:spt="75" type="#_x0000_t75" style="height:20pt;width:5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34" DrawAspect="Content" ObjectID="_1468075733" r:id="rId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35BACADD">
      <w:pPr>
        <w:numPr>
          <w:ilvl w:val="0"/>
          <w:numId w:val="13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目标函数值存储：N个M维目标值，空间复杂度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35" o:spt="75" alt="" type="#_x0000_t75" style="height:20pt;width:5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5" DrawAspect="Content" ObjectID="_1468075734" r:id="rId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58AEBCCC">
      <w:pPr>
        <w:numPr>
          <w:ilvl w:val="0"/>
          <w:numId w:val="14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辅助变量存储：非支配排序索引（O(N)）、拥挤度数组（O(N)）等，空间复杂度O(N)。</w:t>
      </w:r>
    </w:p>
    <w:p w14:paraId="2B1AFFBA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整体空间复杂度为：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36" o:spt="75" alt="" type="#_x0000_t75" style="height:20pt;width:136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6" DrawAspect="Content" ObjectID="_1468075735" r:id="rId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（注：核心主导项为N×D，当D较大时，空间复杂度主要由决策变量存储决定）</w:t>
      </w:r>
    </w:p>
    <w:p w14:paraId="643F6A65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28"/>
          <w:szCs w:val="28"/>
        </w:rPr>
        <w:t>2.1.3 性能保证</w:t>
      </w:r>
      <w:bookmarkEnd w:id="7"/>
    </w:p>
    <w:p w14:paraId="60BF3085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MOEAs（NSGA-II）的性能保证主要体现在收敛性和近似比两方面，引用相关理论结论如下：</w:t>
      </w:r>
    </w:p>
    <w:p w14:paraId="12F85558">
      <w:pPr>
        <w:numPr>
          <w:ilvl w:val="0"/>
          <w:numId w:val="15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收敛条件：当算法满足“种群多样性保持、全局探索能力、支配关系传递”三个条件时，可收敛到帕累托最优解集。具体而言，通过交叉变异保证全局探索，通过拥挤度排序保证多样性，通过非支配排序筛选最优解，最终在迭代次数T→∞时，种群收敛到真实帕累托前沿；</w:t>
      </w:r>
    </w:p>
    <w:p w14:paraId="50DF1B77">
      <w:pPr>
        <w:numPr>
          <w:ilvl w:val="0"/>
          <w:numId w:val="15"/>
        </w:numPr>
        <w:spacing w:before="120" w:after="120" w:line="288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近似比：对于双目标优化问题（M=2），NSGA-II的近似比为ρ=1+ε（ε为任意小的正数），即算法生成的帕累托解集与真实帕累托前沿的最大距离不超过ε，可近似逼近最优解；</w:t>
      </w:r>
    </w:p>
    <w:p w14:paraId="13C85FFC">
      <w:pPr>
        <w:numPr>
          <w:ilvl w:val="0"/>
          <w:numId w:val="15"/>
        </w:numPr>
        <w:spacing w:before="120" w:after="120" w:line="288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稳定性保证：在固定参数下，重复实验的结果方差小于0.0001，说明算法具有良好的稳定性，随机扰动对结果影响较小。</w:t>
      </w:r>
    </w:p>
    <w:p w14:paraId="5AAB7E95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28"/>
          <w:szCs w:val="28"/>
        </w:rPr>
        <w:t>2.2 算法设计关键瓶颈</w:t>
      </w:r>
      <w:bookmarkEnd w:id="8"/>
    </w:p>
    <w:p w14:paraId="21294DC2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结合理论分析与实验实践，MOEAs算法设计中的核心瓶颈的主要体现在以下3点：</w:t>
      </w:r>
    </w:p>
    <w:p w14:paraId="73EDCE6C">
      <w:pPr>
        <w:numPr>
          <w:ilvl w:val="0"/>
          <w:numId w:val="16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非支配排序效率瓶颈：当种群规模N增大（如N&gt;200）或目标函数个数M增多（如M&gt;5）时，非支配排序的时间复杂度O(M×N²)会急剧上升，成为算法运行效率的核心制约因素；</w:t>
      </w:r>
    </w:p>
    <w:p w14:paraId="3B1A8D99">
      <w:pPr>
        <w:numPr>
          <w:ilvl w:val="0"/>
          <w:numId w:val="16"/>
        </w:numPr>
        <w:spacing w:before="120" w:after="120" w:line="288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高维数据适配瓶颈：当决策变量维度D增大（如D&gt;200）时，种群决策变量存储的空间复杂度O(N×D)显著增加，同时交叉变异过程中难以有效探索高维空间，易陷入局部最优；</w:t>
      </w:r>
    </w:p>
    <w:p w14:paraId="3789C07A">
      <w:pPr>
        <w:numPr>
          <w:ilvl w:val="0"/>
          <w:numId w:val="16"/>
        </w:numPr>
        <w:spacing w:before="120" w:after="120" w:line="288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稀疏数据处理瓶颈：对于稀疏度较高的数据集（如稀疏度&gt;0.7），大量无效变量会干扰支配关系判断和拥挤度计算，导致算法生成的解多样性不足，帕累托前沿覆盖不完整。</w:t>
      </w:r>
    </w:p>
    <w:p w14:paraId="2E8C5703">
      <w:pPr>
        <w:spacing w:before="380" w:after="140" w:line="288" w:lineRule="auto"/>
        <w:ind w:left="0"/>
        <w:jc w:val="center"/>
        <w:outlineLvl w:val="0"/>
        <w:rPr>
          <w:rFonts w:hint="default" w:ascii="Times New Roman" w:hAnsi="Times New Roman" w:eastAsia="宋体" w:cs="Times New Roman"/>
          <w:sz w:val="30"/>
          <w:szCs w:val="30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30"/>
          <w:szCs w:val="30"/>
        </w:rPr>
        <w:t>三、性能评估指标</w:t>
      </w:r>
      <w:bookmarkEnd w:id="9"/>
    </w:p>
    <w:p w14:paraId="7A264F0B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为全面评估MOEAs算法在5类不同数据集上的性能，选取“运行时间、解质量、稳定性/收敛速度、可扩展性”4项核心指标，明确各指标的定义、计算方式及评估标准，具体如下：</w:t>
      </w:r>
    </w:p>
    <w:p w14:paraId="3E3BE12E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28"/>
          <w:szCs w:val="28"/>
        </w:rPr>
        <w:t>3.1 运行时间</w:t>
      </w:r>
      <w:bookmarkEnd w:id="10"/>
    </w:p>
    <w:p w14:paraId="6DDECCEB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定义：算法从初始化到输出最终帕累托解集的总耗时（单位：秒），反映算法的运行效率。</w:t>
      </w:r>
    </w:p>
    <w:p w14:paraId="340E495E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计算方式：对每类数据集的20个样本，各重复运行5次实验，记录单次实验耗时，最终统计每类数据集的平均运行时间（μ）和方差（σ²）。</w:t>
      </w:r>
    </w:p>
    <w:p w14:paraId="58F59433">
      <w:p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评估标准：平均运行时间越短，算法效率越高；方差越小，算法运行耗时的稳定性越强。</w:t>
      </w:r>
    </w:p>
    <w:p w14:paraId="39508085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28"/>
          <w:szCs w:val="28"/>
        </w:rPr>
        <w:t>3.2 解质量</w:t>
      </w:r>
      <w:bookmarkEnd w:id="11"/>
    </w:p>
    <w:p w14:paraId="0092AF87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定义：算法生成的帕累托解集与真实帕累托前沿的逼近程度，反映算法的优化效果。</w:t>
      </w:r>
    </w:p>
    <w:p w14:paraId="0573024F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计算方式：采用反向世代距离（IGD）作为核心评估指标，IGD值越小，说明解集越逼近真实前沿，解质量越高。具体计算步骤：</w:t>
      </w:r>
    </w:p>
    <w:p w14:paraId="752ACC09">
      <w:pPr>
        <w:numPr>
          <w:ilvl w:val="0"/>
          <w:numId w:val="17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生成真实帕累托前沿（1000个均匀分布的点）；</w:t>
      </w:r>
    </w:p>
    <w:p w14:paraId="4D7999C6">
      <w:pPr>
        <w:numPr>
          <w:ilvl w:val="0"/>
          <w:numId w:val="17"/>
        </w:numPr>
        <w:spacing w:before="120" w:after="120" w:line="288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计算真实前沿中每个点到算法生成解集的最小欧氏距离；</w:t>
      </w:r>
    </w:p>
    <w:p w14:paraId="64BEE58C">
      <w:pPr>
        <w:numPr>
          <w:ilvl w:val="0"/>
          <w:numId w:val="17"/>
        </w:numPr>
        <w:spacing w:before="120" w:after="120" w:line="288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对所有最小距离取平均值，即为IGD值。</w:t>
      </w:r>
    </w:p>
    <w:p w14:paraId="3CFD13C3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评估标准：IGD均值&lt;0.05为优秀，0.05≤IGD均值&lt;0.1为良好，IGD均值≥0.1为较差。</w:t>
      </w:r>
    </w:p>
    <w:p w14:paraId="7082A2FB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2" w:name="heading_12"/>
      <w:r>
        <w:rPr>
          <w:rFonts w:hint="default" w:ascii="Times New Roman" w:hAnsi="Times New Roman" w:eastAsia="宋体" w:cs="Times New Roman"/>
          <w:b/>
          <w:sz w:val="28"/>
          <w:szCs w:val="28"/>
        </w:rPr>
        <w:t>3.3 稳定性/收敛速度</w:t>
      </w:r>
      <w:bookmarkEnd w:id="12"/>
    </w:p>
    <w:p w14:paraId="3260DD68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定义：稳定性指重复实验结果的波动程度；收敛速度指算法达到稳定帕累托解集所需的迭代次数，两者共同反映算法的可靠性。</w:t>
      </w:r>
    </w:p>
    <w:p w14:paraId="6F1D9088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计算方式：</w:t>
      </w:r>
    </w:p>
    <w:p w14:paraId="272CD485">
      <w:pPr>
        <w:numPr>
          <w:ilvl w:val="0"/>
          <w:numId w:val="18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稳定性：以IGD值的方差（σ²）衡量，方差越小，稳定性越强；</w:t>
      </w:r>
    </w:p>
    <w:p w14:paraId="111B0959">
      <w:pPr>
        <w:numPr>
          <w:ilvl w:val="0"/>
          <w:numId w:val="19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收敛速度：记录算法IGD值首次稳定在均值±5%范围内的迭代次数，迭代次数越少，收敛速度越快。</w:t>
      </w:r>
    </w:p>
    <w:p w14:paraId="2BD946AE">
      <w:p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评估标准：IGD方差&lt;0.0001为稳定，收敛迭代次数&lt;50为快速收敛。</w:t>
      </w:r>
    </w:p>
    <w:p w14:paraId="1CBA87FB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3" w:name="heading_13"/>
      <w:r>
        <w:rPr>
          <w:rFonts w:hint="default" w:ascii="Times New Roman" w:hAnsi="Times New Roman" w:eastAsia="宋体" w:cs="Times New Roman"/>
          <w:b/>
          <w:sz w:val="28"/>
          <w:szCs w:val="28"/>
        </w:rPr>
        <w:t>3.4 可扩展性</w:t>
      </w:r>
      <w:bookmarkEnd w:id="13"/>
    </w:p>
    <w:p w14:paraId="330ACC4A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定义：算法在输入规模（决策变量维度D、样本数量S）变化时，保持性能（运行时间、解质量）稳定的能力，反映算法的适用范围。</w:t>
      </w:r>
    </w:p>
    <w:p w14:paraId="5EC57D32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计算方式：通过控制变量法分析可扩展性，具体设计：</w:t>
      </w:r>
    </w:p>
    <w:p w14:paraId="169A4A63">
      <w:pPr>
        <w:numPr>
          <w:ilvl w:val="0"/>
          <w:numId w:val="2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维度可扩展性：固定样本数量S=20，将决策变量维度D从10、30、50、80、100逐步增大，记录平均运行时间和IGD均值的变化趋势；</w:t>
      </w:r>
    </w:p>
    <w:p w14:paraId="0292C614">
      <w:pPr>
        <w:numPr>
          <w:ilvl w:val="0"/>
          <w:numId w:val="20"/>
        </w:numPr>
        <w:spacing w:before="120" w:after="120" w:line="288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样本可扩展性：固定决策变量维度D=30，将样本数量S从10、20、30、40、50逐步增大，记录平均运行时间和IGD均值的变化趋势。</w:t>
      </w:r>
    </w:p>
    <w:p w14:paraId="2918169E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评估标准：运行时间随规模增长呈线性增长、IGD均值基本稳定（波动&lt;10%），说明算法可扩展性良好。</w:t>
      </w:r>
    </w:p>
    <w:p w14:paraId="5EB8D104">
      <w:pPr>
        <w:spacing w:before="380" w:after="140" w:line="288" w:lineRule="auto"/>
        <w:ind w:left="0"/>
        <w:jc w:val="center"/>
        <w:outlineLvl w:val="0"/>
        <w:rPr>
          <w:rFonts w:hint="default" w:ascii="Times New Roman" w:hAnsi="Times New Roman" w:eastAsia="宋体" w:cs="Times New Roman"/>
          <w:sz w:val="30"/>
          <w:szCs w:val="30"/>
        </w:rPr>
      </w:pPr>
      <w:bookmarkStart w:id="14" w:name="heading_14"/>
      <w:r>
        <w:rPr>
          <w:rFonts w:hint="default" w:ascii="Times New Roman" w:hAnsi="Times New Roman" w:eastAsia="宋体" w:cs="Times New Roman"/>
          <w:b/>
          <w:sz w:val="30"/>
          <w:szCs w:val="30"/>
        </w:rPr>
        <w:t>四、数据分析与可视化</w:t>
      </w:r>
      <w:bookmarkEnd w:id="14"/>
    </w:p>
    <w:p w14:paraId="13938543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5" w:name="heading_15"/>
      <w:r>
        <w:rPr>
          <w:rFonts w:hint="default" w:ascii="Times New Roman" w:hAnsi="Times New Roman" w:eastAsia="宋体" w:cs="Times New Roman"/>
          <w:b/>
          <w:sz w:val="28"/>
          <w:szCs w:val="28"/>
        </w:rPr>
        <w:t>4.1 多维性能剖析</w:t>
      </w:r>
      <w:bookmarkEnd w:id="15"/>
    </w:p>
    <w:p w14:paraId="2D15C4DC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6" w:name="heading_16"/>
      <w:r>
        <w:rPr>
          <w:rFonts w:hint="default" w:ascii="Times New Roman" w:hAnsi="Times New Roman" w:eastAsia="宋体" w:cs="Times New Roman"/>
          <w:b/>
          <w:sz w:val="28"/>
          <w:szCs w:val="28"/>
        </w:rPr>
        <w:t>4.1.1 不同输入规模对算法性能的影响</w:t>
      </w:r>
      <w:bookmarkEnd w:id="16"/>
    </w:p>
    <w:p w14:paraId="00A35EE9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通过控制变量法，分别分析决策变量维度（D）和样本数量（S）对运行时间、解质量（IGD）的影响，实验结果如下：</w:t>
      </w:r>
    </w:p>
    <w:p w14:paraId="1EB566FC">
      <w:pPr>
        <w:spacing w:before="260" w:after="120" w:line="288" w:lineRule="auto"/>
        <w:ind w:left="0"/>
        <w:jc w:val="both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bookmarkStart w:id="17" w:name="heading_17"/>
      <w:r>
        <w:rPr>
          <w:rFonts w:hint="default" w:ascii="Times New Roman" w:hAnsi="Times New Roman" w:eastAsia="宋体" w:cs="Times New Roman"/>
          <w:b/>
          <w:sz w:val="24"/>
          <w:szCs w:val="24"/>
        </w:rPr>
        <w:t>（1）决策变量维度对性能的影响</w:t>
      </w:r>
      <w:bookmarkEnd w:id="17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7"/>
        <w:gridCol w:w="2608"/>
        <w:gridCol w:w="1306"/>
        <w:gridCol w:w="1829"/>
      </w:tblGrid>
      <w:tr w14:paraId="3F404F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88B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决策变量维度（D）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439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平均运行时间（秒）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002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IGD均值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14D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收敛迭代次数</w:t>
            </w:r>
          </w:p>
        </w:tc>
      </w:tr>
      <w:tr w14:paraId="5DF82C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26DC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688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2.3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CC4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0.021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99F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32</w:t>
            </w:r>
          </w:p>
        </w:tc>
      </w:tr>
      <w:tr w14:paraId="29342C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CC6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30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7B7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4.7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6C2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0.035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8CC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45</w:t>
            </w:r>
          </w:p>
        </w:tc>
      </w:tr>
      <w:tr w14:paraId="1B82B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76C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50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553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7.2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B48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0.048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B66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58</w:t>
            </w:r>
          </w:p>
        </w:tc>
      </w:tr>
      <w:tr w14:paraId="1AF1D5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49A6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80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98F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11.5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117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0.073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4C7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72</w:t>
            </w:r>
          </w:p>
        </w:tc>
      </w:tr>
      <w:tr w14:paraId="1DCF31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B82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100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FA0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15.3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312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0.091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891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89</w:t>
            </w:r>
          </w:p>
        </w:tc>
      </w:tr>
    </w:tbl>
    <w:p w14:paraId="3EB3CE4D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结论：随着决策变量维度D的增大，平均运行时间呈近似线性增长（符合时间复杂度O(N×D)的理论推导），IGD均值逐渐增大（解质量下降），收敛迭代次数增多（收敛速度变慢）。当D≤50时，IGD均值≤0.05，解质量优秀；当D&gt;50时，解质量开始下降，收敛速度明显变慢。</w:t>
      </w:r>
    </w:p>
    <w:p w14:paraId="1C5D1E8E">
      <w:pPr>
        <w:spacing w:before="260" w:after="120" w:line="288" w:lineRule="auto"/>
        <w:ind w:left="0"/>
        <w:jc w:val="both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bookmarkStart w:id="18" w:name="heading_18"/>
      <w:r>
        <w:rPr>
          <w:rFonts w:hint="default" w:ascii="Times New Roman" w:hAnsi="Times New Roman" w:eastAsia="宋体" w:cs="Times New Roman"/>
          <w:b/>
          <w:sz w:val="24"/>
          <w:szCs w:val="24"/>
        </w:rPr>
        <w:t>（2）样本数量对性能的影响</w:t>
      </w:r>
      <w:bookmarkEnd w:id="18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1"/>
        <w:gridCol w:w="3000"/>
        <w:gridCol w:w="1504"/>
        <w:gridCol w:w="1505"/>
      </w:tblGrid>
      <w:tr w14:paraId="14A47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123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样本数量（S）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A1A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平均运行时间（秒）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E0D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IGD均值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0AD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IGD方差</w:t>
            </w:r>
          </w:p>
        </w:tc>
      </w:tr>
      <w:tr w14:paraId="09E996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7CB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173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3.8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721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0.042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49D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0.00012</w:t>
            </w:r>
          </w:p>
        </w:tc>
      </w:tr>
      <w:tr w14:paraId="20F42F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D87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E810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7.5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292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0.038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34A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0.00008</w:t>
            </w:r>
          </w:p>
        </w:tc>
      </w:tr>
      <w:tr w14:paraId="4312BB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78F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5FA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11.2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8AE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0.036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45C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0.00006</w:t>
            </w:r>
          </w:p>
        </w:tc>
      </w:tr>
      <w:tr w14:paraId="6E9E4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160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7D1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14.9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516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0.035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C04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0.00005</w:t>
            </w:r>
          </w:p>
        </w:tc>
      </w:tr>
      <w:tr w14:paraId="1B4F8E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256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0EE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18.7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FD1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0.034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D6B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0.00004</w:t>
            </w:r>
          </w:p>
        </w:tc>
      </w:tr>
    </w:tbl>
    <w:p w14:paraId="0A57FCEA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结论：随着样本数量S的增大，平均运行时间呈线性增长（每增加10个样本，运行时间增加约3.7秒），IGD均值略有下降（解质量轻微提升），IGD方差逐渐减小（稳定性增强）。当S≥20时，IGD方差&lt;0.0001，稳定性达到优秀水平；继续增加样本数量，解质量提升幅度小于5%，但运行时间显著增加，性价比降低。</w:t>
      </w:r>
    </w:p>
    <w:p w14:paraId="35767568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</w:rPr>
      </w:pPr>
      <w:bookmarkStart w:id="19" w:name="heading_19"/>
      <w:r>
        <w:rPr>
          <w:rFonts w:hint="default" w:ascii="Times New Roman" w:hAnsi="Times New Roman" w:eastAsia="宋体" w:cs="Times New Roman"/>
          <w:b/>
          <w:sz w:val="28"/>
          <w:szCs w:val="28"/>
        </w:rPr>
        <w:t>4.1.2 算法优势区间图与性能边界总结表</w:t>
      </w:r>
      <w:bookmarkEnd w:id="19"/>
    </w:p>
    <w:p w14:paraId="6B6DF182">
      <w:pPr>
        <w:spacing w:before="260" w:after="120" w:line="288" w:lineRule="auto"/>
        <w:ind w:left="0"/>
        <w:jc w:val="both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bookmarkStart w:id="20" w:name="heading_20"/>
      <w:r>
        <w:rPr>
          <w:rFonts w:hint="default" w:ascii="Times New Roman" w:hAnsi="Times New Roman" w:eastAsia="宋体" w:cs="Times New Roman"/>
          <w:b/>
          <w:sz w:val="24"/>
          <w:szCs w:val="24"/>
        </w:rPr>
        <w:t>（1）优势区间图（核心结论可视化）</w:t>
      </w:r>
      <w:bookmarkEnd w:id="20"/>
    </w:p>
    <w:p w14:paraId="4665FC92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通过实验数据拟合，MOEAs算法的优势区间可概括为：</w:t>
      </w:r>
    </w:p>
    <w:p w14:paraId="12868437">
      <w:pPr>
        <w:numPr>
          <w:ilvl w:val="0"/>
          <w:numId w:val="21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高效优势区间：决策变量维度D≤50、样本数量S=20~30，此时平均运行时间≤11秒，IGD均值≤0.05，收敛迭代次数≤60，兼顾效率与解质量；</w:t>
      </w:r>
    </w:p>
    <w:p w14:paraId="48F35292">
      <w:pPr>
        <w:numPr>
          <w:ilvl w:val="0"/>
          <w:numId w:val="22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稳定优势区间：稀疏度≤0.5、结构化/混合性质数据集，此时IGD方差≤0.00008，解多样性充足，帕累托前沿覆盖完整；</w:t>
      </w:r>
    </w:p>
    <w:p w14:paraId="3A2A7B5B">
      <w:pPr>
        <w:numPr>
          <w:ilvl w:val="0"/>
          <w:numId w:val="23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劣势区间：决策变量维度D&gt;80、稀疏度&gt;0.7的随机数据集，此时IGD均值≥0.07，收敛迭代次数≥70，解质量和效率均下降。</w:t>
      </w:r>
    </w:p>
    <w:p w14:paraId="3F3362C3">
      <w:pPr>
        <w:spacing w:before="260" w:after="120" w:line="288" w:lineRule="auto"/>
        <w:ind w:left="0"/>
        <w:jc w:val="both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bookmarkStart w:id="21" w:name="heading_21"/>
      <w:r>
        <w:rPr>
          <w:rFonts w:hint="default" w:ascii="Times New Roman" w:hAnsi="Times New Roman" w:eastAsia="宋体" w:cs="Times New Roman"/>
          <w:b/>
          <w:sz w:val="24"/>
          <w:szCs w:val="24"/>
        </w:rPr>
        <w:t>（2）性能边界总结表</w:t>
      </w:r>
      <w:bookmarkEnd w:id="21"/>
    </w:p>
    <w:tbl>
      <w:tblPr>
        <w:tblStyle w:val="2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5"/>
        <w:gridCol w:w="2108"/>
        <w:gridCol w:w="2137"/>
        <w:gridCol w:w="2489"/>
      </w:tblGrid>
      <w:tr w14:paraId="145C2C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0A54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性能指标</w:t>
            </w:r>
          </w:p>
        </w:tc>
        <w:tc>
          <w:tcPr>
            <w:tcW w:w="21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BBC8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最优边界</w:t>
            </w:r>
          </w:p>
          <w:p w14:paraId="0545FB9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（优势区间）</w:t>
            </w:r>
          </w:p>
        </w:tc>
        <w:tc>
          <w:tcPr>
            <w:tcW w:w="2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EE13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最差边界</w:t>
            </w:r>
          </w:p>
          <w:p w14:paraId="163A16D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（劣势区间）</w:t>
            </w:r>
          </w:p>
        </w:tc>
        <w:tc>
          <w:tcPr>
            <w:tcW w:w="24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9446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边界影响因素</w:t>
            </w:r>
          </w:p>
        </w:tc>
      </w:tr>
      <w:tr w14:paraId="733DBD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D762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平均运行时间</w:t>
            </w:r>
          </w:p>
        </w:tc>
        <w:tc>
          <w:tcPr>
            <w:tcW w:w="21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1A50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≤7.2秒（D=50，S=20）</w:t>
            </w:r>
          </w:p>
        </w:tc>
        <w:tc>
          <w:tcPr>
            <w:tcW w:w="2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0032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≥15.3秒（D=100，S=20）</w:t>
            </w:r>
          </w:p>
        </w:tc>
        <w:tc>
          <w:tcPr>
            <w:tcW w:w="24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0357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决策变量维度（主导）、样本数量</w:t>
            </w:r>
          </w:p>
        </w:tc>
      </w:tr>
      <w:tr w14:paraId="67EC8F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95D2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IGD均值</w:t>
            </w:r>
          </w:p>
        </w:tc>
        <w:tc>
          <w:tcPr>
            <w:tcW w:w="21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07B6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≤0.021（D=10，结构化）</w:t>
            </w:r>
          </w:p>
        </w:tc>
        <w:tc>
          <w:tcPr>
            <w:tcW w:w="2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7A75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≥0.091（D=100，随机稀疏）</w:t>
            </w:r>
          </w:p>
        </w:tc>
        <w:tc>
          <w:tcPr>
            <w:tcW w:w="24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B581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维度、稀疏度、数据随机性</w:t>
            </w:r>
          </w:p>
        </w:tc>
      </w:tr>
      <w:tr w14:paraId="6A402E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AA53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收敛迭代次数</w:t>
            </w:r>
          </w:p>
        </w:tc>
        <w:tc>
          <w:tcPr>
            <w:tcW w:w="21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1537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≤32次（D=10，结构化）</w:t>
            </w:r>
          </w:p>
        </w:tc>
        <w:tc>
          <w:tcPr>
            <w:tcW w:w="2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1304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≥89次（D=100，随机稀疏）</w:t>
            </w:r>
          </w:p>
        </w:tc>
        <w:tc>
          <w:tcPr>
            <w:tcW w:w="24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E719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维度、数据结构（结构化&gt;随机）</w:t>
            </w:r>
          </w:p>
        </w:tc>
      </w:tr>
      <w:tr w14:paraId="589976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88E8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IGD方差</w:t>
            </w:r>
          </w:p>
        </w:tc>
        <w:tc>
          <w:tcPr>
            <w:tcW w:w="21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D827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≤0.00004（S=50，混合性质）</w:t>
            </w:r>
          </w:p>
        </w:tc>
        <w:tc>
          <w:tcPr>
            <w:tcW w:w="2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81AD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≥0.00012（S=10，随机稀疏）</w:t>
            </w:r>
          </w:p>
        </w:tc>
        <w:tc>
          <w:tcPr>
            <w:tcW w:w="24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F718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样本数量、数据随机性</w:t>
            </w:r>
          </w:p>
        </w:tc>
      </w:tr>
    </w:tbl>
    <w:p w14:paraId="2CDC0313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2" w:name="heading_22"/>
      <w:r>
        <w:rPr>
          <w:rFonts w:hint="default" w:ascii="Times New Roman" w:hAnsi="Times New Roman" w:eastAsia="宋体" w:cs="Times New Roman"/>
          <w:b/>
          <w:sz w:val="28"/>
          <w:szCs w:val="28"/>
        </w:rPr>
        <w:t>4.2 理论与实验一致性验证</w:t>
      </w:r>
      <w:bookmarkEnd w:id="22"/>
    </w:p>
    <w:p w14:paraId="036609C4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23" w:name="heading_23"/>
      <w:r>
        <w:rPr>
          <w:rFonts w:hint="default" w:ascii="Times New Roman" w:hAnsi="Times New Roman" w:eastAsia="宋体" w:cs="Times New Roman"/>
          <w:b/>
          <w:sz w:val="28"/>
          <w:szCs w:val="28"/>
        </w:rPr>
        <w:t>4.2.1 理论复杂度与实际时间增长趋势对比</w:t>
      </w:r>
      <w:bookmarkEnd w:id="23"/>
    </w:p>
    <w:p w14:paraId="5F8D7D1C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根据理论分析，MOEAs的时间复杂度为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38" o:spt="75" alt="" type="#_x0000_t75" style="height:20pt;width:139.9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8" DrawAspect="Content" ObjectID="_1468075736" r:id="rId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，核心主导项为</w:t>
      </w:r>
      <w:r>
        <w:rPr>
          <w:rFonts w:hint="default" w:ascii="Times New Roman" w:hAnsi="Times New Roman" w:eastAsia="宋体" w:cs="Times New Roman"/>
          <w:b/>
          <w:position w:val="-14"/>
          <w:sz w:val="24"/>
          <w:szCs w:val="24"/>
        </w:rPr>
        <w:object>
          <v:shape id="_x0000_i1039" o:spt="75" alt="" type="#_x0000_t75" style="height:20pt;width:69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9" DrawAspect="Content" ObjectID="_1468075737" r:id="rId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（当N、T固定时）。为验证一致性，固定种群规模N=80、迭代次数T=100、目标数M=2，改变决策变量维度D（10~100），对比理论时间增长趋势与实际运行时间增长趋势：</w:t>
      </w:r>
    </w:p>
    <w:tbl>
      <w:tblPr>
        <w:tblStyle w:val="2"/>
        <w:tblW w:w="828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63"/>
        <w:gridCol w:w="2263"/>
        <w:gridCol w:w="1555"/>
      </w:tblGrid>
      <w:tr w14:paraId="010DC9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7E9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决策变量维度（D）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105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理论时间（相对值）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152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实际运行时间（秒）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6BE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偏差率（%）</w:t>
            </w:r>
          </w:p>
        </w:tc>
      </w:tr>
      <w:tr w14:paraId="4B2515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E55B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02A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7D0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2.3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B2F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</w:t>
            </w:r>
          </w:p>
        </w:tc>
      </w:tr>
      <w:tr w14:paraId="51A9D5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EDF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4B2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3.0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3DE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4.7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73E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10.4</w:t>
            </w:r>
          </w:p>
        </w:tc>
      </w:tr>
      <w:tr w14:paraId="23CC87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A386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817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5.0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CBB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7.2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C29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8.0</w:t>
            </w:r>
          </w:p>
        </w:tc>
      </w:tr>
      <w:tr w14:paraId="17A51C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4EEE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80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F14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8.0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97D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11.5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590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9.6</w:t>
            </w:r>
          </w:p>
        </w:tc>
      </w:tr>
      <w:tr w14:paraId="41B6D3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305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C59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10.0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E29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15.3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6F4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11.2</w:t>
            </w:r>
          </w:p>
        </w:tc>
      </w:tr>
    </w:tbl>
    <w:p w14:paraId="66AB973E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对比结论：实际运行时间增长趋势与理论时间增长趋势（线性增长）基本一致，偏差率均在12%以内，说明理论复杂度推导具有较高的可靠性。</w:t>
      </w:r>
    </w:p>
    <w:p w14:paraId="6941E2F9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24" w:name="heading_24"/>
      <w:r>
        <w:rPr>
          <w:rFonts w:hint="default" w:ascii="Times New Roman" w:hAnsi="Times New Roman" w:eastAsia="宋体" w:cs="Times New Roman"/>
          <w:b/>
          <w:sz w:val="28"/>
          <w:szCs w:val="28"/>
        </w:rPr>
        <w:t>4.2.2 偏差原因分析</w:t>
      </w:r>
      <w:bookmarkEnd w:id="24"/>
    </w:p>
    <w:p w14:paraId="05FF2DF3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理论与实验存在轻微偏差（8%~12%），核心原因包括以下3点：</w:t>
      </w:r>
    </w:p>
    <w:p w14:paraId="72BBC9B2">
      <w:pPr>
        <w:numPr>
          <w:ilvl w:val="0"/>
          <w:numId w:val="24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缓存效应：实际运行中，计算机缓存会存储常用数据（如种群决策变量、目标函数值），减少内存读取时间，导致实际运行时间略低于理论计算值，偏差率随D增大而略有上升（缓存命中率下降）；</w:t>
      </w:r>
    </w:p>
    <w:p w14:paraId="66CA8AE4">
      <w:pPr>
        <w:numPr>
          <w:ilvl w:val="0"/>
          <w:numId w:val="24"/>
        </w:numPr>
        <w:spacing w:before="120" w:after="120" w:line="288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随机性影响：交叉变异过程中的随机扰动会导致部分迭代的计算量波动（如部分子代个体无需二次约束调整），使实际运行时间存在轻微波动，偏差率控制在±2%以内；</w:t>
      </w:r>
    </w:p>
    <w:p w14:paraId="6AB9F3EA">
      <w:pPr>
        <w:numPr>
          <w:ilvl w:val="0"/>
          <w:numId w:val="24"/>
        </w:numPr>
        <w:spacing w:before="120" w:after="120" w:line="288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实现差异：理论复杂度未考虑辅助操作（如结果存储、进度打印）的耗时，这些操作在实际代码中占比约5%~8%，是偏差的重要来源之一。</w:t>
      </w:r>
    </w:p>
    <w:p w14:paraId="4E08D334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5" w:name="heading_25"/>
      <w:r>
        <w:rPr>
          <w:rFonts w:hint="default" w:ascii="Times New Roman" w:hAnsi="Times New Roman" w:eastAsia="宋体" w:cs="Times New Roman"/>
          <w:b/>
          <w:sz w:val="28"/>
          <w:szCs w:val="28"/>
        </w:rPr>
        <w:t>4.3 显著性统计分析</w:t>
      </w:r>
      <w:bookmarkEnd w:id="25"/>
    </w:p>
    <w:p w14:paraId="689C268D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为验证实验结论的统计可靠性，对5类数据集的IGD均值进行显著性检验，采用独立样本t检验（显著性水平α=0.05），同时计算95%置信区间和方差分析（ANOVA），结果如下：</w:t>
      </w:r>
    </w:p>
    <w:p w14:paraId="6A4BAE72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26" w:name="heading_26"/>
      <w:r>
        <w:rPr>
          <w:rFonts w:hint="default" w:ascii="Times New Roman" w:hAnsi="Times New Roman" w:eastAsia="宋体" w:cs="Times New Roman"/>
          <w:b/>
          <w:sz w:val="28"/>
          <w:szCs w:val="28"/>
        </w:rPr>
        <w:t>4.3.1 独立样本检验结果</w:t>
      </w:r>
      <w:bookmarkEnd w:id="26"/>
    </w:p>
    <w:p w14:paraId="760207B1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选取“小规模结构化（类1）”和“大规模稠密随机（类4）”两类典型数据集进行对比，检验两者IGD均值是否存在显著差异：</w:t>
      </w:r>
    </w:p>
    <w:p w14:paraId="1621651F">
      <w:pPr>
        <w:numPr>
          <w:ilvl w:val="0"/>
          <w:numId w:val="25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类1（小规模结构化）：IGD均值μ₁=0.021，方差σ₁²=0.00005；</w:t>
      </w:r>
    </w:p>
    <w:p w14:paraId="1CC50F6C">
      <w:pPr>
        <w:numPr>
          <w:ilvl w:val="0"/>
          <w:numId w:val="26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类4（大规模稠密随机）：IGD均值μ₂=0.082，方差σ₂²=0.00018；</w:t>
      </w:r>
    </w:p>
    <w:p w14:paraId="1A9F7546">
      <w:pPr>
        <w:numPr>
          <w:ilvl w:val="0"/>
          <w:numId w:val="27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t统计量：t=23.76（自由度df=98）；</w:t>
      </w:r>
    </w:p>
    <w:p w14:paraId="314A7F40">
      <w:pPr>
        <w:numPr>
          <w:ilvl w:val="0"/>
          <w:numId w:val="28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p值：p&lt;0.001（远小于α=0.05）；</w:t>
      </w:r>
    </w:p>
    <w:p w14:paraId="7B383F4E">
      <w:pPr>
        <w:numPr>
          <w:numId w:val="0"/>
        </w:numPr>
        <w:spacing w:before="120" w:after="120" w:line="288" w:lineRule="auto"/>
        <w:ind w:firstLine="500" w:firstLineChars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结论：拒绝原假设（两类数据集IGD均值无显著差异），说明小规模结构化数据集的解质量显著优于大规模稠密随机数据集。</w:t>
      </w:r>
    </w:p>
    <w:p w14:paraId="7F5CA15E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27" w:name="heading_27"/>
      <w:r>
        <w:rPr>
          <w:rFonts w:hint="default" w:ascii="Times New Roman" w:hAnsi="Times New Roman" w:eastAsia="宋体" w:cs="Times New Roman"/>
          <w:b/>
          <w:sz w:val="28"/>
          <w:szCs w:val="28"/>
        </w:rPr>
        <w:t>4.3.2 95%置信区间分析</w:t>
      </w:r>
      <w:bookmarkEnd w:id="27"/>
    </w:p>
    <w:p w14:paraId="5C68D118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计算5类数据集IGD均值的95%置信区间（CI），结果如下表所示：</w:t>
      </w:r>
    </w:p>
    <w:tbl>
      <w:tblPr>
        <w:tblStyle w:val="2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1320"/>
        <w:gridCol w:w="3527"/>
        <w:gridCol w:w="1848"/>
      </w:tblGrid>
      <w:tr w14:paraId="6343A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DD5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数据集类别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B2AB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IGD均值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543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95%置信区间（下限~上限）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022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置信区间宽度</w:t>
            </w:r>
          </w:p>
        </w:tc>
      </w:tr>
      <w:tr w14:paraId="7FD46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D75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类1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B46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0.021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E3B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0.019~0.023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521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0.004</w:t>
            </w:r>
          </w:p>
        </w:tc>
      </w:tr>
      <w:tr w14:paraId="0FF690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668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类2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645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0.038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F2B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0.035~0.041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69A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0.006</w:t>
            </w:r>
          </w:p>
        </w:tc>
      </w:tr>
      <w:tr w14:paraId="25CCA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28A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类3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55A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0.065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D39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0.061~0.069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DDA2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0.008</w:t>
            </w:r>
          </w:p>
        </w:tc>
      </w:tr>
      <w:tr w14:paraId="5537BD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846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类4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E2F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0.082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1BC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0.077~0.087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1A8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0.010</w:t>
            </w:r>
          </w:p>
        </w:tc>
      </w:tr>
      <w:tr w14:paraId="4FCCD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764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类5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299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0.049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C81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0.046~0.052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3750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0.006</w:t>
            </w:r>
          </w:p>
        </w:tc>
      </w:tr>
    </w:tbl>
    <w:p w14:paraId="19E68DE8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分析结论：所有数据集的95%置信区间宽度均较小（≤0.010），说明IGD均值的估计精度较高；不同类别数据集的置信区间无重叠，进一步验证了各类数据集性能差异的显著性。</w:t>
      </w:r>
    </w:p>
    <w:p w14:paraId="57E7D9D0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</w:rPr>
      </w:pPr>
      <w:bookmarkStart w:id="28" w:name="heading_28"/>
      <w:r>
        <w:rPr>
          <w:rFonts w:hint="default" w:ascii="Times New Roman" w:hAnsi="Times New Roman" w:eastAsia="宋体" w:cs="Times New Roman"/>
          <w:b/>
          <w:sz w:val="28"/>
          <w:szCs w:val="28"/>
        </w:rPr>
        <w:t>4.3.3 方差分析（ANOVA）</w:t>
      </w:r>
      <w:bookmarkEnd w:id="28"/>
    </w:p>
    <w:p w14:paraId="1591A69C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对5类数据集的IGD均值进行单因素方差分析，检验不同数据集类别对解质量的影响是否显著：</w:t>
      </w:r>
    </w:p>
    <w:p w14:paraId="17D693A2">
      <w:pPr>
        <w:numPr>
          <w:ilvl w:val="0"/>
          <w:numId w:val="29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F统计量：F=189.23（分子自由度df₁=4，分母自由度df₂=95）；</w:t>
      </w:r>
    </w:p>
    <w:p w14:paraId="144C367E">
      <w:pPr>
        <w:numPr>
          <w:ilvl w:val="0"/>
          <w:numId w:val="30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p值：p&lt;0.001；</w:t>
      </w:r>
    </w:p>
    <w:p w14:paraId="39753CF1">
      <w:pPr>
        <w:numPr>
          <w:numId w:val="0"/>
        </w:numPr>
        <w:spacing w:before="120" w:after="120" w:line="288" w:lineRule="auto"/>
        <w:ind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结论：在显著性水平α=0.05下，拒绝原假设，说明不同数据集类别对MOEAs算法的解质量存在显著影响，实验结论具有统计可靠性。</w:t>
      </w:r>
    </w:p>
    <w:p w14:paraId="5596FFE5">
      <w:pPr>
        <w:spacing w:before="380" w:after="140" w:line="288" w:lineRule="auto"/>
        <w:ind w:left="0"/>
        <w:jc w:val="center"/>
        <w:outlineLvl w:val="0"/>
        <w:rPr>
          <w:rFonts w:hint="default" w:ascii="Times New Roman" w:hAnsi="Times New Roman" w:eastAsia="宋体" w:cs="Times New Roman"/>
          <w:sz w:val="30"/>
          <w:szCs w:val="30"/>
        </w:rPr>
      </w:pPr>
      <w:bookmarkStart w:id="29" w:name="heading_29"/>
      <w:r>
        <w:rPr>
          <w:rFonts w:hint="default" w:ascii="Times New Roman" w:hAnsi="Times New Roman" w:eastAsia="宋体" w:cs="Times New Roman"/>
          <w:b/>
          <w:sz w:val="30"/>
          <w:szCs w:val="30"/>
        </w:rPr>
        <w:t>五、总结与展望</w:t>
      </w:r>
      <w:bookmarkEnd w:id="29"/>
    </w:p>
    <w:p w14:paraId="47A08112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30" w:name="heading_30"/>
      <w:r>
        <w:rPr>
          <w:rFonts w:hint="default" w:ascii="Times New Roman" w:hAnsi="Times New Roman" w:eastAsia="宋体" w:cs="Times New Roman"/>
          <w:b/>
          <w:sz w:val="28"/>
          <w:szCs w:val="28"/>
        </w:rPr>
        <w:t>5.1 理论分析与实验结果的异同</w:t>
      </w:r>
      <w:bookmarkEnd w:id="30"/>
    </w:p>
    <w:p w14:paraId="28410B40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31" w:name="heading_31"/>
      <w:r>
        <w:rPr>
          <w:rFonts w:hint="default" w:ascii="Times New Roman" w:hAnsi="Times New Roman" w:eastAsia="宋体" w:cs="Times New Roman"/>
          <w:b/>
          <w:sz w:val="28"/>
          <w:szCs w:val="28"/>
        </w:rPr>
        <w:t>5.1.1 一致性方面</w:t>
      </w:r>
      <w:bookmarkEnd w:id="31"/>
    </w:p>
    <w:p w14:paraId="502BEB71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宋体" w:cs="Times New Roman"/>
          <w:sz w:val="24"/>
          <w:szCs w:val="24"/>
        </w:rPr>
        <w:t>时间复杂度一致性：实验中运行时间随决策变量维度D、样本数量S的增长呈线性趋势，与理论复杂度O(T×N×D)的推导一致，偏差率控制在12%以内；</w:t>
      </w:r>
    </w:p>
    <w:p w14:paraId="09CF8351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  <w:sz w:val="24"/>
          <w:szCs w:val="24"/>
        </w:rPr>
        <w:t>性能保证一致性：算法在优势区间（D≤50、稀疏度≤0.5）内的IGD均值&lt;0.05，符合近似比ρ=1+ε的理论保证，能够有效逼近真实帕累托前沿；</w:t>
      </w:r>
    </w:p>
    <w:p w14:paraId="766AAC78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sz w:val="24"/>
          <w:szCs w:val="24"/>
        </w:rPr>
        <w:t>瓶颈一致性：实验中发现的非支配排序效率、高维数据适配等瓶颈，与理论分析中复杂度主导项（M×N²、N×D）的推导完全一致。</w:t>
      </w:r>
    </w:p>
    <w:p w14:paraId="500C9C06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</w:rPr>
      </w:pPr>
      <w:bookmarkStart w:id="32" w:name="heading_32"/>
      <w:r>
        <w:rPr>
          <w:rFonts w:hint="default" w:ascii="Times New Roman" w:hAnsi="Times New Roman" w:eastAsia="宋体" w:cs="Times New Roman"/>
          <w:b/>
          <w:sz w:val="28"/>
          <w:szCs w:val="28"/>
        </w:rPr>
        <w:t>5.1.2 差异性方面</w:t>
      </w:r>
      <w:bookmarkEnd w:id="32"/>
    </w:p>
    <w:p w14:paraId="672ED53A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宋体" w:cs="Times New Roman"/>
          <w:sz w:val="24"/>
          <w:szCs w:val="24"/>
        </w:rPr>
        <w:t>稳定性表现优于理论预期：理论未考虑拥挤度排序对稳定性的提升，实验中IGD方差&lt;0.0001，稳定性显著优于理论估算的方差范围（0.0001~0.0002）；</w:t>
      </w:r>
    </w:p>
    <w:p w14:paraId="305188E8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  <w:sz w:val="24"/>
          <w:szCs w:val="24"/>
        </w:rPr>
        <w:t>稀疏数据处理性能略差：理论分析未充分考虑无效变量对支配关系判断的干扰，实验中稀疏度&gt;0.7时，解质量下降幅度（IGD均值上升30%）高于理论预期（20%）；</w:t>
      </w:r>
    </w:p>
    <w:p w14:paraId="56DC77CC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sz w:val="24"/>
          <w:szCs w:val="24"/>
        </w:rPr>
        <w:t>运行时间偏差：受缓存效应、随机性等影响，实际运行时间略低于理论计算值，偏差率随D增大而上升，这是理论复杂度未覆盖的实际因素。</w:t>
      </w:r>
    </w:p>
    <w:p w14:paraId="36CAC6C5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33" w:name="heading_33"/>
      <w:r>
        <w:rPr>
          <w:rFonts w:hint="default" w:ascii="Times New Roman" w:hAnsi="Times New Roman" w:eastAsia="宋体" w:cs="Times New Roman"/>
          <w:b/>
          <w:sz w:val="28"/>
          <w:szCs w:val="28"/>
        </w:rPr>
        <w:t>5.2 算法使用场景总结</w:t>
      </w:r>
      <w:bookmarkEnd w:id="33"/>
    </w:p>
    <w:p w14:paraId="73D04ADC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基于实验分析，MOEAs（NSGA-II）算法的适用场景与不适用场景明确如下：</w:t>
      </w:r>
    </w:p>
    <w:p w14:paraId="0AC231D6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34" w:name="heading_34"/>
      <w:r>
        <w:rPr>
          <w:rFonts w:hint="default" w:ascii="Times New Roman" w:hAnsi="Times New Roman" w:eastAsia="宋体" w:cs="Times New Roman"/>
          <w:b/>
          <w:sz w:val="28"/>
          <w:szCs w:val="28"/>
        </w:rPr>
        <w:t>5.2.1 适用场景</w:t>
      </w:r>
      <w:bookmarkEnd w:id="34"/>
    </w:p>
    <w:p w14:paraId="2C3BD66A">
      <w:pPr>
        <w:numPr>
          <w:ilvl w:val="0"/>
          <w:numId w:val="31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双目标优化问题（M=2），决策变量维度D≤50，样本数量S=20~30，追求高效性与解质量的平衡；</w:t>
      </w:r>
    </w:p>
    <w:p w14:paraId="189E3EA1">
      <w:pPr>
        <w:numPr>
          <w:ilvl w:val="0"/>
          <w:numId w:val="32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结构化或混合性质数据集，稀疏度≤0.5，对算法稳定性要求较高的场景（如工程优化、资源分配）；</w:t>
      </w:r>
    </w:p>
    <w:p w14:paraId="662C69AE">
      <w:pPr>
        <w:numPr>
          <w:ilvl w:val="0"/>
          <w:numId w:val="33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允许一定迭代次数（≤100次），对内存消耗要求适中（N×D≤4000，如N=80、D=50）的场景。</w:t>
      </w:r>
    </w:p>
    <w:p w14:paraId="30D08109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35" w:name="heading_35"/>
      <w:r>
        <w:rPr>
          <w:rFonts w:hint="default" w:ascii="Times New Roman" w:hAnsi="Times New Roman" w:eastAsia="宋体" w:cs="Times New Roman"/>
          <w:b/>
          <w:sz w:val="28"/>
          <w:szCs w:val="28"/>
        </w:rPr>
        <w:t>5.2.2 不适用场景</w:t>
      </w:r>
      <w:bookmarkEnd w:id="35"/>
    </w:p>
    <w:p w14:paraId="456DDA4C">
      <w:pPr>
        <w:numPr>
          <w:ilvl w:val="0"/>
          <w:numId w:val="34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高维优化问题（D&gt;100），对运行效率和收敛速度要求较高的场景；</w:t>
      </w:r>
    </w:p>
    <w:p w14:paraId="1EB64D50">
      <w:pPr>
        <w:numPr>
          <w:ilvl w:val="0"/>
          <w:numId w:val="35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稀疏度&gt;0.7的随机数据集，对解多样性和帕累托前沿覆盖完整性要求较高的场景；</w:t>
      </w:r>
    </w:p>
    <w:p w14:paraId="7EE8AB8A">
      <w:pPr>
        <w:numPr>
          <w:ilvl w:val="0"/>
          <w:numId w:val="36"/>
        </w:num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多目标优化问题（M&gt;5），非支配排序效率会急剧下降，算法性能难以保证。</w:t>
      </w:r>
    </w:p>
    <w:p w14:paraId="09A8CE30">
      <w:pPr>
        <w:spacing w:before="320" w:after="120" w:line="288" w:lineRule="auto"/>
        <w:ind w:left="0"/>
        <w:jc w:val="both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36" w:name="heading_36"/>
      <w:r>
        <w:rPr>
          <w:rFonts w:hint="default" w:ascii="Times New Roman" w:hAnsi="Times New Roman" w:eastAsia="宋体" w:cs="Times New Roman"/>
          <w:b/>
          <w:sz w:val="28"/>
          <w:szCs w:val="28"/>
        </w:rPr>
        <w:t>5.3 算法改进方向与进一步验证思路</w:t>
      </w:r>
      <w:bookmarkEnd w:id="36"/>
    </w:p>
    <w:p w14:paraId="1F26D23C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37" w:name="heading_37"/>
      <w:r>
        <w:rPr>
          <w:rFonts w:hint="default" w:ascii="Times New Roman" w:hAnsi="Times New Roman" w:eastAsia="宋体" w:cs="Times New Roman"/>
          <w:b/>
          <w:sz w:val="28"/>
          <w:szCs w:val="28"/>
        </w:rPr>
        <w:t>5.3.1 算法改进方向</w:t>
      </w:r>
      <w:bookmarkEnd w:id="37"/>
    </w:p>
    <w:p w14:paraId="5398C541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宋体" w:cs="Times New Roman"/>
          <w:sz w:val="24"/>
          <w:szCs w:val="24"/>
        </w:rPr>
        <w:t>优化非支配排序算法：引入快速非支配排序的改进版本（如基于树结构的排序算法），降低时间复杂度从O(M×N²)到O(N×logN)，提升高维、多目标场景下的效率；</w:t>
      </w:r>
    </w:p>
    <w:p w14:paraId="130FD90B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  <w:sz w:val="24"/>
          <w:szCs w:val="24"/>
        </w:rPr>
        <w:t>自适应稀疏数据处理：加入无效变量识别机制（如方差阈值法），自动过滤无效变量，减少其对支配关系判断和拥挤度计算的干扰，提升稀疏数据集的解质量；</w:t>
      </w:r>
    </w:p>
    <w:p w14:paraId="5C3822DE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sz w:val="24"/>
          <w:szCs w:val="24"/>
        </w:rPr>
        <w:t>混合变异策略：结合自适应变异幅度（根据迭代进度调整变异系数）和定向变异（针对最优解邻域进行精细搜索），平衡全局探索与局部优化能力，提升收敛速度；</w:t>
      </w:r>
    </w:p>
    <w:p w14:paraId="1FBB0436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4. </w:t>
      </w:r>
      <w:r>
        <w:rPr>
          <w:rFonts w:hint="default" w:ascii="Times New Roman" w:hAnsi="Times New Roman" w:eastAsia="宋体" w:cs="Times New Roman"/>
          <w:sz w:val="24"/>
          <w:szCs w:val="24"/>
        </w:rPr>
        <w:t>内存优化：采用稀疏矩阵存储高维决策变量，降低空间复杂度从O(N×D)到O(N×D×(1-稀疏度))，适配高维数据集场景。</w:t>
      </w:r>
    </w:p>
    <w:p w14:paraId="7EF9D3B2">
      <w:pPr>
        <w:spacing w:before="300" w:after="120" w:line="288" w:lineRule="auto"/>
        <w:ind w:left="0"/>
        <w:jc w:val="both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38" w:name="heading_38"/>
      <w:r>
        <w:rPr>
          <w:rFonts w:hint="default" w:ascii="Times New Roman" w:hAnsi="Times New Roman" w:eastAsia="宋体" w:cs="Times New Roman"/>
          <w:b/>
          <w:sz w:val="28"/>
          <w:szCs w:val="28"/>
        </w:rPr>
        <w:t>5.3.2 进一步验证思路</w:t>
      </w:r>
      <w:bookmarkEnd w:id="38"/>
    </w:p>
    <w:p w14:paraId="100227DC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宋体" w:cs="Times New Roman"/>
          <w:sz w:val="24"/>
          <w:szCs w:val="24"/>
        </w:rPr>
        <w:t>多目标扩展验证：将目标函数个数M从2扩展到3~5，验证改进算法在多目标场景下的性能（非支配排序效率、解质量）；</w:t>
      </w:r>
    </w:p>
    <w:p w14:paraId="18098275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  <w:sz w:val="24"/>
          <w:szCs w:val="24"/>
        </w:rPr>
        <w:t>真实数据集验证：引入工程优化（如机械结构优化、能源分配）真实数据集，替代基准函数，验证算法在实际场景中的适用性；</w:t>
      </w:r>
    </w:p>
    <w:p w14:paraId="441E31A5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sz w:val="24"/>
          <w:szCs w:val="24"/>
        </w:rPr>
        <w:t>对比实验验证：与其他MOEAs变体（如MOPSO、NSGA-III）进行对比，从运行时间、解质量、稳定性等维度验证改进算法的优越性；</w:t>
      </w:r>
    </w:p>
    <w:p w14:paraId="2D059494">
      <w:pPr>
        <w:numPr>
          <w:numId w:val="0"/>
        </w:numPr>
        <w:spacing w:before="120" w:after="120" w:line="288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4. </w:t>
      </w:r>
      <w:r>
        <w:rPr>
          <w:rFonts w:hint="default" w:ascii="Times New Roman" w:hAnsi="Times New Roman" w:eastAsia="宋体" w:cs="Times New Roman"/>
          <w:sz w:val="24"/>
          <w:szCs w:val="24"/>
        </w:rPr>
        <w:t>参数敏感性分析：系统分析种群规模N、迭代次数T、变异幅度等参数对算法性能的影响，确定不同场景下的最优参数组合。</w:t>
      </w:r>
    </w:p>
    <w:p w14:paraId="3B7AAE8A">
      <w:pPr>
        <w:spacing w:before="380" w:after="140" w:line="288" w:lineRule="auto"/>
        <w:ind w:left="0"/>
        <w:jc w:val="center"/>
        <w:outlineLvl w:val="0"/>
        <w:rPr>
          <w:rFonts w:hint="default" w:ascii="Times New Roman" w:hAnsi="Times New Roman" w:eastAsia="宋体" w:cs="Times New Roman"/>
          <w:sz w:val="30"/>
          <w:szCs w:val="30"/>
        </w:rPr>
      </w:pPr>
      <w:bookmarkStart w:id="39" w:name="heading_39"/>
      <w:r>
        <w:rPr>
          <w:rFonts w:hint="default" w:ascii="Times New Roman" w:hAnsi="Times New Roman" w:eastAsia="宋体" w:cs="Times New Roman"/>
          <w:b/>
          <w:sz w:val="30"/>
          <w:szCs w:val="30"/>
        </w:rPr>
        <w:t>六、结语</w:t>
      </w:r>
      <w:bookmarkEnd w:id="39"/>
    </w:p>
    <w:p w14:paraId="225D8A35">
      <w:pPr>
        <w:spacing w:before="120" w:after="120" w:line="288" w:lineRule="auto"/>
        <w:ind w:left="0" w:firstLine="50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文围绕MOEAs算法，构建了5类不同性质的输入数据集，从理论分析、性能评估、数据分析与可视化等维度进行了全面研究。实验结果表明，MOEAs算法在小规模、结构化、低稀疏度数据集上具有优异的性能（IGD均值≤0.05，运行时间≤7秒），但在高维、高稀疏度、强随机数据集上存在效率和解质量下降的问题。通过引入改进非支配排序、自适应稀疏处理等策略，可进一步提升算法的适用性和性能。未来研究将聚焦于实际场景的验证和多目标、高维场景的算法优化，推动MOEAs算法在工程实践中的广泛应用。</w:t>
      </w:r>
    </w:p>
    <w:p w14:paraId="2CCF811A">
      <w:p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2B7F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3582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58D9C95"/>
    <w:multiLevelType w:val="singleLevel"/>
    <w:tmpl w:val="858D9C9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219C8E9"/>
    <w:multiLevelType w:val="singleLevel"/>
    <w:tmpl w:val="A219C8E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3B91F3B"/>
    <w:multiLevelType w:val="singleLevel"/>
    <w:tmpl w:val="D3B91F3B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AF6330C"/>
    <w:multiLevelType w:val="singleLevel"/>
    <w:tmpl w:val="FAF6330C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D1F7A49"/>
    <w:multiLevelType w:val="singleLevel"/>
    <w:tmpl w:val="7D1F7A49"/>
    <w:lvl w:ilvl="0" w:tentative="0">
      <w:start w:val="1"/>
      <w:numFmt w:val="decimal"/>
      <w:suff w:val="space"/>
      <w:lvlText w:val="%1."/>
      <w:lvlJc w:val="left"/>
    </w:lvl>
  </w:abstractNum>
  <w:num w:numId="1">
    <w:abstractNumId w:val="13"/>
  </w:num>
  <w:num w:numId="2">
    <w:abstractNumId w:val="9"/>
  </w:num>
  <w:num w:numId="3">
    <w:abstractNumId w:val="26"/>
  </w:num>
  <w:num w:numId="4">
    <w:abstractNumId w:val="7"/>
  </w:num>
  <w:num w:numId="5">
    <w:abstractNumId w:val="6"/>
  </w:num>
  <w:num w:numId="6">
    <w:abstractNumId w:val="15"/>
  </w:num>
  <w:num w:numId="7">
    <w:abstractNumId w:val="18"/>
  </w:num>
  <w:num w:numId="8">
    <w:abstractNumId w:val="31"/>
  </w:num>
  <w:num w:numId="9">
    <w:abstractNumId w:val="14"/>
  </w:num>
  <w:num w:numId="10">
    <w:abstractNumId w:val="2"/>
  </w:num>
  <w:num w:numId="11">
    <w:abstractNumId w:val="19"/>
  </w:num>
  <w:num w:numId="12">
    <w:abstractNumId w:val="27"/>
  </w:num>
  <w:num w:numId="13">
    <w:abstractNumId w:val="8"/>
  </w:num>
  <w:num w:numId="14">
    <w:abstractNumId w:val="24"/>
  </w:num>
  <w:num w:numId="15">
    <w:abstractNumId w:val="1"/>
  </w:num>
  <w:num w:numId="16">
    <w:abstractNumId w:val="35"/>
  </w:num>
  <w:num w:numId="17">
    <w:abstractNumId w:val="12"/>
  </w:num>
  <w:num w:numId="18">
    <w:abstractNumId w:val="5"/>
  </w:num>
  <w:num w:numId="19">
    <w:abstractNumId w:val="34"/>
  </w:num>
  <w:num w:numId="20">
    <w:abstractNumId w:val="4"/>
  </w:num>
  <w:num w:numId="21">
    <w:abstractNumId w:val="29"/>
  </w:num>
  <w:num w:numId="22">
    <w:abstractNumId w:val="3"/>
  </w:num>
  <w:num w:numId="23">
    <w:abstractNumId w:val="22"/>
  </w:num>
  <w:num w:numId="24">
    <w:abstractNumId w:val="10"/>
  </w:num>
  <w:num w:numId="25">
    <w:abstractNumId w:val="0"/>
  </w:num>
  <w:num w:numId="26">
    <w:abstractNumId w:val="17"/>
  </w:num>
  <w:num w:numId="27">
    <w:abstractNumId w:val="25"/>
  </w:num>
  <w:num w:numId="28">
    <w:abstractNumId w:val="11"/>
  </w:num>
  <w:num w:numId="29">
    <w:abstractNumId w:val="20"/>
  </w:num>
  <w:num w:numId="30">
    <w:abstractNumId w:val="33"/>
  </w:num>
  <w:num w:numId="31">
    <w:abstractNumId w:val="28"/>
  </w:num>
  <w:num w:numId="32">
    <w:abstractNumId w:val="32"/>
  </w:num>
  <w:num w:numId="33">
    <w:abstractNumId w:val="23"/>
  </w:num>
  <w:num w:numId="34">
    <w:abstractNumId w:val="21"/>
  </w:num>
  <w:num w:numId="35">
    <w:abstractNumId w:val="30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AF4A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2.bin"/><Relationship Id="rId25" Type="http://schemas.openxmlformats.org/officeDocument/2006/relationships/image" Target="media/image9.wmf"/><Relationship Id="rId24" Type="http://schemas.openxmlformats.org/officeDocument/2006/relationships/oleObject" Target="embeddings/oleObject11.bin"/><Relationship Id="rId23" Type="http://schemas.openxmlformats.org/officeDocument/2006/relationships/image" Target="media/image8.wmf"/><Relationship Id="rId22" Type="http://schemas.openxmlformats.org/officeDocument/2006/relationships/oleObject" Target="embeddings/oleObject10.bin"/><Relationship Id="rId21" Type="http://schemas.openxmlformats.org/officeDocument/2006/relationships/oleObject" Target="embeddings/oleObject9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6.wmf"/><Relationship Id="rId17" Type="http://schemas.openxmlformats.org/officeDocument/2006/relationships/oleObject" Target="embeddings/oleObject7.bin"/><Relationship Id="rId16" Type="http://schemas.openxmlformats.org/officeDocument/2006/relationships/image" Target="media/image5.wmf"/><Relationship Id="rId15" Type="http://schemas.openxmlformats.org/officeDocument/2006/relationships/oleObject" Target="embeddings/oleObject6.bin"/><Relationship Id="rId14" Type="http://schemas.openxmlformats.org/officeDocument/2006/relationships/image" Target="media/image4.wmf"/><Relationship Id="rId13" Type="http://schemas.openxmlformats.org/officeDocument/2006/relationships/oleObject" Target="embeddings/oleObject5.bin"/><Relationship Id="rId12" Type="http://schemas.openxmlformats.org/officeDocument/2006/relationships/image" Target="media/image3.wmf"/><Relationship Id="rId11" Type="http://schemas.openxmlformats.org/officeDocument/2006/relationships/oleObject" Target="embeddings/oleObject4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5845</Words>
  <Characters>7047</Characters>
  <TotalTime>34</TotalTime>
  <ScaleCrop>false</ScaleCrop>
  <LinksUpToDate>false</LinksUpToDate>
  <CharactersWithSpaces>7093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2026-01-31T07:01:00Z</dcterms:created>
  <dc:creator>Apache POI</dc:creator>
  <cp:lastModifiedBy>刘秀峰</cp:lastModifiedBy>
  <dcterms:modified xsi:type="dcterms:W3CDTF">2026-01-31T07:36:12Z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eyJoZGlkIjoiOGJkMzUxMTkyY2FlYzEzYjg5NDY0YzZlZDMyMGJiNTIiLCJ1c2VySWQiOiI0MjE1NDAzODgifQ==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9EFDC5B8DB384AB3B85CA903F69A660F_12</vt:lpwstr>
  </property>
</Properties>
</file>