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F586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sz w:val="28"/>
          <w:szCs w:val="28"/>
        </w:rPr>
      </w:pPr>
      <w:bookmarkStart w:id="0" w:name="_GoBack"/>
      <w:r>
        <w:rPr>
          <w:rFonts w:hint="default" w:ascii="Times New Roman Regular" w:hAnsi="Times New Roman Regular" w:cs="Times New Roman Regular"/>
          <w:b/>
          <w:bCs/>
          <w:sz w:val="28"/>
          <w:szCs w:val="28"/>
        </w:rPr>
        <w:t>元启发式算法（SA/GA）解决Set Cover问题研究报告</w:t>
      </w:r>
    </w:p>
    <w:bookmarkEnd w:id="0"/>
    <w:p w14:paraId="27C51D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lang w:val="en-US" w:eastAsia="zh-CN"/>
        </w:rPr>
      </w:pPr>
    </w:p>
    <w:p w14:paraId="667821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摘要</w:t>
      </w:r>
    </w:p>
    <w:p w14:paraId="0EB44527">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imes New Roman Regular" w:hAnsi="Times New Roman Regular" w:cs="Times New Roman Regular"/>
          <w:sz w:val="24"/>
          <w:szCs w:val="24"/>
          <w:lang w:val="en-US" w:eastAsia="zh-CN"/>
        </w:rPr>
      </w:pPr>
      <w:r>
        <w:rPr>
          <w:rFonts w:ascii="宋体" w:hAnsi="宋体" w:eastAsia="宋体" w:cs="宋体"/>
          <w:kern w:val="0"/>
          <w:sz w:val="24"/>
          <w:szCs w:val="24"/>
          <w:lang w:val="en-US" w:eastAsia="zh-CN" w:bidi="ar"/>
        </w:rPr>
        <w:t>本报告针对精确算法难以处理大规模实例的经典 NP-hard 组合优化问题 —— 集合覆盖问题（Set Cover Problem, SCP）（元启发式算法是求解其高质量近似解的重要工具），系统研究了其元启发式算法，通过 Python 实现标准模拟退火算法（SA）与遗传算法（GA），基于 OR-Library 标准测试集构建小规模稠密 / 稀疏、中规模均衡、大规模稀疏、结构化实例等 5 类不同特征的数据集（每类≥20 个样本），从运行时间、解质量、稳定性、可扩展性维度评估并结合 Wilcoxon 检验与 95% 置信区间验证结论可靠性，发现 SA 在稀疏大规模实例上表现更稳定且收敛性有理论保证但运行时间较长，GA 在中小规模问题上收敛速度快但存在早熟收敛风险且参数敏感性高，且问题规模超过 10⁴列时 SA 的解质量优势显著、高密度小规模实例中 GA 效率更优；同时推导了 SA 与 GA 在 SCP 上的时间 / 空间复杂度，分析了 SA 的冷却 schedule 设计、GA 的种群多样性维持等关键瓶颈并验证理论复杂度与实际性能趋势的一致性，最终提出 SA-GA 混合算法框架与自适应参数调整策略，为实时调度、离线优化等不同应用场景的算法选择提供决策依据。</w:t>
      </w:r>
    </w:p>
    <w:p w14:paraId="231B2D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b/>
          <w:bCs/>
          <w:sz w:val="24"/>
          <w:szCs w:val="24"/>
          <w:lang w:val="en-US" w:eastAsia="zh-CN"/>
        </w:rPr>
        <w:t>关键词：</w:t>
      </w:r>
      <w:r>
        <w:rPr>
          <w:rFonts w:hint="default" w:ascii="Times New Roman Regular" w:hAnsi="Times New Roman Regular" w:cs="Times New Roman Regular"/>
          <w:sz w:val="24"/>
          <w:szCs w:val="24"/>
          <w:lang w:val="en-US" w:eastAsia="zh-CN"/>
        </w:rPr>
        <w:t>集合覆盖问题；模拟退火；遗传算法；元启发式；性能评估；可扩展性分析</w:t>
      </w:r>
    </w:p>
    <w:p w14:paraId="4868B5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lang w:val="en-US" w:eastAsia="zh-CN"/>
        </w:rPr>
        <w:t>一、</w:t>
      </w:r>
      <w:r>
        <w:rPr>
          <w:rFonts w:hint="default" w:ascii="Times New Roman Regular" w:hAnsi="Times New Roman Regular" w:cs="Times New Roman Regular"/>
          <w:b/>
          <w:bCs/>
          <w:sz w:val="24"/>
          <w:szCs w:val="24"/>
        </w:rPr>
        <w:t>算法核心思想：</w:t>
      </w:r>
    </w:p>
    <w:p w14:paraId="522979C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该混合算法结合了GA的全局搜索能力和SA的局部搜索能力。GA作为全局优化器，通过选择、交叉、变异操作探索解空间；SA作为局部搜索器，在每个GA个体上进行精细搜索，避免早熟收敛。研究表明，这种混合策略在Set Cover问题上比单一算法表现更优。</w:t>
      </w:r>
    </w:p>
    <w:p w14:paraId="4825BA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lang w:val="en-US" w:eastAsia="zh-CN"/>
        </w:rPr>
        <w:t>二</w:t>
      </w:r>
      <w:r>
        <w:rPr>
          <w:rFonts w:hint="default" w:ascii="Times New Roman Regular" w:hAnsi="Times New Roman Regular" w:cs="Times New Roman Regular"/>
          <w:b/>
          <w:bCs/>
          <w:sz w:val="24"/>
          <w:szCs w:val="24"/>
        </w:rPr>
        <w:t>、理论分析</w:t>
      </w:r>
    </w:p>
    <w:p w14:paraId="7E7B12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2</w:t>
      </w:r>
      <w:r>
        <w:rPr>
          <w:rFonts w:hint="default" w:ascii="Times New Roman Regular" w:hAnsi="Times New Roman Regular" w:cs="Times New Roman Regular"/>
          <w:sz w:val="24"/>
          <w:szCs w:val="24"/>
        </w:rPr>
        <w:t>.1 时间复杂度与空间复杂度</w:t>
      </w:r>
    </w:p>
    <w:p w14:paraId="177F419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遗传算法（GA）：</w:t>
      </w:r>
    </w:p>
    <w:p w14:paraId="6F74F4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时间复杂度：</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G</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P</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Ceval</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Ccross</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Cmut</m:t>
        </m:r>
        <m:r>
          <m:rPr>
            <m:nor/>
            <m:sty m:val="p"/>
          </m:rPr>
          <w:rPr>
            <w:rFonts w:hint="default" w:ascii="DejaVu Math TeX Gyre" w:hAnsi="DejaVu Math TeX Gyre" w:cs="Times New Roman Regular"/>
            <w:i w:val="0"/>
            <w:sz w:val="24"/>
            <w:szCs w:val="24"/>
          </w:rPr>
          <m:t>))</m:t>
        </m:r>
      </m:oMath>
    </w:p>
    <w:p w14:paraId="257D0D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m:oMath>
        <m:r>
          <m:rPr>
            <m:nor/>
          </m:rPr>
          <w:rPr>
            <w:rFonts w:hint="default" w:ascii="DejaVu Math TeX Gyre" w:hAnsi="DejaVu Math TeX Gyre" w:cs="Times New Roman Regular"/>
            <w:i/>
            <w:sz w:val="24"/>
            <w:szCs w:val="24"/>
          </w:rPr>
          <m:t>G</m:t>
        </m:r>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代数，</w:t>
      </w:r>
      <m:oMath>
        <m:r>
          <m:rPr>
            <m:nor/>
          </m:rPr>
          <w:rPr>
            <w:rFonts w:hint="default" w:ascii="DejaVu Math TeX Gyre" w:hAnsi="DejaVu Math TeX Gyre" w:cs="Times New Roman Regular"/>
            <w:i/>
            <w:sz w:val="24"/>
            <w:szCs w:val="24"/>
          </w:rPr>
          <m:t>P</m:t>
        </m:r>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种群大小</w:t>
      </w:r>
    </w:p>
    <w:p w14:paraId="609D0C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m:oMath>
        <m:r>
          <m:rPr>
            <m:nor/>
          </m:rPr>
          <w:rPr>
            <w:rFonts w:hint="default" w:ascii="DejaVu Math TeX Gyre" w:hAnsi="DejaVu Math TeX Gyre" w:cs="Times New Roman Regular"/>
            <w:i/>
            <w:sz w:val="24"/>
            <w:szCs w:val="24"/>
          </w:rPr>
          <m:t>Ceval</m:t>
        </m:r>
      </m:oMath>
      <w:r>
        <w:rPr>
          <w:rFonts w:hint="default" w:ascii="Times New Roman Regular" w:hAnsi="Times New Roman Regular" w:cs="Times New Roman Regular"/>
          <w:sz w:val="24"/>
          <w:szCs w:val="24"/>
        </w:rPr>
        <w:t>：适应度评估（</w:t>
      </w:r>
      <m:oMath>
        <m:r>
          <m:rPr>
            <m:nor/>
          </m:rPr>
          <w:rPr>
            <w:rFonts w:hint="default" w:ascii="DejaVu Math TeX Gyre" w:hAnsi="DejaVu Math TeX Gyre" w:cs="Times New Roman Regular"/>
            <w:i/>
            <w:sz w:val="24"/>
            <w:szCs w:val="24"/>
          </w:rPr>
          <m:t>SetCover</m:t>
        </m:r>
        <m:r>
          <m:rPr>
            <m:nor/>
            <m:sty m:val="p"/>
          </m:rPr>
          <w:rPr>
            <w:rFonts w:hint="default" w:ascii="DejaVu Math TeX Gyre" w:hAnsi="DejaVu Math TeX Gyre" w:cs="Times New Roman Regular"/>
            <w:i w:val="0"/>
            <w:sz w:val="24"/>
            <w:szCs w:val="24"/>
          </w:rPr>
          <m:t>为</m:t>
        </m:r>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m</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n</m:t>
        </m:r>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w:t>
      </w:r>
    </w:p>
    <w:p w14:paraId="0F86D8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m:oMath>
        <m:r>
          <m:rPr>
            <m:nor/>
          </m:rPr>
          <w:rPr>
            <w:rFonts w:hint="default" w:ascii="DejaVu Math TeX Gyre" w:hAnsi="DejaVu Math TeX Gyre" w:cs="Times New Roman Regular"/>
            <w:i/>
            <w:sz w:val="24"/>
            <w:szCs w:val="24"/>
          </w:rPr>
          <m:t>Ccross</m:t>
        </m:r>
      </m:oMath>
      <w:r>
        <w:rPr>
          <w:rFonts w:hint="default" w:ascii="Times New Roman Regular" w:hAnsi="Times New Roman Regular" w:cs="Times New Roman Regular"/>
          <w:sz w:val="24"/>
          <w:szCs w:val="24"/>
        </w:rPr>
        <w:t>：交叉操作（</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n</m:t>
        </m:r>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w:t>
      </w:r>
    </w:p>
    <w:p w14:paraId="31475A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m:oMath>
        <m:r>
          <m:rPr>
            <m:nor/>
          </m:rPr>
          <w:rPr>
            <w:rFonts w:hint="default" w:ascii="DejaVu Math TeX Gyre" w:hAnsi="DejaVu Math TeX Gyre" w:cs="Times New Roman Regular"/>
            <w:i/>
            <w:sz w:val="24"/>
            <w:szCs w:val="24"/>
          </w:rPr>
          <m:t>Cmut</m:t>
        </m:r>
      </m:oMath>
      <w:r>
        <w:rPr>
          <w:rFonts w:hint="default" w:ascii="Times New Roman Regular" w:hAnsi="Times New Roman Regular" w:cs="Times New Roman Regular"/>
          <w:sz w:val="24"/>
          <w:szCs w:val="24"/>
        </w:rPr>
        <w:t>：变异操作（</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n</m:t>
        </m:r>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w:t>
      </w:r>
    </w:p>
    <w:p w14:paraId="38E353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空间复杂度：</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P</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n</m:t>
        </m:r>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，存储种群和解向量</w:t>
      </w:r>
    </w:p>
    <w:p w14:paraId="2267DBF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模拟退火（SA）：</w:t>
      </w:r>
    </w:p>
    <w:p w14:paraId="6E9C3B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时间复杂度：</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I</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N</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Ceval</m:t>
        </m:r>
        <m:r>
          <m:rPr>
            <m:nor/>
            <m:sty m:val="p"/>
          </m:rPr>
          <w:rPr>
            <w:rFonts w:hint="default" w:ascii="DejaVu Math TeX Gyre" w:hAnsi="DejaVu Math TeX Gyre" w:cs="Times New Roman Regular"/>
            <w:i w:val="0"/>
            <w:sz w:val="24"/>
            <w:szCs w:val="24"/>
          </w:rPr>
          <m:t>)</m:t>
        </m:r>
      </m:oMath>
    </w:p>
    <w:p w14:paraId="34C767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I：迭代次数，N：邻域大小</w:t>
      </w:r>
    </w:p>
    <w:p w14:paraId="751E1C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温度调度通常为</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func>
          <m:funcPr>
            <m:ctrlPr>
              <w:rPr>
                <w:rFonts w:hint="default" w:ascii="DejaVu Math TeX Gyre" w:hAnsi="DejaVu Math TeX Gyre" w:cs="Times New Roman Regular"/>
                <w:sz w:val="24"/>
                <w:szCs w:val="24"/>
              </w:rPr>
            </m:ctrlPr>
          </m:funcPr>
          <m:fName>
            <m:r>
              <m:rPr>
                <m:nor/>
                <m:sty m:val="p"/>
              </m:rPr>
              <w:rPr>
                <w:rFonts w:hint="default" w:ascii="DejaVu Math TeX Gyre" w:hAnsi="DejaVu Math TeX Gyre" w:cs="Times New Roman Regular"/>
                <w:sz w:val="24"/>
                <w:szCs w:val="24"/>
              </w:rPr>
              <m:t>log</m:t>
            </m:r>
            <m:ctrlPr>
              <w:rPr>
                <w:rFonts w:hint="default" w:ascii="DejaVu Math TeX Gyre" w:hAnsi="DejaVu Math TeX Gyre" w:cs="Times New Roman Regular"/>
                <w:sz w:val="24"/>
                <w:szCs w:val="24"/>
              </w:rPr>
            </m:ctrlPr>
          </m:fName>
          <m:e>
            <m:r>
              <m:rPr>
                <m:nor/>
                <m:sty m:val="p"/>
              </m:rPr>
              <w:rPr>
                <w:rFonts w:hint="default" w:ascii="DejaVu Math TeX Gyre" w:hAnsi="DejaVu Math TeX Gyre" w:cs="Times New Roman Regular"/>
                <w:i w:val="0"/>
                <w:sz w:val="24"/>
                <w:szCs w:val="24"/>
              </w:rPr>
              <m:t>(</m:t>
            </m:r>
            <m:ctrlPr>
              <w:rPr>
                <w:rFonts w:hint="default" w:ascii="DejaVu Math TeX Gyre" w:hAnsi="DejaVu Math TeX Gyre" w:cs="Times New Roman Regular"/>
                <w:sz w:val="24"/>
                <w:szCs w:val="24"/>
              </w:rPr>
            </m:ctrlPr>
          </m:e>
        </m:func>
        <m:r>
          <m:rPr>
            <m:nor/>
            <m:sty m:val="p"/>
          </m:rPr>
          <w:rPr>
            <w:rFonts w:hint="default" w:ascii="DejaVu Math TeX Gyre" w:hAnsi="DejaVu Math TeX Gyre" w:cs="Times New Roman Regular"/>
            <w:i w:val="0"/>
            <w:sz w:val="24"/>
            <w:szCs w:val="24"/>
          </w:rPr>
          <m:t>1/ϵ))</m:t>
        </m:r>
      </m:oMath>
      <w:r>
        <w:rPr>
          <w:rFonts w:hint="default" w:ascii="Times New Roman Regular" w:hAnsi="Times New Roman Regular" w:cs="Times New Roman Regular"/>
          <w:sz w:val="24"/>
          <w:szCs w:val="24"/>
        </w:rPr>
        <w:t>级别</w:t>
      </w:r>
    </w:p>
    <w:p w14:paraId="3ADFF1CE">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空间复杂度：</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n</m:t>
        </m:r>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，仅需存储当前解和最优解</w:t>
      </w:r>
    </w:p>
    <w:p w14:paraId="1496B68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混合算法（HGASA）：</w:t>
      </w:r>
    </w:p>
    <w:p w14:paraId="4615E30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时间复杂度：</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G</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P</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Ceval</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CSA</m:t>
        </m:r>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，其中</w:t>
      </w:r>
      <m:oMath>
        <m:r>
          <m:rPr>
            <m:nor/>
          </m:rPr>
          <w:rPr>
            <w:rFonts w:hint="default" w:ascii="DejaVu Math TeX Gyre" w:hAnsi="DejaVu Math TeX Gyre" w:cs="Times New Roman Regular"/>
            <w:i/>
            <w:sz w:val="24"/>
            <w:szCs w:val="24"/>
          </w:rPr>
          <m:t>CSA</m:t>
        </m:r>
      </m:oMath>
      <w:r>
        <w:rPr>
          <w:rFonts w:hint="default" w:ascii="Times New Roman Regular" w:hAnsi="Times New Roman Regular" w:cs="Times New Roman Regular"/>
          <w:sz w:val="24"/>
          <w:szCs w:val="24"/>
        </w:rPr>
        <w:t>为SA局部搜索开销</w:t>
      </w:r>
    </w:p>
    <w:p w14:paraId="1403363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空间复杂度：</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P</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n</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SSA</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SSA</m:t>
        </m:r>
      </m:oMath>
      <w:r>
        <w:rPr>
          <w:rFonts w:hint="default" w:ascii="Times New Roman Regular" w:hAnsi="Times New Roman Regular" w:cs="Times New Roman Regular"/>
          <w:sz w:val="24"/>
          <w:szCs w:val="24"/>
        </w:rPr>
        <w:t>为SA的额外存储</w:t>
      </w:r>
    </w:p>
    <w:p w14:paraId="1DD9850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2</w:t>
      </w:r>
      <w:r>
        <w:rPr>
          <w:rFonts w:hint="default" w:ascii="Times New Roman Regular" w:hAnsi="Times New Roman Regular" w:cs="Times New Roman Regular"/>
          <w:sz w:val="24"/>
          <w:szCs w:val="24"/>
        </w:rPr>
        <w:t>.2 性能保证与收敛条件</w:t>
      </w:r>
    </w:p>
    <w:p w14:paraId="6104089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收敛条件：</w:t>
      </w:r>
    </w:p>
    <w:p w14:paraId="71339C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GA：理论上不保证收敛到全局最优，但精英保留策略可保证收敛到局部最优</w:t>
      </w:r>
    </w:p>
    <w:p w14:paraId="6FA35B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SA：在满足特定冷却 schedule（如</w:t>
      </w:r>
      <m:oMath>
        <m:sSub>
          <m:sSubPr>
            <m:ctrlPr>
              <w:rPr>
                <w:rFonts w:hint="default" w:ascii="DejaVu Math TeX Gyre" w:hAnsi="DejaVu Math TeX Gyre" w:cs="Times New Roman Regular"/>
                <w:sz w:val="24"/>
                <w:szCs w:val="24"/>
              </w:rPr>
            </m:ctrlPr>
          </m:sSubPr>
          <m:e>
            <m:r>
              <m:rPr>
                <m:nor/>
              </m:rPr>
              <w:rPr>
                <w:rFonts w:hint="default" w:ascii="DejaVu Math TeX Gyre" w:hAnsi="DejaVu Math TeX Gyre" w:cs="Times New Roman Regular"/>
                <w:i/>
                <w:sz w:val="24"/>
                <w:szCs w:val="24"/>
              </w:rPr>
              <m:t>T</m:t>
            </m:r>
            <m:ctrlPr>
              <w:rPr>
                <w:rFonts w:hint="default" w:ascii="DejaVu Math TeX Gyre" w:hAnsi="DejaVu Math TeX Gyre" w:cs="Times New Roman Regular"/>
                <w:sz w:val="24"/>
                <w:szCs w:val="24"/>
              </w:rPr>
            </m:ctrlPr>
          </m:e>
          <m:sub>
            <m:r>
              <m:rPr>
                <m:nor/>
              </m:rPr>
              <w:rPr>
                <w:rFonts w:hint="default" w:ascii="DejaVu Math TeX Gyre" w:hAnsi="DejaVu Math TeX Gyre" w:cs="Times New Roman Regular"/>
                <w:i/>
                <w:sz w:val="24"/>
                <w:szCs w:val="24"/>
              </w:rPr>
              <m:t>k</m:t>
            </m:r>
            <m:ctrlPr>
              <w:rPr>
                <w:rFonts w:hint="default" w:ascii="DejaVu Math TeX Gyre" w:hAnsi="DejaVu Math TeX Gyre" w:cs="Times New Roman Regular"/>
                <w:sz w:val="24"/>
                <w:szCs w:val="24"/>
              </w:rPr>
            </m:ctrlPr>
          </m:sub>
        </m:sSub>
        <m:r>
          <m:rPr>
            <m:nor/>
            <m:sty m:val="p"/>
          </m:rPr>
          <w:rPr>
            <w:rFonts w:hint="default" w:ascii="DejaVu Math TeX Gyre" w:hAnsi="DejaVu Math TeX Gyre" w:cs="Times New Roman Regular"/>
            <w:i w:val="0"/>
            <w:sz w:val="24"/>
            <w:szCs w:val="24"/>
          </w:rPr>
          <m:t>=</m:t>
        </m:r>
        <m:sSub>
          <m:sSubPr>
            <m:ctrlPr>
              <w:rPr>
                <w:rFonts w:hint="default" w:ascii="DejaVu Math TeX Gyre" w:hAnsi="DejaVu Math TeX Gyre" w:cs="Times New Roman Regular"/>
                <w:sz w:val="24"/>
                <w:szCs w:val="24"/>
              </w:rPr>
            </m:ctrlPr>
          </m:sSubPr>
          <m:e>
            <m:r>
              <m:rPr>
                <m:nor/>
              </m:rPr>
              <w:rPr>
                <w:rFonts w:hint="default" w:ascii="DejaVu Math TeX Gyre" w:hAnsi="DejaVu Math TeX Gyre" w:cs="Times New Roman Regular"/>
                <w:i/>
                <w:sz w:val="24"/>
                <w:szCs w:val="24"/>
              </w:rPr>
              <m:t>T</m:t>
            </m:r>
            <m:ctrlPr>
              <w:rPr>
                <w:rFonts w:hint="default" w:ascii="DejaVu Math TeX Gyre" w:hAnsi="DejaVu Math TeX Gyre" w:cs="Times New Roman Regular"/>
                <w:sz w:val="24"/>
                <w:szCs w:val="24"/>
              </w:rPr>
            </m:ctrlPr>
          </m:e>
          <m:sub>
            <m:r>
              <m:rPr>
                <m:nor/>
                <m:sty m:val="p"/>
              </m:rPr>
              <w:rPr>
                <w:rFonts w:hint="default" w:ascii="DejaVu Math TeX Gyre" w:hAnsi="DejaVu Math TeX Gyre" w:cs="Times New Roman Regular"/>
                <w:i w:val="0"/>
                <w:sz w:val="24"/>
                <w:szCs w:val="24"/>
              </w:rPr>
              <m:t>0</m:t>
            </m:r>
            <m:ctrlPr>
              <w:rPr>
                <w:rFonts w:hint="default" w:ascii="DejaVu Math TeX Gyre" w:hAnsi="DejaVu Math TeX Gyre" w:cs="Times New Roman Regular"/>
                <w:sz w:val="24"/>
                <w:szCs w:val="24"/>
              </w:rPr>
            </m:ctrlPr>
          </m:sub>
        </m:sSub>
        <m:r>
          <m:rPr>
            <m:nor/>
            <m:sty m:val="p"/>
          </m:rPr>
          <w:rPr>
            <w:rFonts w:hint="default" w:ascii="DejaVu Math TeX Gyre" w:hAnsi="DejaVu Math TeX Gyre" w:cs="Times New Roman Regular"/>
            <w:i w:val="0"/>
            <w:sz w:val="24"/>
            <w:szCs w:val="24"/>
          </w:rPr>
          <m:t>/</m:t>
        </m:r>
        <m:func>
          <m:funcPr>
            <m:ctrlPr>
              <w:rPr>
                <w:rFonts w:hint="default" w:ascii="DejaVu Math TeX Gyre" w:hAnsi="DejaVu Math TeX Gyre" w:cs="Times New Roman Regular"/>
                <w:sz w:val="24"/>
                <w:szCs w:val="24"/>
              </w:rPr>
            </m:ctrlPr>
          </m:funcPr>
          <m:fName>
            <m:r>
              <m:rPr>
                <m:nor/>
                <m:sty m:val="p"/>
              </m:rPr>
              <w:rPr>
                <w:rFonts w:hint="default" w:ascii="DejaVu Math TeX Gyre" w:hAnsi="DejaVu Math TeX Gyre" w:cs="Times New Roman Regular"/>
                <w:sz w:val="24"/>
                <w:szCs w:val="24"/>
              </w:rPr>
              <m:t>ln</m:t>
            </m:r>
            <m:ctrlPr>
              <w:rPr>
                <w:rFonts w:hint="default" w:ascii="DejaVu Math TeX Gyre" w:hAnsi="DejaVu Math TeX Gyre" w:cs="Times New Roman Regular"/>
                <w:sz w:val="24"/>
                <w:szCs w:val="24"/>
              </w:rPr>
            </m:ctrlPr>
          </m:fName>
          <m:e>
            <m:r>
              <m:rPr>
                <m:nor/>
                <m:sty m:val="p"/>
              </m:rPr>
              <w:rPr>
                <w:rFonts w:hint="default" w:ascii="DejaVu Math TeX Gyre" w:hAnsi="DejaVu Math TeX Gyre" w:cs="Times New Roman Regular"/>
                <w:i w:val="0"/>
                <w:sz w:val="24"/>
                <w:szCs w:val="24"/>
              </w:rPr>
              <m:t>(</m:t>
            </m:r>
            <m:ctrlPr>
              <w:rPr>
                <w:rFonts w:hint="default" w:ascii="DejaVu Math TeX Gyre" w:hAnsi="DejaVu Math TeX Gyre" w:cs="Times New Roman Regular"/>
                <w:sz w:val="24"/>
                <w:szCs w:val="24"/>
              </w:rPr>
            </m:ctrlPr>
          </m:e>
        </m:func>
        <m:r>
          <m:rPr>
            <m:nor/>
            <m:sty m:val="p"/>
          </m:rPr>
          <w:rPr>
            <w:rFonts w:hint="default" w:ascii="DejaVu Math TeX Gyre" w:hAnsi="DejaVu Math TeX Gyre" w:cs="Times New Roman Regular"/>
            <w:i w:val="0"/>
            <w:sz w:val="24"/>
            <w:szCs w:val="24"/>
          </w:rPr>
          <m:t>1+</m:t>
        </m:r>
        <m:r>
          <m:rPr>
            <m:nor/>
          </m:rPr>
          <w:rPr>
            <w:rFonts w:hint="default" w:ascii="DejaVu Math TeX Gyre" w:hAnsi="DejaVu Math TeX Gyre" w:cs="Times New Roman Regular"/>
            <w:i/>
            <w:sz w:val="24"/>
            <w:szCs w:val="24"/>
          </w:rPr>
          <m:t>k</m:t>
        </m:r>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）时，可证明收敛到全局最优</w:t>
      </w:r>
    </w:p>
    <w:p w14:paraId="598901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HGASA：继承SA的收敛特性，但混合策略的收敛证明更复杂</w:t>
      </w:r>
    </w:p>
    <w:p w14:paraId="08E264B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近似比：</w:t>
      </w:r>
    </w:p>
    <w:p w14:paraId="6426A4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Set Cover问题本身为NP-hard，近似比为</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func>
          <m:funcPr>
            <m:ctrlPr>
              <w:rPr>
                <w:rFonts w:hint="default" w:ascii="DejaVu Math TeX Gyre" w:hAnsi="DejaVu Math TeX Gyre" w:cs="Times New Roman Regular"/>
                <w:sz w:val="24"/>
                <w:szCs w:val="24"/>
              </w:rPr>
            </m:ctrlPr>
          </m:funcPr>
          <m:fName>
            <m:r>
              <m:rPr>
                <m:nor/>
                <m:sty m:val="p"/>
              </m:rPr>
              <w:rPr>
                <w:rFonts w:hint="default" w:ascii="DejaVu Math TeX Gyre" w:hAnsi="DejaVu Math TeX Gyre" w:cs="Times New Roman Regular"/>
                <w:sz w:val="24"/>
                <w:szCs w:val="24"/>
              </w:rPr>
              <m:t>log</m:t>
            </m:r>
            <m:ctrlPr>
              <w:rPr>
                <w:rFonts w:hint="default" w:ascii="DejaVu Math TeX Gyre" w:hAnsi="DejaVu Math TeX Gyre" w:cs="Times New Roman Regular"/>
                <w:sz w:val="24"/>
                <w:szCs w:val="24"/>
              </w:rPr>
            </m:ctrlPr>
          </m:fName>
          <m:e>
            <m:r>
              <m:rPr>
                <m:nor/>
              </m:rPr>
              <w:rPr>
                <w:rFonts w:hint="default" w:ascii="DejaVu Math TeX Gyre" w:hAnsi="DejaVu Math TeX Gyre" w:cs="Times New Roman Regular"/>
                <w:i/>
                <w:sz w:val="24"/>
                <w:szCs w:val="24"/>
              </w:rPr>
              <m:t>n</m:t>
            </m:r>
            <m:ctrlPr>
              <w:rPr>
                <w:rFonts w:hint="default" w:ascii="DejaVu Math TeX Gyre" w:hAnsi="DejaVu Math TeX Gyre" w:cs="Times New Roman Regular"/>
                <w:sz w:val="24"/>
                <w:szCs w:val="24"/>
              </w:rPr>
            </m:ctrlPr>
          </m:e>
        </m:func>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（贪心算法下界）</w:t>
      </w:r>
    </w:p>
    <w:p w14:paraId="3C1BA0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元启发式算法不保证近似比，但实验表明通常能找到接近最优的解（gap &lt; 5%）</w:t>
      </w:r>
    </w:p>
    <w:p w14:paraId="505EC8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2</w:t>
      </w:r>
      <w:r>
        <w:rPr>
          <w:rFonts w:hint="default" w:ascii="Times New Roman Regular" w:hAnsi="Times New Roman Regular" w:cs="Times New Roman Regular"/>
          <w:sz w:val="24"/>
          <w:szCs w:val="24"/>
        </w:rPr>
        <w:t>.3 关键瓶颈分析</w:t>
      </w:r>
    </w:p>
    <w:p w14:paraId="433D4C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适应度评估瓶颈：每次评估需检查所有约束，复杂度</w:t>
      </w:r>
      <m:oMath>
        <m:r>
          <m:rPr>
            <m:nor/>
          </m:rPr>
          <w:rPr>
            <w:rFonts w:hint="default" w:ascii="DejaVu Math TeX Gyre" w:hAnsi="DejaVu Math TeX Gyre" w:cs="Times New Roman Regular"/>
            <w:i/>
            <w:sz w:val="24"/>
            <w:szCs w:val="24"/>
          </w:rPr>
          <m:t>O</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m</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n</m:t>
        </m:r>
        <m:r>
          <m:rPr>
            <m:nor/>
            <m:sty m:val="p"/>
          </m:rPr>
          <w:rPr>
            <w:rFonts w:hint="default" w:ascii="DejaVu Math TeX Gyre" w:hAnsi="DejaVu Math TeX Gyre" w:cs="Times New Roman Regular"/>
            <w:i w:val="0"/>
            <w:sz w:val="24"/>
            <w:szCs w:val="24"/>
          </w:rPr>
          <m:t>)</m:t>
        </m:r>
      </m:oMath>
      <w:r>
        <w:rPr>
          <w:rFonts w:hint="default" w:ascii="Times New Roman Regular" w:hAnsi="Times New Roman Regular" w:cs="Times New Roman Regular"/>
          <w:sz w:val="24"/>
          <w:szCs w:val="24"/>
        </w:rPr>
        <w:t>，在实例E的大规模场景下成为主要开销</w:t>
      </w:r>
    </w:p>
    <w:p w14:paraId="4FB3027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种群多样性维持：GA在进化后期容易丧失多样性，导致早熟收敛</w:t>
      </w:r>
    </w:p>
    <w:p w14:paraId="71F1DC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参数敏感性：SA的冷却系数、GA的交叉/变异概率对结果影响显著</w:t>
      </w:r>
    </w:p>
    <w:p w14:paraId="107D51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 内存墙问题：大规模实例（类别C、D）的种群存储可能超出缓存容量，导致访存延迟剧增</w:t>
      </w:r>
    </w:p>
    <w:p w14:paraId="55A359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lang w:val="en-US" w:eastAsia="zh-CN"/>
        </w:rPr>
        <w:t>三</w:t>
      </w:r>
      <w:r>
        <w:rPr>
          <w:rFonts w:hint="default" w:ascii="Times New Roman Regular" w:hAnsi="Times New Roman Regular" w:cs="Times New Roman Regular"/>
          <w:b/>
          <w:bCs/>
          <w:sz w:val="24"/>
          <w:szCs w:val="24"/>
        </w:rPr>
        <w:t>、性能评估指标</w:t>
      </w:r>
    </w:p>
    <w:p w14:paraId="003FE6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选定以下4个核心指标：</w:t>
      </w:r>
    </w:p>
    <w:p w14:paraId="13A17E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运行时间（Runtime）： wall-clock time，单位为秒</w:t>
      </w:r>
    </w:p>
    <w:p w14:paraId="65D88D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解质量（Solution Quality）：与已知最优解的相对百分比偏差（RPD）</w:t>
      </w:r>
    </w:p>
    <w:p w14:paraId="5A0478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m:oMath>
        <m:r>
          <m:rPr>
            <m:nor/>
          </m:rPr>
          <w:rPr>
            <w:rFonts w:hint="default" w:ascii="DejaVu Math TeX Gyre" w:hAnsi="DejaVu Math TeX Gyre" w:cs="Times New Roman Regular"/>
            <w:i/>
            <w:sz w:val="24"/>
            <w:szCs w:val="24"/>
          </w:rPr>
          <m:t>RPD</m:t>
        </m:r>
        <m:r>
          <m:rPr>
            <m:nor/>
            <m:sty m:val="p"/>
          </m:rPr>
          <w:rPr>
            <w:rFonts w:hint="default" w:ascii="DejaVu Math TeX Gyre" w:hAnsi="DejaVu Math TeX Gyre" w:cs="Times New Roman Regular"/>
            <w:i w:val="0"/>
            <w:sz w:val="24"/>
            <w:szCs w:val="24"/>
          </w:rPr>
          <m:t>=</m:t>
        </m:r>
        <m:f>
          <m:fPr>
            <m:ctrlPr>
              <w:rPr>
                <w:rFonts w:hint="default" w:ascii="DejaVu Math TeX Gyre" w:hAnsi="DejaVu Math TeX Gyre" w:cs="Times New Roman Regular"/>
                <w:i/>
                <w:sz w:val="24"/>
                <w:szCs w:val="24"/>
              </w:rPr>
            </m:ctrlPr>
          </m:fPr>
          <m:num>
            <m:r>
              <m:rPr>
                <m:nor/>
              </m:rPr>
              <w:rPr>
                <w:rFonts w:hint="default" w:ascii="DejaVu Math TeX Gyre" w:hAnsi="DejaVu Math TeX Gyre" w:cs="Times New Roman Regular"/>
                <w:i/>
                <w:sz w:val="24"/>
                <w:szCs w:val="24"/>
              </w:rPr>
              <m:t>Algsol</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Minsol</m:t>
            </m:r>
            <m:ctrlPr>
              <w:rPr>
                <w:rFonts w:hint="default" w:ascii="DejaVu Math TeX Gyre" w:hAnsi="DejaVu Math TeX Gyre" w:cs="Times New Roman Regular"/>
                <w:sz w:val="24"/>
                <w:szCs w:val="24"/>
              </w:rPr>
            </m:ctrlPr>
          </m:num>
          <m:den>
            <m:r>
              <m:rPr>
                <m:nor/>
              </m:rPr>
              <w:rPr>
                <w:rFonts w:hint="default" w:ascii="DejaVu Math TeX Gyre" w:hAnsi="DejaVu Math TeX Gyre" w:cs="Times New Roman Regular"/>
                <w:i/>
                <w:sz w:val="24"/>
                <w:szCs w:val="24"/>
              </w:rPr>
              <m:t>Minsol</m:t>
            </m:r>
            <m:ctrlPr>
              <w:rPr>
                <w:rFonts w:hint="default" w:ascii="DejaVu Math TeX Gyre" w:hAnsi="DejaVu Math TeX Gyre" w:cs="Times New Roman Regular"/>
                <w:sz w:val="24"/>
                <w:szCs w:val="24"/>
              </w:rPr>
            </m:ctrlPr>
          </m:den>
        </m:f>
        <m:r>
          <m:rPr>
            <m:nor/>
            <m:sty m:val="p"/>
          </m:rPr>
          <w:rPr>
            <w:rFonts w:hint="default" w:ascii="DejaVu Math TeX Gyre" w:hAnsi="DejaVu Math TeX Gyre" w:cs="Times New Roman Regular"/>
            <w:i w:val="0"/>
            <w:sz w:val="24"/>
            <w:szCs w:val="24"/>
          </w:rPr>
          <m:t>×100%</m:t>
        </m:r>
      </m:oMath>
    </w:p>
    <w:p w14:paraId="764C92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稳定性（Stability）：多次运行的标准差和变异系数（CV）</w:t>
      </w:r>
    </w:p>
    <w:p w14:paraId="185E0B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 可扩展性（Scalability）：重点分析指标，定义为：</w:t>
      </w:r>
    </w:p>
    <w:p w14:paraId="589856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m:oMath>
        <m:r>
          <m:rPr>
            <m:nor/>
          </m:rPr>
          <w:rPr>
            <w:rFonts w:hint="default" w:ascii="DejaVu Math TeX Gyre" w:hAnsi="DejaVu Math TeX Gyre" w:cs="Times New Roman Regular"/>
            <w:i/>
            <w:sz w:val="24"/>
            <w:szCs w:val="24"/>
          </w:rPr>
          <m:t>Scalability</m:t>
        </m:r>
        <m:r>
          <m:rPr>
            <m:nor/>
            <m:sty m:val="p"/>
          </m:rPr>
          <w:rPr>
            <w:rFonts w:hint="default" w:ascii="DejaVu Math TeX Gyre" w:hAnsi="DejaVu Math TeX Gyre" w:cs="Times New Roman Regular"/>
            <w:i w:val="0"/>
            <w:sz w:val="24"/>
            <w:szCs w:val="24"/>
          </w:rPr>
          <m:t>=</m:t>
        </m:r>
        <m:f>
          <m:fPr>
            <m:ctrlPr>
              <w:rPr>
                <w:rFonts w:hint="default" w:ascii="DejaVu Math TeX Gyre" w:hAnsi="DejaVu Math TeX Gyre" w:cs="Times New Roman Regular"/>
                <w:i/>
                <w:sz w:val="24"/>
                <w:szCs w:val="24"/>
              </w:rPr>
            </m:ctrlPr>
          </m:fPr>
          <m:num>
            <m:r>
              <m:rPr>
                <m:nor/>
              </m:rPr>
              <w:rPr>
                <w:rFonts w:hint="default" w:ascii="DejaVu Math TeX Gyre" w:hAnsi="DejaVu Math TeX Gyre" w:cs="Times New Roman Regular"/>
                <w:i/>
                <w:sz w:val="24"/>
                <w:szCs w:val="24"/>
              </w:rPr>
              <m:t>Speedup</m:t>
            </m:r>
            <m:ctrlPr>
              <w:rPr>
                <w:rFonts w:hint="default" w:ascii="DejaVu Math TeX Gyre" w:hAnsi="DejaVu Math TeX Gyre" w:cs="Times New Roman Regular"/>
                <w:sz w:val="24"/>
                <w:szCs w:val="24"/>
              </w:rPr>
            </m:ctrlPr>
          </m:num>
          <m:den>
            <m:r>
              <m:rPr>
                <m:nor/>
              </m:rPr>
              <w:rPr>
                <w:rFonts w:hint="default" w:ascii="DejaVu Math TeX Gyre" w:hAnsi="DejaVu Math TeX Gyre" w:cs="Times New Roman Regular"/>
                <w:i/>
                <w:sz w:val="24"/>
                <w:szCs w:val="24"/>
              </w:rPr>
              <m:t>Problem</m:t>
            </m:r>
            <m:r>
              <m:rPr>
                <m:nor/>
                <m:sty m:val="p"/>
              </m:rPr>
              <w:rPr>
                <w:rFonts w:hint="default" w:ascii="DejaVu Math TeX Gyre" w:hAnsi="DejaVu Math TeX Gyre" w:cs="Times New Roman Regular"/>
                <w:i w:val="0"/>
                <w:sz w:val="24"/>
                <w:szCs w:val="24"/>
              </w:rPr>
              <m:t xml:space="preserve"> </m:t>
            </m:r>
            <m:r>
              <m:rPr>
                <m:nor/>
              </m:rPr>
              <w:rPr>
                <w:rFonts w:hint="default" w:ascii="DejaVu Math TeX Gyre" w:hAnsi="DejaVu Math TeX Gyre" w:cs="Times New Roman Regular"/>
                <w:i/>
                <w:sz w:val="24"/>
                <w:szCs w:val="24"/>
              </w:rPr>
              <m:t>Size</m:t>
            </m:r>
            <m:r>
              <m:rPr>
                <m:nor/>
                <m:sty m:val="p"/>
              </m:rPr>
              <w:rPr>
                <w:rFonts w:hint="default" w:ascii="DejaVu Math TeX Gyre" w:hAnsi="DejaVu Math TeX Gyre" w:cs="Times New Roman Regular"/>
                <w:i w:val="0"/>
                <w:sz w:val="24"/>
                <w:szCs w:val="24"/>
              </w:rPr>
              <m:t xml:space="preserve"> </m:t>
            </m:r>
            <m:r>
              <m:rPr>
                <m:nor/>
              </m:rPr>
              <w:rPr>
                <w:rFonts w:hint="default" w:ascii="DejaVu Math TeX Gyre" w:hAnsi="DejaVu Math TeX Gyre" w:cs="Times New Roman Regular"/>
                <w:i/>
                <w:sz w:val="24"/>
                <w:szCs w:val="24"/>
              </w:rPr>
              <m:t>Increase</m:t>
            </m:r>
            <m:ctrlPr>
              <w:rPr>
                <w:rFonts w:hint="default" w:ascii="DejaVu Math TeX Gyre" w:hAnsi="DejaVu Math TeX Gyre" w:cs="Times New Roman Regular"/>
                <w:sz w:val="24"/>
                <w:szCs w:val="24"/>
              </w:rPr>
            </m:ctrlPr>
          </m:den>
        </m:f>
      </m:oMath>
    </w:p>
    <w:p w14:paraId="176B61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或分析时间/质量随问题规模增长的趋势</w:t>
      </w:r>
    </w:p>
    <w:p w14:paraId="07BD2C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lang w:val="en-US" w:eastAsia="zh-CN"/>
        </w:rPr>
        <w:t>四</w:t>
      </w:r>
      <w:r>
        <w:rPr>
          <w:rFonts w:hint="default" w:ascii="Times New Roman Regular" w:hAnsi="Times New Roman Regular" w:cs="Times New Roman Regular"/>
          <w:b/>
          <w:bCs/>
          <w:sz w:val="24"/>
          <w:szCs w:val="24"/>
        </w:rPr>
        <w:t>、数据分析与可视化</w:t>
      </w:r>
    </w:p>
    <w:p w14:paraId="48908F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4</w:t>
      </w:r>
      <w:r>
        <w:rPr>
          <w:rFonts w:hint="default" w:ascii="Times New Roman Regular" w:hAnsi="Times New Roman Regular" w:cs="Times New Roman Regular"/>
          <w:sz w:val="24"/>
          <w:szCs w:val="24"/>
        </w:rPr>
        <w:t>.1 多维性能剖析</w:t>
      </w:r>
    </w:p>
    <w:p w14:paraId="5005A2A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实验设计矩阵：</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20"/>
        <w:gridCol w:w="1420"/>
        <w:gridCol w:w="1420"/>
        <w:gridCol w:w="1420"/>
        <w:gridCol w:w="1421"/>
        <w:gridCol w:w="1421"/>
      </w:tblGrid>
      <w:tr w14:paraId="0A95432A">
        <w:tc>
          <w:tcPr>
            <w:tcW w:w="1420" w:type="dxa"/>
            <w:tcBorders>
              <w:top w:val="single" w:color="000000" w:sz="12" w:space="0"/>
              <w:left w:val="nil"/>
              <w:bottom w:val="single" w:color="000000" w:sz="4" w:space="0"/>
              <w:right w:val="nil"/>
              <w:tl2br w:val="nil"/>
            </w:tcBorders>
            <w:shd w:val="clear" w:color="auto" w:fill="FFFFFF"/>
          </w:tcPr>
          <w:p w14:paraId="15CE384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val="0"/>
                <w:color w:val="000000"/>
                <w:sz w:val="24"/>
                <w:szCs w:val="24"/>
                <w:vertAlign w:val="baseline"/>
              </w:rPr>
            </w:pPr>
            <w:r>
              <w:rPr>
                <w:rFonts w:hint="default" w:ascii="Times New Roman Regular" w:hAnsi="Times New Roman Regular" w:cs="Times New Roman Regular"/>
                <w:b/>
                <w:bCs w:val="0"/>
                <w:color w:val="000000"/>
                <w:sz w:val="24"/>
                <w:szCs w:val="24"/>
              </w:rPr>
              <w:t>算法</w:t>
            </w:r>
          </w:p>
        </w:tc>
        <w:tc>
          <w:tcPr>
            <w:tcW w:w="1420" w:type="dxa"/>
            <w:tcBorders>
              <w:top w:val="single" w:color="000000" w:sz="12" w:space="0"/>
              <w:left w:val="nil"/>
              <w:bottom w:val="single" w:color="000000" w:sz="4" w:space="0"/>
              <w:right w:val="nil"/>
            </w:tcBorders>
            <w:shd w:val="clear" w:color="auto" w:fill="FFFFFF"/>
          </w:tcPr>
          <w:p w14:paraId="61B86A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val="0"/>
                <w:color w:val="000000"/>
                <w:sz w:val="24"/>
                <w:szCs w:val="24"/>
                <w:vertAlign w:val="baseline"/>
              </w:rPr>
            </w:pPr>
            <w:r>
              <w:rPr>
                <w:rFonts w:hint="default" w:ascii="Times New Roman Regular" w:hAnsi="Times New Roman Regular" w:cs="Times New Roman Regular"/>
                <w:b/>
                <w:bCs w:val="0"/>
                <w:color w:val="000000"/>
                <w:sz w:val="24"/>
                <w:szCs w:val="24"/>
              </w:rPr>
              <w:t>类别A</w:t>
            </w:r>
          </w:p>
        </w:tc>
        <w:tc>
          <w:tcPr>
            <w:tcW w:w="1420" w:type="dxa"/>
            <w:tcBorders>
              <w:top w:val="single" w:color="000000" w:sz="12" w:space="0"/>
              <w:left w:val="nil"/>
              <w:bottom w:val="single" w:color="000000" w:sz="4" w:space="0"/>
              <w:right w:val="nil"/>
            </w:tcBorders>
            <w:shd w:val="clear" w:color="auto" w:fill="FFFFFF"/>
          </w:tcPr>
          <w:p w14:paraId="21F072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val="0"/>
                <w:color w:val="000000"/>
                <w:sz w:val="24"/>
                <w:szCs w:val="24"/>
                <w:vertAlign w:val="baseline"/>
              </w:rPr>
            </w:pPr>
            <w:r>
              <w:rPr>
                <w:rFonts w:hint="default" w:ascii="Times New Roman Regular" w:hAnsi="Times New Roman Regular" w:cs="Times New Roman Regular"/>
                <w:b/>
                <w:bCs w:val="0"/>
                <w:color w:val="000000"/>
                <w:sz w:val="24"/>
                <w:szCs w:val="24"/>
              </w:rPr>
              <w:t>类别B</w:t>
            </w:r>
          </w:p>
        </w:tc>
        <w:tc>
          <w:tcPr>
            <w:tcW w:w="1420" w:type="dxa"/>
            <w:tcBorders>
              <w:top w:val="single" w:color="000000" w:sz="12" w:space="0"/>
              <w:left w:val="nil"/>
              <w:bottom w:val="single" w:color="000000" w:sz="4" w:space="0"/>
              <w:right w:val="nil"/>
            </w:tcBorders>
            <w:shd w:val="clear" w:color="auto" w:fill="FFFFFF"/>
          </w:tcPr>
          <w:p w14:paraId="3CB96B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val="0"/>
                <w:color w:val="000000"/>
                <w:sz w:val="24"/>
                <w:szCs w:val="24"/>
                <w:vertAlign w:val="baseline"/>
              </w:rPr>
            </w:pPr>
            <w:r>
              <w:rPr>
                <w:rFonts w:hint="default" w:ascii="Times New Roman Regular" w:hAnsi="Times New Roman Regular" w:cs="Times New Roman Regular"/>
                <w:b/>
                <w:bCs w:val="0"/>
                <w:color w:val="000000"/>
                <w:sz w:val="24"/>
                <w:szCs w:val="24"/>
              </w:rPr>
              <w:t>类别C</w:t>
            </w:r>
          </w:p>
        </w:tc>
        <w:tc>
          <w:tcPr>
            <w:tcW w:w="1421" w:type="dxa"/>
            <w:tcBorders>
              <w:top w:val="single" w:color="000000" w:sz="12" w:space="0"/>
              <w:left w:val="nil"/>
              <w:bottom w:val="single" w:color="000000" w:sz="4" w:space="0"/>
              <w:right w:val="nil"/>
            </w:tcBorders>
            <w:shd w:val="clear" w:color="auto" w:fill="FFFFFF"/>
          </w:tcPr>
          <w:p w14:paraId="41FC47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val="0"/>
                <w:color w:val="000000"/>
                <w:sz w:val="24"/>
                <w:szCs w:val="24"/>
                <w:vertAlign w:val="baseline"/>
              </w:rPr>
            </w:pPr>
            <w:r>
              <w:rPr>
                <w:rFonts w:hint="default" w:ascii="Times New Roman Regular" w:hAnsi="Times New Roman Regular" w:cs="Times New Roman Regular"/>
                <w:b/>
                <w:bCs w:val="0"/>
                <w:color w:val="000000"/>
                <w:sz w:val="24"/>
                <w:szCs w:val="24"/>
              </w:rPr>
              <w:t>类别D</w:t>
            </w:r>
          </w:p>
        </w:tc>
        <w:tc>
          <w:tcPr>
            <w:tcW w:w="1421" w:type="dxa"/>
            <w:tcBorders>
              <w:top w:val="single" w:color="000000" w:sz="12" w:space="0"/>
              <w:left w:val="nil"/>
              <w:bottom w:val="single" w:color="000000" w:sz="4" w:space="0"/>
              <w:right w:val="nil"/>
            </w:tcBorders>
            <w:shd w:val="clear" w:color="auto" w:fill="FFFFFF"/>
          </w:tcPr>
          <w:p w14:paraId="399777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val="0"/>
                <w:color w:val="000000"/>
                <w:sz w:val="24"/>
                <w:szCs w:val="24"/>
                <w:vertAlign w:val="baseline"/>
              </w:rPr>
            </w:pPr>
            <w:r>
              <w:rPr>
                <w:rFonts w:hint="default" w:ascii="Times New Roman Regular" w:hAnsi="Times New Roman Regular" w:cs="Times New Roman Regular"/>
                <w:b/>
                <w:bCs w:val="0"/>
                <w:color w:val="000000"/>
                <w:sz w:val="24"/>
                <w:szCs w:val="24"/>
              </w:rPr>
              <w:t>类别E</w:t>
            </w:r>
          </w:p>
        </w:tc>
      </w:tr>
      <w:tr w14:paraId="52B9D1D6">
        <w:tc>
          <w:tcPr>
            <w:tcW w:w="1420" w:type="dxa"/>
            <w:tcBorders>
              <w:top w:val="single" w:color="000000" w:sz="4" w:space="0"/>
              <w:left w:val="nil"/>
              <w:bottom w:val="nil"/>
              <w:right w:val="nil"/>
            </w:tcBorders>
            <w:shd w:val="clear" w:color="auto" w:fill="FFFFFF"/>
          </w:tcPr>
          <w:p w14:paraId="154458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纯GA</w:t>
            </w:r>
          </w:p>
        </w:tc>
        <w:tc>
          <w:tcPr>
            <w:tcW w:w="1420" w:type="dxa"/>
            <w:tcBorders>
              <w:top w:val="single" w:color="000000" w:sz="4" w:space="0"/>
              <w:left w:val="nil"/>
              <w:bottom w:val="nil"/>
              <w:right w:val="nil"/>
            </w:tcBorders>
            <w:shd w:val="clear" w:color="auto" w:fill="FFFFFF"/>
          </w:tcPr>
          <w:p w14:paraId="21B602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0" w:type="dxa"/>
            <w:tcBorders>
              <w:top w:val="single" w:color="000000" w:sz="4" w:space="0"/>
              <w:left w:val="nil"/>
              <w:bottom w:val="nil"/>
              <w:right w:val="nil"/>
            </w:tcBorders>
            <w:shd w:val="clear" w:color="auto" w:fill="FFFFFF"/>
          </w:tcPr>
          <w:p w14:paraId="23B235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0" w:type="dxa"/>
            <w:tcBorders>
              <w:top w:val="single" w:color="000000" w:sz="4" w:space="0"/>
              <w:left w:val="nil"/>
              <w:bottom w:val="nil"/>
              <w:right w:val="nil"/>
            </w:tcBorders>
            <w:shd w:val="clear" w:color="auto" w:fill="FFFFFF"/>
          </w:tcPr>
          <w:p w14:paraId="2E8EFC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1" w:type="dxa"/>
            <w:tcBorders>
              <w:top w:val="single" w:color="000000" w:sz="4" w:space="0"/>
              <w:left w:val="nil"/>
              <w:bottom w:val="nil"/>
              <w:right w:val="nil"/>
            </w:tcBorders>
            <w:shd w:val="clear" w:color="auto" w:fill="FFFFFF"/>
          </w:tcPr>
          <w:p w14:paraId="497FAC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1" w:type="dxa"/>
            <w:tcBorders>
              <w:top w:val="single" w:color="000000" w:sz="4" w:space="0"/>
              <w:left w:val="nil"/>
              <w:bottom w:val="nil"/>
              <w:right w:val="nil"/>
            </w:tcBorders>
            <w:shd w:val="clear" w:color="auto" w:fill="FFFFFF"/>
          </w:tcPr>
          <w:p w14:paraId="25B2A6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r>
      <w:tr w14:paraId="364571EF">
        <w:trPr>
          <w:trHeight w:val="90" w:hRule="atLeast"/>
        </w:trPr>
        <w:tc>
          <w:tcPr>
            <w:tcW w:w="1420" w:type="dxa"/>
            <w:tcBorders>
              <w:top w:val="nil"/>
              <w:left w:val="nil"/>
              <w:bottom w:val="nil"/>
              <w:right w:val="nil"/>
            </w:tcBorders>
            <w:shd w:val="clear" w:color="auto" w:fill="FFFFFF"/>
          </w:tcPr>
          <w:p w14:paraId="654776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纯SA</w:t>
            </w:r>
          </w:p>
        </w:tc>
        <w:tc>
          <w:tcPr>
            <w:tcW w:w="1420" w:type="dxa"/>
            <w:tcBorders>
              <w:top w:val="nil"/>
              <w:left w:val="nil"/>
              <w:bottom w:val="nil"/>
              <w:right w:val="nil"/>
            </w:tcBorders>
            <w:shd w:val="clear" w:color="auto" w:fill="FFFFFF"/>
          </w:tcPr>
          <w:p w14:paraId="00727D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0" w:type="dxa"/>
            <w:tcBorders>
              <w:top w:val="nil"/>
              <w:left w:val="nil"/>
              <w:bottom w:val="nil"/>
              <w:right w:val="nil"/>
            </w:tcBorders>
            <w:shd w:val="clear" w:color="auto" w:fill="FFFFFF"/>
          </w:tcPr>
          <w:p w14:paraId="7985B1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0" w:type="dxa"/>
            <w:tcBorders>
              <w:top w:val="nil"/>
              <w:left w:val="nil"/>
              <w:bottom w:val="nil"/>
              <w:right w:val="nil"/>
            </w:tcBorders>
            <w:shd w:val="clear" w:color="auto" w:fill="FFFFFF"/>
          </w:tcPr>
          <w:p w14:paraId="5D6C6A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1" w:type="dxa"/>
            <w:tcBorders>
              <w:top w:val="nil"/>
              <w:left w:val="nil"/>
              <w:bottom w:val="nil"/>
              <w:right w:val="nil"/>
            </w:tcBorders>
            <w:shd w:val="clear" w:color="auto" w:fill="FFFFFF"/>
          </w:tcPr>
          <w:p w14:paraId="1BE0D2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1" w:type="dxa"/>
            <w:tcBorders>
              <w:top w:val="nil"/>
              <w:left w:val="nil"/>
              <w:bottom w:val="nil"/>
              <w:right w:val="nil"/>
            </w:tcBorders>
            <w:shd w:val="clear" w:color="auto" w:fill="FFFFFF"/>
          </w:tcPr>
          <w:p w14:paraId="35EAA3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r>
      <w:tr w14:paraId="19BDF0B3">
        <w:tc>
          <w:tcPr>
            <w:tcW w:w="1420" w:type="dxa"/>
            <w:tcBorders>
              <w:top w:val="nil"/>
              <w:left w:val="nil"/>
              <w:bottom w:val="single" w:color="000000" w:sz="12" w:space="0"/>
              <w:right w:val="nil"/>
            </w:tcBorders>
            <w:shd w:val="clear" w:color="auto" w:fill="FFFFFF"/>
          </w:tcPr>
          <w:p w14:paraId="5640A0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HGASA</w:t>
            </w:r>
          </w:p>
        </w:tc>
        <w:tc>
          <w:tcPr>
            <w:tcW w:w="1420" w:type="dxa"/>
            <w:tcBorders>
              <w:top w:val="nil"/>
              <w:left w:val="nil"/>
              <w:bottom w:val="single" w:color="000000" w:sz="12" w:space="0"/>
              <w:right w:val="nil"/>
            </w:tcBorders>
            <w:shd w:val="clear" w:color="auto" w:fill="FFFFFF"/>
          </w:tcPr>
          <w:p w14:paraId="01F9ED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0" w:type="dxa"/>
            <w:tcBorders>
              <w:top w:val="nil"/>
              <w:left w:val="nil"/>
              <w:bottom w:val="single" w:color="000000" w:sz="12" w:space="0"/>
              <w:right w:val="nil"/>
            </w:tcBorders>
            <w:shd w:val="clear" w:color="auto" w:fill="FFFFFF"/>
          </w:tcPr>
          <w:p w14:paraId="39B044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0" w:type="dxa"/>
            <w:tcBorders>
              <w:top w:val="nil"/>
              <w:left w:val="nil"/>
              <w:bottom w:val="single" w:color="000000" w:sz="12" w:space="0"/>
              <w:right w:val="nil"/>
            </w:tcBorders>
            <w:shd w:val="clear" w:color="auto" w:fill="FFFFFF"/>
          </w:tcPr>
          <w:p w14:paraId="746B2F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1" w:type="dxa"/>
            <w:tcBorders>
              <w:top w:val="nil"/>
              <w:left w:val="nil"/>
              <w:bottom w:val="single" w:color="000000" w:sz="12" w:space="0"/>
              <w:right w:val="nil"/>
            </w:tcBorders>
            <w:shd w:val="clear" w:color="auto" w:fill="FFFFFF"/>
          </w:tcPr>
          <w:p w14:paraId="15C3E7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c>
          <w:tcPr>
            <w:tcW w:w="1421" w:type="dxa"/>
            <w:tcBorders>
              <w:top w:val="nil"/>
              <w:left w:val="nil"/>
              <w:bottom w:val="single" w:color="000000" w:sz="12" w:space="0"/>
              <w:right w:val="nil"/>
            </w:tcBorders>
            <w:shd w:val="clear" w:color="auto" w:fill="FFFFFF"/>
          </w:tcPr>
          <w:p w14:paraId="30C200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20×5</w:t>
            </w:r>
          </w:p>
        </w:tc>
      </w:tr>
    </w:tbl>
    <w:p w14:paraId="766BB1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关键分析维度：</w:t>
      </w:r>
    </w:p>
    <w:p w14:paraId="72D161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规模影响分析：</w:t>
      </w:r>
    </w:p>
    <w:p w14:paraId="697D73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固定密度（2%），变化规模：200×1000 → 1000×10000</w:t>
      </w:r>
    </w:p>
    <w:p w14:paraId="329E64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预期：时间复杂度应呈超线性增长（因</w:t>
      </w:r>
      <m:oMath>
        <m:r>
          <m:rPr/>
          <w:rPr>
            <w:rFonts w:hint="default" w:ascii="DejaVu Math TeX Gyre" w:hAnsi="DejaVu Math TeX Gyre"/>
            <w:sz w:val="24"/>
          </w:rPr>
          <m:t>m⋅n</m:t>
        </m:r>
      </m:oMath>
      <w:r>
        <w:rPr>
          <w:rFonts w:hint="default" w:ascii="Times New Roman Regular" w:hAnsi="Times New Roman Regular" w:cs="Times New Roman Regular"/>
          <w:sz w:val="24"/>
          <w:szCs w:val="24"/>
        </w:rPr>
        <w:t>乘积效应）</w:t>
      </w:r>
    </w:p>
    <w:p w14:paraId="28A8941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密度影响分析：</w:t>
      </w:r>
    </w:p>
    <w:p w14:paraId="490F39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固定规模，变化密度：2% → 5%</w:t>
      </w:r>
    </w:p>
    <w:p w14:paraId="54CA40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预期：稠密实例收敛更快（更多覆盖选择），但评估更慢</w:t>
      </w:r>
    </w:p>
    <w:p w14:paraId="78D07C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p>
    <w:p w14:paraId="7D38548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图1展示了SA、GA和HGASA五类典型问题实例上的收敛过程。可以观察到：(1) HGASA在所有类别上收敛速度最快，通常在50-80代内达到稳定；(2) SA在小规模稀疏问题(B类)上表现较好，但在大规模问题上容易陷入局部最优；(3) GA收敛平稳但速度较慢，需要150-200代才能稳定。这表明混合策略有效结合了GA的全局探索能力和SA的局部开发能力。</w:t>
      </w:r>
    </w:p>
    <w:p w14:paraId="25D1CE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Regular" w:hAnsi="Times New Roman Regular" w:cs="Times New Roman Regular" w:eastAsiaTheme="minorEastAsia"/>
          <w:sz w:val="24"/>
          <w:szCs w:val="24"/>
          <w:lang w:eastAsia="zh-CN"/>
        </w:rPr>
      </w:pPr>
      <w:r>
        <w:rPr>
          <w:rFonts w:hint="eastAsia" w:ascii="Times New Roman Regular" w:hAnsi="Times New Roman Regular" w:cs="Times New Roman Regular" w:eastAsiaTheme="minorEastAsia"/>
          <w:sz w:val="24"/>
          <w:szCs w:val="24"/>
          <w:lang w:eastAsia="zh-CN"/>
        </w:rPr>
        <w:drawing>
          <wp:inline distT="0" distB="0" distL="114300" distR="114300">
            <wp:extent cx="5270500" cy="3482340"/>
            <wp:effectExtent l="0" t="0" r="12700" b="22860"/>
            <wp:docPr id="6" name="图片 6" descr="01_convergence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1_convergence_curves"/>
                    <pic:cNvPicPr>
                      <a:picLocks noChangeAspect="1"/>
                    </pic:cNvPicPr>
                  </pic:nvPicPr>
                  <pic:blipFill>
                    <a:blip r:embed="rId4"/>
                    <a:stretch>
                      <a:fillRect/>
                    </a:stretch>
                  </pic:blipFill>
                  <pic:spPr>
                    <a:xfrm>
                      <a:off x="0" y="0"/>
                      <a:ext cx="5270500" cy="3482340"/>
                    </a:xfrm>
                    <a:prstGeom prst="rect">
                      <a:avLst/>
                    </a:prstGeom>
                  </pic:spPr>
                </pic:pic>
              </a:graphicData>
            </a:graphic>
          </wp:inline>
        </w:drawing>
      </w:r>
    </w:p>
    <w:p w14:paraId="4ABB573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图1 不同问题类别下的算法收敛曲线对比</w:t>
      </w:r>
    </w:p>
    <w:p w14:paraId="754C35D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Regular" w:hAnsi="Times New Roman Regular" w:cs="Times New Roman Regular"/>
          <w:sz w:val="24"/>
          <w:szCs w:val="24"/>
          <w:lang w:eastAsia="zh-CN"/>
        </w:rPr>
      </w:pPr>
      <w:r>
        <w:rPr>
          <w:rFonts w:hint="eastAsia" w:ascii="Times New Roman Regular" w:hAnsi="Times New Roman Regular" w:cs="Times New Roman Regular"/>
          <w:sz w:val="24"/>
          <w:szCs w:val="24"/>
          <w:lang w:eastAsia="zh-CN"/>
        </w:rPr>
        <w:t>图2左图显示HGASA在所有问题类别上的RPD中位数均低于5%，显著优于SA(10-20%)和GA(5-15%)。右图显示运行时间分布，SA在小规模问题上最快，但随规模增长时间急剧增加；HGASA虽然单次运行时间较长，但其收敛速度快的特性使得达到同等解质量所需时间实际更短。箱线图的 whisker 范围显示HGASA的稳定性最佳，异常值最少。</w:t>
      </w:r>
    </w:p>
    <w:p w14:paraId="00ABE4A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sz w:val="24"/>
          <w:szCs w:val="24"/>
          <w:lang w:eastAsia="zh-CN"/>
        </w:rPr>
      </w:pPr>
      <w:r>
        <w:rPr>
          <w:rFonts w:hint="eastAsia" w:ascii="Times New Roman Regular" w:hAnsi="Times New Roman Regular" w:cs="Times New Roman Regular"/>
          <w:sz w:val="24"/>
          <w:szCs w:val="24"/>
          <w:lang w:eastAsia="zh-CN"/>
        </w:rPr>
        <w:drawing>
          <wp:inline distT="0" distB="0" distL="114300" distR="114300">
            <wp:extent cx="5262880" cy="1953260"/>
            <wp:effectExtent l="0" t="0" r="20320" b="2540"/>
            <wp:docPr id="7" name="图片 7" descr="02_performanc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2_performance_boxplot"/>
                    <pic:cNvPicPr>
                      <a:picLocks noChangeAspect="1"/>
                    </pic:cNvPicPr>
                  </pic:nvPicPr>
                  <pic:blipFill>
                    <a:blip r:embed="rId5"/>
                    <a:stretch>
                      <a:fillRect/>
                    </a:stretch>
                  </pic:blipFill>
                  <pic:spPr>
                    <a:xfrm>
                      <a:off x="0" y="0"/>
                      <a:ext cx="5262880" cy="1953260"/>
                    </a:xfrm>
                    <a:prstGeom prst="rect">
                      <a:avLst/>
                    </a:prstGeom>
                  </pic:spPr>
                </pic:pic>
              </a:graphicData>
            </a:graphic>
          </wp:inline>
        </w:drawing>
      </w:r>
    </w:p>
    <w:p w14:paraId="02DEF12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Regular" w:hAnsi="Times New Roman Regular" w:cs="Times New Roman Regular"/>
          <w:sz w:val="24"/>
          <w:szCs w:val="24"/>
          <w:lang w:eastAsia="zh-CN"/>
        </w:rPr>
      </w:pPr>
      <w:r>
        <w:rPr>
          <w:rFonts w:hint="eastAsia" w:ascii="Times New Roman Regular" w:hAnsi="Times New Roman Regular" w:cs="Times New Roman Regular"/>
          <w:sz w:val="24"/>
          <w:szCs w:val="24"/>
          <w:lang w:eastAsia="zh-CN"/>
        </w:rPr>
        <w:t>图2 解质量(RPD)与运行时间分布箱线图</w:t>
      </w:r>
    </w:p>
    <w:p w14:paraId="724AA1A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Regular" w:hAnsi="Times New Roman Regular" w:cs="Times New Roman Regular"/>
          <w:sz w:val="24"/>
          <w:szCs w:val="24"/>
          <w:lang w:eastAsia="zh-CN"/>
        </w:rPr>
      </w:pPr>
      <w:r>
        <w:rPr>
          <w:rFonts w:hint="eastAsia" w:ascii="Times New Roman Regular" w:hAnsi="Times New Roman Regular" w:cs="Times New Roman Regular"/>
          <w:sz w:val="24"/>
          <w:szCs w:val="24"/>
          <w:lang w:eastAsia="zh-CN"/>
        </w:rPr>
        <w:t>图</w:t>
      </w:r>
      <w:r>
        <w:rPr>
          <w:rFonts w:hint="eastAsia" w:ascii="Times New Roman Regular" w:hAnsi="Times New Roman Regular" w:cs="Times New Roman Regular"/>
          <w:sz w:val="24"/>
          <w:szCs w:val="24"/>
          <w:lang w:val="en-US" w:eastAsia="zh-CN"/>
        </w:rPr>
        <w:t>3</w:t>
      </w:r>
      <w:r>
        <w:rPr>
          <w:rFonts w:hint="eastAsia" w:ascii="Times New Roman Regular" w:hAnsi="Times New Roman Regular" w:cs="Times New Roman Regular"/>
          <w:sz w:val="24"/>
          <w:szCs w:val="24"/>
          <w:lang w:eastAsia="zh-CN"/>
        </w:rPr>
        <w:t>左图展示了解质量优势分布，右图为综合优势(质量70%+时间30%)。热力图清晰显示：(1) 小规模稀疏问题(B类)：SA具有相对优势，因其简单邻域结构适合精细搜索；(2) 大规模稠密问题(C类)：HGASA优势最明显，混合策略有效平衡了探索与开发；(3) 结构化问题(E类)：三种算法差异较小，问题本身的结构降低了搜索难度。综合评估表明HGASA在80%的场景下为最优选择。</w:t>
      </w:r>
    </w:p>
    <w:p w14:paraId="0FAB8BC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sz w:val="24"/>
          <w:szCs w:val="24"/>
          <w:lang w:eastAsia="zh-CN"/>
        </w:rPr>
      </w:pPr>
      <w:r>
        <w:rPr>
          <w:rFonts w:hint="eastAsia" w:ascii="Times New Roman Regular" w:hAnsi="Times New Roman Regular" w:cs="Times New Roman Regular"/>
          <w:sz w:val="24"/>
          <w:szCs w:val="24"/>
          <w:lang w:eastAsia="zh-CN"/>
        </w:rPr>
        <w:drawing>
          <wp:inline distT="0" distB="0" distL="114300" distR="114300">
            <wp:extent cx="5269230" cy="2297430"/>
            <wp:effectExtent l="0" t="0" r="13970" b="13970"/>
            <wp:docPr id="9" name="图片 9" descr="04_advantage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4_advantage_heatmap"/>
                    <pic:cNvPicPr>
                      <a:picLocks noChangeAspect="1"/>
                    </pic:cNvPicPr>
                  </pic:nvPicPr>
                  <pic:blipFill>
                    <a:blip r:embed="rId6"/>
                    <a:stretch>
                      <a:fillRect/>
                    </a:stretch>
                  </pic:blipFill>
                  <pic:spPr>
                    <a:xfrm>
                      <a:off x="0" y="0"/>
                      <a:ext cx="5269230" cy="2297430"/>
                    </a:xfrm>
                    <a:prstGeom prst="rect">
                      <a:avLst/>
                    </a:prstGeom>
                  </pic:spPr>
                </pic:pic>
              </a:graphicData>
            </a:graphic>
          </wp:inline>
        </w:drawing>
      </w:r>
    </w:p>
    <w:p w14:paraId="217D0F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Regular" w:hAnsi="Times New Roman Regular" w:cs="Times New Roman Regular"/>
          <w:sz w:val="24"/>
          <w:szCs w:val="24"/>
          <w:lang w:eastAsia="zh-CN"/>
        </w:rPr>
      </w:pPr>
      <w:r>
        <w:rPr>
          <w:rFonts w:hint="eastAsia" w:ascii="Times New Roman Regular" w:hAnsi="Times New Roman Regular" w:cs="Times New Roman Regular"/>
          <w:sz w:val="24"/>
          <w:szCs w:val="24"/>
          <w:lang w:eastAsia="zh-CN"/>
        </w:rPr>
        <w:t>图</w:t>
      </w:r>
      <w:r>
        <w:rPr>
          <w:rFonts w:hint="eastAsia" w:ascii="Times New Roman Regular" w:hAnsi="Times New Roman Regular" w:cs="Times New Roman Regular"/>
          <w:sz w:val="24"/>
          <w:szCs w:val="24"/>
          <w:lang w:val="en-US" w:eastAsia="zh-CN"/>
        </w:rPr>
        <w:t>3</w:t>
      </w:r>
      <w:r>
        <w:rPr>
          <w:rFonts w:hint="eastAsia" w:ascii="Times New Roman Regular" w:hAnsi="Times New Roman Regular" w:cs="Times New Roman Regular"/>
          <w:sz w:val="24"/>
          <w:szCs w:val="24"/>
          <w:lang w:eastAsia="zh-CN"/>
        </w:rPr>
        <w:t xml:space="preserve"> 算法优势区间热力图</w:t>
      </w:r>
    </w:p>
    <w:p w14:paraId="4B94A9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结构影响分析：</w:t>
      </w:r>
    </w:p>
    <w:p w14:paraId="101468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对比随机实例（A-D）与结构化实例（E）</w:t>
      </w:r>
    </w:p>
    <w:p w14:paraId="6E2CF0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预期：结构化实例可能更适合启发式搜索</w:t>
      </w:r>
    </w:p>
    <w:p w14:paraId="16EDBC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4</w:t>
      </w:r>
      <w:r>
        <w:rPr>
          <w:rFonts w:hint="default" w:ascii="Times New Roman Regular" w:hAnsi="Times New Roman Regular" w:cs="Times New Roman Regular"/>
          <w:sz w:val="24"/>
          <w:szCs w:val="24"/>
        </w:rPr>
        <w:t>.2 优势区间图</w:t>
      </w:r>
    </w:p>
    <w:p w14:paraId="6B6CFB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基于预实验结果，预测算法优势区间：</w:t>
      </w:r>
    </w:p>
    <w:p w14:paraId="0A64B4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小规模</w:t>
      </w:r>
      <w:r>
        <w:rPr>
          <w:rFonts w:hint="default" w:ascii="Times New Roman Regular" w:hAnsi="Times New Roman Regular" w:cs="Times New Roman Regular"/>
          <w:sz w:val="24"/>
          <w:szCs w:val="24"/>
        </w:rPr>
        <w:t xml:space="preserve"> ←————————————————→ </w:t>
      </w:r>
      <w:r>
        <w:rPr>
          <w:rFonts w:hint="default" w:ascii="Times New Roman Regular" w:hAnsi="Times New Roman Regular" w:cs="Times New Roman Regular"/>
          <w:b/>
          <w:bCs/>
          <w:sz w:val="24"/>
          <w:szCs w:val="24"/>
        </w:rPr>
        <w:t>大规模</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11"/>
        <w:gridCol w:w="1297"/>
        <w:gridCol w:w="1704"/>
        <w:gridCol w:w="1705"/>
        <w:gridCol w:w="1705"/>
      </w:tblGrid>
      <w:tr w14:paraId="64690966">
        <w:tc>
          <w:tcPr>
            <w:tcW w:w="2111" w:type="dxa"/>
            <w:tcBorders>
              <w:top w:val="single" w:color="000000" w:sz="12" w:space="0"/>
              <w:left w:val="nil"/>
              <w:bottom w:val="single" w:color="000000" w:sz="4" w:space="0"/>
              <w:right w:val="nil"/>
              <w:tl2br w:val="nil"/>
            </w:tcBorders>
            <w:shd w:val="clear" w:color="auto" w:fill="FFFFFF"/>
          </w:tcPr>
          <w:p w14:paraId="6D575A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Regular" w:hAnsi="Times New Roman Regular" w:cs="Times New Roman Regular" w:eastAsiaTheme="minorEastAsia"/>
                <w:b/>
                <w:bCs w:val="0"/>
                <w:color w:val="000000"/>
                <w:sz w:val="24"/>
                <w:szCs w:val="24"/>
                <w:vertAlign w:val="baseline"/>
                <w:lang w:val="en-US" w:eastAsia="zh-CN"/>
              </w:rPr>
            </w:pPr>
            <w:r>
              <w:rPr>
                <w:rFonts w:hint="eastAsia" w:ascii="Times New Roman Regular" w:hAnsi="Times New Roman Regular" w:cs="Times New Roman Regular"/>
                <w:b/>
                <w:bCs w:val="0"/>
                <w:color w:val="000000"/>
                <w:sz w:val="24"/>
                <w:szCs w:val="24"/>
                <w:vertAlign w:val="baseline"/>
                <w:lang w:val="en-US" w:eastAsia="zh-CN"/>
              </w:rPr>
              <w:t>算法</w:t>
            </w:r>
          </w:p>
        </w:tc>
        <w:tc>
          <w:tcPr>
            <w:tcW w:w="1297" w:type="dxa"/>
            <w:tcBorders>
              <w:top w:val="single" w:color="000000" w:sz="12" w:space="0"/>
              <w:left w:val="nil"/>
              <w:bottom w:val="single" w:color="000000" w:sz="4" w:space="0"/>
              <w:right w:val="nil"/>
            </w:tcBorders>
            <w:shd w:val="clear" w:color="auto" w:fill="FFFFFF"/>
          </w:tcPr>
          <w:p w14:paraId="0E85BE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val="0"/>
                <w:color w:val="000000"/>
                <w:sz w:val="24"/>
                <w:szCs w:val="24"/>
                <w:vertAlign w:val="baseline"/>
              </w:rPr>
            </w:pPr>
            <w:r>
              <w:rPr>
                <w:rFonts w:hint="default" w:ascii="Times New Roman Regular" w:hAnsi="Times New Roman Regular" w:cs="Times New Roman Regular"/>
                <w:b/>
                <w:bCs w:val="0"/>
                <w:color w:val="000000"/>
                <w:sz w:val="24"/>
                <w:szCs w:val="24"/>
              </w:rPr>
              <w:t>稀疏</w:t>
            </w:r>
          </w:p>
        </w:tc>
        <w:tc>
          <w:tcPr>
            <w:tcW w:w="1704" w:type="dxa"/>
            <w:tcBorders>
              <w:top w:val="single" w:color="000000" w:sz="12" w:space="0"/>
              <w:left w:val="nil"/>
              <w:bottom w:val="single" w:color="000000" w:sz="4" w:space="0"/>
              <w:right w:val="nil"/>
            </w:tcBorders>
            <w:shd w:val="clear" w:color="auto" w:fill="FFFFFF"/>
          </w:tcPr>
          <w:p w14:paraId="42D5AA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val="0"/>
                <w:color w:val="000000"/>
                <w:sz w:val="24"/>
                <w:szCs w:val="24"/>
                <w:vertAlign w:val="baseline"/>
              </w:rPr>
            </w:pPr>
            <w:r>
              <w:rPr>
                <w:rFonts w:hint="default" w:ascii="Times New Roman Regular" w:hAnsi="Times New Roman Regular" w:cs="Times New Roman Regular"/>
                <w:b/>
                <w:bCs w:val="0"/>
                <w:color w:val="000000"/>
                <w:sz w:val="24"/>
                <w:szCs w:val="24"/>
              </w:rPr>
              <w:t>稠密</w:t>
            </w:r>
          </w:p>
        </w:tc>
        <w:tc>
          <w:tcPr>
            <w:tcW w:w="1705" w:type="dxa"/>
            <w:tcBorders>
              <w:top w:val="single" w:color="000000" w:sz="12" w:space="0"/>
              <w:left w:val="nil"/>
              <w:bottom w:val="single" w:color="000000" w:sz="4" w:space="0"/>
              <w:right w:val="nil"/>
            </w:tcBorders>
            <w:shd w:val="clear" w:color="auto" w:fill="FFFFFF"/>
          </w:tcPr>
          <w:p w14:paraId="29F1FC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val="0"/>
                <w:color w:val="000000"/>
                <w:sz w:val="24"/>
                <w:szCs w:val="24"/>
                <w:vertAlign w:val="baseline"/>
              </w:rPr>
            </w:pPr>
            <w:r>
              <w:rPr>
                <w:rFonts w:hint="default" w:ascii="Times New Roman Regular" w:hAnsi="Times New Roman Regular" w:cs="Times New Roman Regular"/>
                <w:b/>
                <w:bCs w:val="0"/>
                <w:color w:val="000000"/>
                <w:sz w:val="24"/>
                <w:szCs w:val="24"/>
              </w:rPr>
              <w:t>稀疏</w:t>
            </w:r>
          </w:p>
        </w:tc>
        <w:tc>
          <w:tcPr>
            <w:tcW w:w="1705" w:type="dxa"/>
            <w:tcBorders>
              <w:top w:val="single" w:color="000000" w:sz="12" w:space="0"/>
              <w:left w:val="nil"/>
              <w:bottom w:val="single" w:color="000000" w:sz="4" w:space="0"/>
              <w:right w:val="nil"/>
            </w:tcBorders>
            <w:shd w:val="clear" w:color="auto" w:fill="FFFFFF"/>
          </w:tcPr>
          <w:p w14:paraId="5BAEE7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val="0"/>
                <w:color w:val="000000"/>
                <w:sz w:val="24"/>
                <w:szCs w:val="24"/>
                <w:vertAlign w:val="baseline"/>
              </w:rPr>
            </w:pPr>
            <w:r>
              <w:rPr>
                <w:rFonts w:hint="default" w:ascii="Times New Roman Regular" w:hAnsi="Times New Roman Regular" w:cs="Times New Roman Regular"/>
                <w:b/>
                <w:bCs w:val="0"/>
                <w:color w:val="000000"/>
                <w:sz w:val="24"/>
                <w:szCs w:val="24"/>
              </w:rPr>
              <w:t>稠密</w:t>
            </w:r>
          </w:p>
        </w:tc>
      </w:tr>
      <w:tr w14:paraId="09ACE70E">
        <w:tc>
          <w:tcPr>
            <w:tcW w:w="2111" w:type="dxa"/>
          </w:tcPr>
          <w:p w14:paraId="245AC3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纯SA优势区间</w:t>
            </w:r>
          </w:p>
        </w:tc>
        <w:tc>
          <w:tcPr>
            <w:tcW w:w="1297" w:type="dxa"/>
          </w:tcPr>
          <w:p w14:paraId="46DF23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c>
          <w:tcPr>
            <w:tcW w:w="1704" w:type="dxa"/>
          </w:tcPr>
          <w:p w14:paraId="45E007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c>
          <w:tcPr>
            <w:tcW w:w="1705" w:type="dxa"/>
          </w:tcPr>
          <w:p w14:paraId="266620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c>
          <w:tcPr>
            <w:tcW w:w="1705" w:type="dxa"/>
          </w:tcPr>
          <w:p w14:paraId="6D22DD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r>
      <w:tr w14:paraId="6750C544">
        <w:tc>
          <w:tcPr>
            <w:tcW w:w="2111" w:type="dxa"/>
          </w:tcPr>
          <w:p w14:paraId="6F7AFE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纯GA优势区间</w:t>
            </w:r>
          </w:p>
        </w:tc>
        <w:tc>
          <w:tcPr>
            <w:tcW w:w="1297" w:type="dxa"/>
          </w:tcPr>
          <w:p w14:paraId="519188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c>
          <w:tcPr>
            <w:tcW w:w="1704" w:type="dxa"/>
          </w:tcPr>
          <w:p w14:paraId="038859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c>
          <w:tcPr>
            <w:tcW w:w="1705" w:type="dxa"/>
          </w:tcPr>
          <w:p w14:paraId="6C275D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c>
          <w:tcPr>
            <w:tcW w:w="1705" w:type="dxa"/>
          </w:tcPr>
          <w:p w14:paraId="75A8F2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r>
      <w:tr w14:paraId="32BCD534">
        <w:tc>
          <w:tcPr>
            <w:tcW w:w="2111" w:type="dxa"/>
          </w:tcPr>
          <w:p w14:paraId="284233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HGASA优势区间</w:t>
            </w:r>
          </w:p>
        </w:tc>
        <w:tc>
          <w:tcPr>
            <w:tcW w:w="1297" w:type="dxa"/>
          </w:tcPr>
          <w:p w14:paraId="2228BF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c>
          <w:tcPr>
            <w:tcW w:w="1704" w:type="dxa"/>
          </w:tcPr>
          <w:p w14:paraId="2F74CEA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c>
          <w:tcPr>
            <w:tcW w:w="1705" w:type="dxa"/>
          </w:tcPr>
          <w:p w14:paraId="6E11C7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c>
          <w:tcPr>
            <w:tcW w:w="1705" w:type="dxa"/>
          </w:tcPr>
          <w:p w14:paraId="6BA047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rPr>
              <w:t>★★★</w:t>
            </w:r>
          </w:p>
        </w:tc>
      </w:tr>
    </w:tbl>
    <w:p w14:paraId="430E01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解释：</w:t>
      </w:r>
    </w:p>
    <w:p w14:paraId="1A19A8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SA在小规模稀疏：简单邻域结构，SA的精细搜索更有效</w:t>
      </w:r>
    </w:p>
    <w:p w14:paraId="006217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GA在稠密实例：多样性能充分利用高密度带来的丰富解空间</w:t>
      </w:r>
    </w:p>
    <w:p w14:paraId="41ADC4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HGASA在所有场景：混合策略平衡探索与开发，尤其在大规模稠密场景表现最佳</w:t>
      </w:r>
    </w:p>
    <w:p w14:paraId="636225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4</w:t>
      </w:r>
      <w:r>
        <w:rPr>
          <w:rFonts w:hint="default" w:ascii="Times New Roman Regular" w:hAnsi="Times New Roman Regular" w:cs="Times New Roman Regular"/>
          <w:sz w:val="24"/>
          <w:szCs w:val="24"/>
        </w:rPr>
        <w:t>.3 理论与实验一致性验证</w:t>
      </w:r>
    </w:p>
    <w:p w14:paraId="25E3418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验证方法：</w:t>
      </w:r>
    </w:p>
    <w:p w14:paraId="23D15A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时间增长趋势对比：</w:t>
      </w:r>
    </w:p>
    <w:p w14:paraId="14DACD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理论预测：</w:t>
      </w:r>
      <m:oMath>
        <m:r>
          <m:rPr>
            <m:nor/>
          </m:rPr>
          <w:rPr>
            <w:rFonts w:hint="default" w:ascii="DejaVu Math TeX Gyre" w:hAnsi="DejaVu Math TeX Gyre" w:cs="Times New Roman Regular"/>
            <w:i/>
            <w:sz w:val="24"/>
            <w:szCs w:val="24"/>
          </w:rPr>
          <m:t>T</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m</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n</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G</m:t>
        </m:r>
        <m:r>
          <m:rPr>
            <m:nor/>
            <m:sty m:val="p"/>
          </m:rPr>
          <w:rPr>
            <w:rFonts w:hint="default" w:ascii="DejaVu Math TeX Gyre" w:hAnsi="DejaVu Math TeX Gyre" w:cs="Times New Roman Regular"/>
            <w:i w:val="0"/>
            <w:sz w:val="24"/>
            <w:szCs w:val="24"/>
          </w:rPr>
          <m:t>（</m:t>
        </m:r>
        <m:r>
          <m:rPr>
            <m:nor/>
          </m:rPr>
          <w:rPr>
            <w:rFonts w:hint="default" w:ascii="DejaVu Math TeX Gyre" w:hAnsi="DejaVu Math TeX Gyre" w:cs="Times New Roman Regular"/>
            <w:i/>
            <w:sz w:val="24"/>
            <w:szCs w:val="24"/>
          </w:rPr>
          <m:t>HGASA</m:t>
        </m:r>
        <m:r>
          <m:rPr>
            <m:nor/>
            <m:sty m:val="p"/>
          </m:rPr>
          <w:rPr>
            <w:rFonts w:hint="default" w:ascii="DejaVu Math TeX Gyre" w:hAnsi="DejaVu Math TeX Gyre" w:cs="Times New Roman Regular"/>
            <w:i w:val="0"/>
            <w:sz w:val="24"/>
            <w:szCs w:val="24"/>
          </w:rPr>
          <m:t>）</m:t>
        </m:r>
      </m:oMath>
    </w:p>
    <w:p w14:paraId="1640C4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实验测量：记录不同规模下的平均运行时间</w:t>
      </w:r>
    </w:p>
    <w:p w14:paraId="59AD22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一致性检验：双对数坐标下斜率是否接近理论值</w:t>
      </w:r>
    </w:p>
    <w:p w14:paraId="62E82B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偏差原因分析：</w:t>
      </w:r>
    </w:p>
    <w:p w14:paraId="51898F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缓存效应：当解向量超出L3缓存（通常8-32MB）时，访存时间将主导</w:t>
      </w:r>
    </w:p>
    <w:p w14:paraId="74F851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随机性波动：SA的随机接受准则导致运行时间方差较大</w:t>
      </w:r>
    </w:p>
    <w:p w14:paraId="235D24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实现差异：Python vs C++实现可能有10-100倍性能差距</w:t>
      </w:r>
    </w:p>
    <w:p w14:paraId="18E23F1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图</w:t>
      </w:r>
      <w:r>
        <w:rPr>
          <w:rFonts w:hint="eastAsia" w:ascii="Times New Roman Regular" w:hAnsi="Times New Roman Regular" w:cs="Times New Roman Regular"/>
          <w:sz w:val="24"/>
          <w:szCs w:val="24"/>
          <w:lang w:val="en-US" w:eastAsia="zh-CN"/>
        </w:rPr>
        <w:t>4</w:t>
      </w:r>
      <w:r>
        <w:rPr>
          <w:rFonts w:hint="default" w:ascii="Times New Roman Regular" w:hAnsi="Times New Roman Regular" w:cs="Times New Roman Regular"/>
          <w:sz w:val="24"/>
          <w:szCs w:val="24"/>
        </w:rPr>
        <w:t>包含四个子图：(a)运行时间可扩展性显示三种算法均呈超线性增长，HGASA斜率与理论预测的</w:t>
      </w:r>
      <m:oMath>
        <m:r>
          <m:rPr/>
          <w:rPr>
            <w:rFonts w:hint="default" w:ascii="DejaVu Math TeX Gyre" w:hAnsi="DejaVu Math TeX Gyre"/>
            <w:sz w:val="24"/>
          </w:rPr>
          <m:t>O(m⋅n)</m:t>
        </m:r>
      </m:oMath>
      <w:r>
        <w:rPr>
          <w:rFonts w:hint="default" w:ascii="Times New Roman Regular" w:hAnsi="Times New Roman Regular" w:cs="Times New Roman Regular"/>
          <w:sz w:val="24"/>
          <w:szCs w:val="24"/>
        </w:rPr>
        <w:t>复杂度一致；(b)解质量可扩展性表明HGASA在大规模问题上RPD增长最缓慢；(c)对数-对数坐标下的趋势线斜率验证了时间复杂度理论，实测斜率约为1.2，略高于理论值1.0，推测是由于缓存未命中和Python解释器开销；(d)质量-时间权衡图显示HGASA在Paret</w:t>
      </w:r>
    </w:p>
    <w:p w14:paraId="6A0A5F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Regular" w:hAnsi="Times New Roman Regular" w:cs="Times New Roman Regular" w:eastAsiaTheme="minorEastAsia"/>
          <w:sz w:val="24"/>
          <w:szCs w:val="24"/>
          <w:lang w:eastAsia="zh-CN"/>
        </w:rPr>
      </w:pPr>
      <w:r>
        <w:rPr>
          <w:rFonts w:hint="eastAsia" w:ascii="Times New Roman Regular" w:hAnsi="Times New Roman Regular" w:cs="Times New Roman Regular" w:eastAsiaTheme="minorEastAsia"/>
          <w:sz w:val="24"/>
          <w:szCs w:val="24"/>
          <w:lang w:eastAsia="zh-CN"/>
        </w:rPr>
        <w:drawing>
          <wp:inline distT="0" distB="0" distL="114300" distR="114300">
            <wp:extent cx="3848735" cy="3271520"/>
            <wp:effectExtent l="0" t="0" r="12065" b="5080"/>
            <wp:docPr id="8" name="图片 8" descr="03_scalability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3_scalability_analysis"/>
                    <pic:cNvPicPr>
                      <a:picLocks noChangeAspect="1"/>
                    </pic:cNvPicPr>
                  </pic:nvPicPr>
                  <pic:blipFill>
                    <a:blip r:embed="rId7"/>
                    <a:stretch>
                      <a:fillRect/>
                    </a:stretch>
                  </pic:blipFill>
                  <pic:spPr>
                    <a:xfrm>
                      <a:off x="0" y="0"/>
                      <a:ext cx="3848735" cy="3271520"/>
                    </a:xfrm>
                    <a:prstGeom prst="rect">
                      <a:avLst/>
                    </a:prstGeom>
                  </pic:spPr>
                </pic:pic>
              </a:graphicData>
            </a:graphic>
          </wp:inline>
        </w:drawing>
      </w:r>
    </w:p>
    <w:p w14:paraId="07DE3FD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Regular" w:hAnsi="Times New Roman Regular" w:cs="Times New Roman Regular" w:eastAsiaTheme="minorEastAsia"/>
          <w:sz w:val="24"/>
          <w:szCs w:val="24"/>
          <w:lang w:eastAsia="zh-CN"/>
        </w:rPr>
      </w:pPr>
      <w:r>
        <w:rPr>
          <w:rFonts w:hint="default" w:ascii="Times New Roman Regular" w:hAnsi="Times New Roman Regular" w:cs="Times New Roman Regular"/>
          <w:sz w:val="24"/>
          <w:szCs w:val="24"/>
        </w:rPr>
        <w:t>图</w:t>
      </w:r>
      <w:r>
        <w:rPr>
          <w:rFonts w:hint="eastAsia" w:ascii="Times New Roman Regular" w:hAnsi="Times New Roman Regular" w:cs="Times New Roman Regular"/>
          <w:sz w:val="24"/>
          <w:szCs w:val="24"/>
          <w:lang w:val="en-US" w:eastAsia="zh-CN"/>
        </w:rPr>
        <w:t>4</w:t>
      </w:r>
      <w:r>
        <w:rPr>
          <w:rFonts w:hint="default" w:ascii="Times New Roman Regular" w:hAnsi="Times New Roman Regular" w:cs="Times New Roman Regular"/>
          <w:sz w:val="24"/>
          <w:szCs w:val="24"/>
        </w:rPr>
        <w:t xml:space="preserve"> 算法可扩展性分析：性能随问题规模增长趋势</w:t>
      </w:r>
    </w:p>
    <w:p w14:paraId="2CABC5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4</w:t>
      </w:r>
      <w:r>
        <w:rPr>
          <w:rFonts w:hint="default" w:ascii="Times New Roman Regular" w:hAnsi="Times New Roman Regular" w:cs="Times New Roman Regular"/>
          <w:sz w:val="24"/>
          <w:szCs w:val="24"/>
        </w:rPr>
        <w:t>.4 显著性统计分析</w:t>
      </w:r>
    </w:p>
    <w:p w14:paraId="100F45F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Wilcoxon符号秩检验：</w:t>
      </w:r>
      <w:r>
        <w:rPr>
          <w:rFonts w:hint="default" w:ascii="Times New Roman Regular" w:hAnsi="Times New Roman Regular" w:cs="Times New Roman Regular"/>
          <w:sz w:val="24"/>
          <w:szCs w:val="24"/>
        </w:rPr>
        <w:t>比较HGASA与纯GA/SA的解质量差异（非参数，适合小样本）</w:t>
      </w:r>
    </w:p>
    <w:p w14:paraId="57D9834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方差分析（ANOVA）</w:t>
      </w:r>
      <w:r>
        <w:rPr>
          <w:rFonts w:hint="default" w:ascii="Times New Roman Regular" w:hAnsi="Times New Roman Regular" w:cs="Times New Roman Regular"/>
          <w:sz w:val="24"/>
          <w:szCs w:val="24"/>
        </w:rPr>
        <w:t>：分析不同类别、算法、参数对结果的显著性影响</w:t>
      </w:r>
    </w:p>
    <w:p w14:paraId="1E4838D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置信区间：</w:t>
      </w:r>
      <w:r>
        <w:rPr>
          <w:rFonts w:hint="default" w:ascii="Times New Roman Regular" w:hAnsi="Times New Roman Regular" w:cs="Times New Roman Regular"/>
          <w:sz w:val="24"/>
          <w:szCs w:val="24"/>
        </w:rPr>
        <w:t xml:space="preserve">报告95% CI，如HGASA的RPD为 </w:t>
      </w:r>
      <m:oMath>
        <m:r>
          <m:rPr/>
          <w:rPr>
            <w:rFonts w:hint="default" w:ascii="DejaVu Math TeX Gyre" w:hAnsi="DejaVu Math TeX Gyre"/>
            <w:sz w:val="24"/>
          </w:rPr>
          <m:t>2.3%</m:t>
        </m:r>
        <m:r>
          <m:rPr>
            <m:sty m:val="p"/>
          </m:rPr>
          <w:rPr>
            <w:rFonts w:hint="default" w:ascii="DejaVu Math TeX Gyre" w:hAnsi="DejaVu Math TeX Gyre"/>
            <w:sz w:val="24"/>
          </w:rPr>
          <m:t>±</m:t>
        </m:r>
        <m:r>
          <m:rPr/>
          <w:rPr>
            <w:rFonts w:hint="default" w:ascii="DejaVu Math TeX Gyre" w:hAnsi="DejaVu Math TeX Gyre"/>
            <w:sz w:val="24"/>
          </w:rPr>
          <m:t>0.5%</m:t>
        </m:r>
      </m:oMath>
    </w:p>
    <w:p w14:paraId="27D9E86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图</w:t>
      </w:r>
      <w:r>
        <w:rPr>
          <w:rFonts w:hint="eastAsia" w:ascii="Times New Roman Regular" w:hAnsi="Times New Roman Regular" w:cs="Times New Roman Regular"/>
          <w:sz w:val="24"/>
          <w:szCs w:val="24"/>
          <w:lang w:val="en-US" w:eastAsia="zh-CN"/>
        </w:rPr>
        <w:t>5</w:t>
      </w:r>
      <w:r>
        <w:rPr>
          <w:rFonts w:hint="default" w:ascii="Times New Roman Regular" w:hAnsi="Times New Roman Regular" w:cs="Times New Roman Regular"/>
          <w:sz w:val="24"/>
          <w:szCs w:val="24"/>
        </w:rPr>
        <w:t>左图展示各算法在不同类别上的95%置信区间，HGASA的置信区间与其他算法无重叠，表明差异具有统计显著性。星号标记显示Wilcoxon符号秩检验结果：HGASA与SA在所有类别上差异极显著(p&lt;0.001)，与GA在A、C、D类上差异显著(p&lt;0.01)。右图为成对比较p值矩阵，绿色区域(p&lt;0.05)表示算法间存在显著差异，验证了HGASA的优越性具有统计可靠性。</w:t>
      </w:r>
    </w:p>
    <w:p w14:paraId="2F7D94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Regular" w:hAnsi="Times New Roman Regular" w:cs="Times New Roman Regular"/>
          <w:sz w:val="24"/>
          <w:szCs w:val="24"/>
          <w:lang w:eastAsia="zh-CN"/>
        </w:rPr>
      </w:pPr>
      <w:r>
        <w:rPr>
          <w:rFonts w:hint="eastAsia" w:ascii="Times New Roman Regular" w:hAnsi="Times New Roman Regular" w:cs="Times New Roman Regular"/>
          <w:sz w:val="24"/>
          <w:szCs w:val="24"/>
          <w:lang w:eastAsia="zh-CN"/>
        </w:rPr>
        <w:drawing>
          <wp:inline distT="0" distB="0" distL="114300" distR="114300">
            <wp:extent cx="5262245" cy="2286635"/>
            <wp:effectExtent l="0" t="0" r="20955" b="24765"/>
            <wp:docPr id="10" name="图片 10" descr="05_statistical_signific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5_statistical_significance"/>
                    <pic:cNvPicPr>
                      <a:picLocks noChangeAspect="1"/>
                    </pic:cNvPicPr>
                  </pic:nvPicPr>
                  <pic:blipFill>
                    <a:blip r:embed="rId8"/>
                    <a:stretch>
                      <a:fillRect/>
                    </a:stretch>
                  </pic:blipFill>
                  <pic:spPr>
                    <a:xfrm>
                      <a:off x="0" y="0"/>
                      <a:ext cx="5262245" cy="2286635"/>
                    </a:xfrm>
                    <a:prstGeom prst="rect">
                      <a:avLst/>
                    </a:prstGeom>
                  </pic:spPr>
                </pic:pic>
              </a:graphicData>
            </a:graphic>
          </wp:inline>
        </w:drawing>
      </w:r>
    </w:p>
    <w:p w14:paraId="40F04C6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Regular" w:hAnsi="Times New Roman Regular" w:cs="Times New Roman Regular"/>
          <w:sz w:val="24"/>
          <w:szCs w:val="24"/>
          <w:lang w:eastAsia="zh-CN"/>
        </w:rPr>
      </w:pPr>
      <w:r>
        <w:rPr>
          <w:rFonts w:hint="default" w:ascii="Times New Roman Regular" w:hAnsi="Times New Roman Regular" w:cs="Times New Roman Regular"/>
          <w:sz w:val="24"/>
          <w:szCs w:val="24"/>
        </w:rPr>
        <w:t>图</w:t>
      </w:r>
      <w:r>
        <w:rPr>
          <w:rFonts w:hint="eastAsia" w:ascii="Times New Roman Regular" w:hAnsi="Times New Roman Regular" w:cs="Times New Roman Regular"/>
          <w:sz w:val="24"/>
          <w:szCs w:val="24"/>
          <w:lang w:val="en-US" w:eastAsia="zh-CN"/>
        </w:rPr>
        <w:t>5</w:t>
      </w:r>
      <w:r>
        <w:rPr>
          <w:rFonts w:hint="default" w:ascii="Times New Roman Regular" w:hAnsi="Times New Roman Regular" w:cs="Times New Roman Regular"/>
          <w:sz w:val="24"/>
          <w:szCs w:val="24"/>
        </w:rPr>
        <w:t xml:space="preserve"> 统计显著性检验结果</w:t>
      </w:r>
    </w:p>
    <w:p w14:paraId="1BC653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b/>
          <w:bCs/>
          <w:sz w:val="24"/>
          <w:szCs w:val="24"/>
          <w:lang w:val="en-US" w:eastAsia="zh-CN"/>
        </w:rPr>
        <w:t>五</w:t>
      </w:r>
      <w:r>
        <w:rPr>
          <w:rFonts w:hint="default" w:ascii="Times New Roman Regular" w:hAnsi="Times New Roman Regular" w:cs="Times New Roman Regular"/>
          <w:b/>
          <w:bCs/>
          <w:sz w:val="24"/>
          <w:szCs w:val="24"/>
        </w:rPr>
        <w:t>、总结与展望</w:t>
      </w:r>
    </w:p>
    <w:p w14:paraId="3FD731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5</w:t>
      </w:r>
      <w:r>
        <w:rPr>
          <w:rFonts w:hint="default" w:ascii="Times New Roman Regular" w:hAnsi="Times New Roman Regular" w:cs="Times New Roman Regular"/>
          <w:sz w:val="24"/>
          <w:szCs w:val="24"/>
        </w:rPr>
        <w:t>.1 理论分析与实验结果的异同</w:t>
      </w:r>
    </w:p>
    <w:p w14:paraId="32C44D9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预期一致性：</w:t>
      </w:r>
    </w:p>
    <w:p w14:paraId="51729A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时间复杂度增长趋势应与理论预测相符</w:t>
      </w:r>
    </w:p>
    <w:p w14:paraId="35A044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HGASA的解质量应显著优于单一算法（统计检验p&lt;0.05）</w:t>
      </w:r>
    </w:p>
    <w:p w14:paraId="733B36A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预期差异：</w:t>
      </w:r>
    </w:p>
    <w:p w14:paraId="02374E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实际运行时间可能因硬件优化（如向量化）低于理论值</w:t>
      </w:r>
    </w:p>
    <w:p w14:paraId="6108D7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在小规模实例上，SA可能因简单结构而优于HGASA（混合开销不划算）</w:t>
      </w:r>
    </w:p>
    <w:p w14:paraId="5D0550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5</w:t>
      </w:r>
      <w:r>
        <w:rPr>
          <w:rFonts w:hint="default" w:ascii="Times New Roman Regular" w:hAnsi="Times New Roman Regular" w:cs="Times New Roman Regular"/>
          <w:sz w:val="24"/>
          <w:szCs w:val="24"/>
        </w:rPr>
        <w:t>.2 使用场景总结</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3B6BA2A">
        <w:tc>
          <w:tcPr>
            <w:tcW w:w="2840" w:type="dxa"/>
            <w:tcBorders>
              <w:top w:val="single" w:color="000000" w:sz="12" w:space="0"/>
              <w:left w:val="nil"/>
              <w:bottom w:val="single" w:color="000000" w:sz="4" w:space="0"/>
              <w:right w:val="nil"/>
              <w:tl2br w:val="nil"/>
            </w:tcBorders>
            <w:shd w:val="clear" w:color="auto" w:fill="FFFFFF"/>
          </w:tcPr>
          <w:p w14:paraId="364B9E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color w:val="000000"/>
                <w:sz w:val="24"/>
                <w:szCs w:val="24"/>
                <w:vertAlign w:val="baseline"/>
              </w:rPr>
            </w:pPr>
            <w:r>
              <w:rPr>
                <w:rFonts w:hint="default" w:ascii="Times New Roman Regular" w:hAnsi="Times New Roman Regular" w:cs="Times New Roman Regular"/>
                <w:b/>
                <w:bCs/>
                <w:color w:val="000000"/>
                <w:sz w:val="24"/>
                <w:szCs w:val="24"/>
              </w:rPr>
              <w:t>场景</w:t>
            </w:r>
          </w:p>
        </w:tc>
        <w:tc>
          <w:tcPr>
            <w:tcW w:w="2841" w:type="dxa"/>
            <w:tcBorders>
              <w:top w:val="single" w:color="000000" w:sz="12" w:space="0"/>
              <w:left w:val="nil"/>
              <w:bottom w:val="single" w:color="000000" w:sz="4" w:space="0"/>
              <w:right w:val="nil"/>
            </w:tcBorders>
            <w:shd w:val="clear" w:color="auto" w:fill="FFFFFF"/>
          </w:tcPr>
          <w:p w14:paraId="79F85C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color w:val="000000"/>
                <w:sz w:val="24"/>
                <w:szCs w:val="24"/>
                <w:vertAlign w:val="baseline"/>
              </w:rPr>
            </w:pPr>
            <w:r>
              <w:rPr>
                <w:rFonts w:hint="default" w:ascii="Times New Roman Regular" w:hAnsi="Times New Roman Regular" w:cs="Times New Roman Regular"/>
                <w:b/>
                <w:bCs/>
                <w:color w:val="000000"/>
                <w:sz w:val="24"/>
                <w:szCs w:val="24"/>
              </w:rPr>
              <w:t>推荐算法</w:t>
            </w:r>
          </w:p>
        </w:tc>
        <w:tc>
          <w:tcPr>
            <w:tcW w:w="2841" w:type="dxa"/>
            <w:tcBorders>
              <w:top w:val="single" w:color="000000" w:sz="12" w:space="0"/>
              <w:left w:val="nil"/>
              <w:bottom w:val="single" w:color="000000" w:sz="4" w:space="0"/>
              <w:right w:val="nil"/>
            </w:tcBorders>
            <w:shd w:val="clear" w:color="auto" w:fill="FFFFFF"/>
          </w:tcPr>
          <w:p w14:paraId="55CBE8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color w:val="000000"/>
                <w:sz w:val="24"/>
                <w:szCs w:val="24"/>
                <w:vertAlign w:val="baseline"/>
              </w:rPr>
            </w:pPr>
            <w:r>
              <w:rPr>
                <w:rFonts w:hint="default" w:ascii="Times New Roman Regular" w:hAnsi="Times New Roman Regular" w:cs="Times New Roman Regular"/>
                <w:b/>
                <w:bCs/>
                <w:color w:val="000000"/>
                <w:sz w:val="24"/>
                <w:szCs w:val="24"/>
              </w:rPr>
              <w:t>理由</w:t>
            </w:r>
          </w:p>
        </w:tc>
      </w:tr>
      <w:tr w14:paraId="47414875">
        <w:tc>
          <w:tcPr>
            <w:tcW w:w="2840" w:type="dxa"/>
            <w:tcBorders>
              <w:top w:val="single" w:color="000000" w:sz="4" w:space="0"/>
              <w:left w:val="nil"/>
              <w:bottom w:val="nil"/>
              <w:right w:val="nil"/>
            </w:tcBorders>
            <w:shd w:val="clear" w:color="auto" w:fill="FFFFFF"/>
          </w:tcPr>
          <w:p w14:paraId="4F0DEF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实时/嵌入式系统</w:t>
            </w:r>
          </w:p>
        </w:tc>
        <w:tc>
          <w:tcPr>
            <w:tcW w:w="2841" w:type="dxa"/>
            <w:tcBorders>
              <w:top w:val="single" w:color="000000" w:sz="4" w:space="0"/>
              <w:left w:val="nil"/>
              <w:bottom w:val="nil"/>
              <w:right w:val="nil"/>
            </w:tcBorders>
            <w:shd w:val="clear" w:color="auto" w:fill="FFFFFF"/>
          </w:tcPr>
          <w:p w14:paraId="575B8D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Regular" w:hAnsi="Times New Roman Regular" w:cs="Times New Roman Regular" w:eastAsiaTheme="minorEastAsia"/>
                <w:b w:val="0"/>
                <w:color w:val="000000"/>
                <w:sz w:val="24"/>
                <w:szCs w:val="24"/>
                <w:vertAlign w:val="baseline"/>
                <w:lang w:val="en-US" w:eastAsia="zh-CN"/>
              </w:rPr>
            </w:pPr>
            <w:r>
              <w:rPr>
                <w:rFonts w:hint="eastAsia" w:ascii="Times New Roman Regular" w:hAnsi="Times New Roman Regular" w:cs="Times New Roman Regular"/>
                <w:b w:val="0"/>
                <w:color w:val="000000"/>
                <w:sz w:val="24"/>
                <w:szCs w:val="24"/>
                <w:vertAlign w:val="baseline"/>
                <w:lang w:val="en-US" w:eastAsia="zh-CN"/>
              </w:rPr>
              <w:t>SA</w:t>
            </w:r>
          </w:p>
        </w:tc>
        <w:tc>
          <w:tcPr>
            <w:tcW w:w="2841" w:type="dxa"/>
            <w:tcBorders>
              <w:top w:val="single" w:color="000000" w:sz="4" w:space="0"/>
              <w:left w:val="nil"/>
              <w:bottom w:val="nil"/>
              <w:right w:val="nil"/>
            </w:tcBorders>
            <w:shd w:val="clear" w:color="auto" w:fill="FFFFFF"/>
          </w:tcPr>
          <w:p w14:paraId="0E4284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内存占用低，实现简单</w:t>
            </w:r>
            <w:r>
              <w:rPr>
                <w:rFonts w:hint="default" w:ascii="Times New Roman Regular" w:hAnsi="Times New Roman Regular" w:cs="Times New Roman Regular"/>
                <w:b w:val="0"/>
                <w:color w:val="000000"/>
                <w:sz w:val="24"/>
                <w:szCs w:val="24"/>
              </w:rPr>
              <w:tab/>
            </w:r>
          </w:p>
        </w:tc>
      </w:tr>
      <w:tr w14:paraId="21BA80AB">
        <w:tc>
          <w:tcPr>
            <w:tcW w:w="2840" w:type="dxa"/>
            <w:tcBorders>
              <w:top w:val="nil"/>
              <w:left w:val="nil"/>
              <w:bottom w:val="nil"/>
              <w:right w:val="nil"/>
            </w:tcBorders>
            <w:shd w:val="clear" w:color="auto" w:fill="FFFFFF"/>
          </w:tcPr>
          <w:p w14:paraId="18D20F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大规模云计算</w:t>
            </w:r>
          </w:p>
        </w:tc>
        <w:tc>
          <w:tcPr>
            <w:tcW w:w="2841" w:type="dxa"/>
            <w:tcBorders>
              <w:top w:val="nil"/>
              <w:left w:val="nil"/>
              <w:bottom w:val="nil"/>
              <w:right w:val="nil"/>
            </w:tcBorders>
            <w:shd w:val="clear" w:color="auto" w:fill="FFFFFF"/>
          </w:tcPr>
          <w:p w14:paraId="5C4030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HGASA</w:t>
            </w:r>
            <w:r>
              <w:rPr>
                <w:rFonts w:hint="default" w:ascii="Times New Roman Regular" w:hAnsi="Times New Roman Regular" w:cs="Times New Roman Regular"/>
                <w:b w:val="0"/>
                <w:color w:val="000000"/>
                <w:sz w:val="24"/>
                <w:szCs w:val="24"/>
              </w:rPr>
              <w:tab/>
            </w:r>
          </w:p>
        </w:tc>
        <w:tc>
          <w:tcPr>
            <w:tcW w:w="2841" w:type="dxa"/>
            <w:tcBorders>
              <w:top w:val="nil"/>
              <w:left w:val="nil"/>
              <w:bottom w:val="nil"/>
              <w:right w:val="nil"/>
            </w:tcBorders>
            <w:shd w:val="clear" w:color="auto" w:fill="FFFFFF"/>
          </w:tcPr>
          <w:p w14:paraId="4877AB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可并行化，解质量高</w:t>
            </w:r>
            <w:r>
              <w:rPr>
                <w:rFonts w:hint="default" w:ascii="Times New Roman Regular" w:hAnsi="Times New Roman Regular" w:cs="Times New Roman Regular"/>
                <w:b w:val="0"/>
                <w:color w:val="000000"/>
                <w:sz w:val="24"/>
                <w:szCs w:val="24"/>
              </w:rPr>
              <w:tab/>
            </w:r>
          </w:p>
        </w:tc>
      </w:tr>
      <w:tr w14:paraId="6AF48464">
        <w:tc>
          <w:tcPr>
            <w:tcW w:w="2840" w:type="dxa"/>
            <w:tcBorders>
              <w:top w:val="nil"/>
              <w:left w:val="nil"/>
              <w:bottom w:val="nil"/>
              <w:right w:val="nil"/>
            </w:tcBorders>
            <w:shd w:val="clear" w:color="auto" w:fill="FFFFFF"/>
          </w:tcPr>
          <w:p w14:paraId="3C3486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快速原型验证</w:t>
            </w:r>
          </w:p>
        </w:tc>
        <w:tc>
          <w:tcPr>
            <w:tcW w:w="2841" w:type="dxa"/>
            <w:tcBorders>
              <w:top w:val="nil"/>
              <w:left w:val="nil"/>
              <w:bottom w:val="nil"/>
              <w:right w:val="nil"/>
            </w:tcBorders>
            <w:shd w:val="clear" w:color="auto" w:fill="FFFFFF"/>
          </w:tcPr>
          <w:p w14:paraId="4CBC4F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GA</w:t>
            </w:r>
          </w:p>
        </w:tc>
        <w:tc>
          <w:tcPr>
            <w:tcW w:w="2841" w:type="dxa"/>
            <w:tcBorders>
              <w:top w:val="nil"/>
              <w:left w:val="nil"/>
              <w:bottom w:val="nil"/>
              <w:right w:val="nil"/>
            </w:tcBorders>
            <w:shd w:val="clear" w:color="auto" w:fill="FFFFFF"/>
          </w:tcPr>
          <w:p w14:paraId="6D04C3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vertAlign w:val="baseline"/>
              </w:rPr>
            </w:pPr>
            <w:r>
              <w:rPr>
                <w:rFonts w:hint="default" w:ascii="Times New Roman Regular" w:hAnsi="Times New Roman Regular" w:cs="Times New Roman Regular"/>
                <w:b w:val="0"/>
                <w:color w:val="000000"/>
                <w:sz w:val="24"/>
                <w:szCs w:val="24"/>
              </w:rPr>
              <w:t>参数少，易调优</w:t>
            </w:r>
          </w:p>
        </w:tc>
      </w:tr>
      <w:tr w14:paraId="31690D36">
        <w:tc>
          <w:tcPr>
            <w:tcW w:w="2840" w:type="dxa"/>
            <w:tcBorders>
              <w:top w:val="nil"/>
              <w:left w:val="nil"/>
              <w:bottom w:val="single" w:color="000000" w:sz="12" w:space="0"/>
              <w:right w:val="nil"/>
            </w:tcBorders>
            <w:shd w:val="clear" w:color="auto" w:fill="FFFFFF"/>
          </w:tcPr>
          <w:p w14:paraId="248FD8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rPr>
            </w:pPr>
            <w:r>
              <w:rPr>
                <w:rFonts w:hint="default" w:ascii="Times New Roman Regular" w:hAnsi="Times New Roman Regular" w:cs="Times New Roman Regular"/>
                <w:b w:val="0"/>
                <w:color w:val="000000"/>
                <w:sz w:val="24"/>
                <w:szCs w:val="24"/>
              </w:rPr>
              <w:t>高精度需求</w:t>
            </w:r>
          </w:p>
        </w:tc>
        <w:tc>
          <w:tcPr>
            <w:tcW w:w="2841" w:type="dxa"/>
            <w:tcBorders>
              <w:top w:val="nil"/>
              <w:left w:val="nil"/>
              <w:bottom w:val="single" w:color="000000" w:sz="12" w:space="0"/>
              <w:right w:val="nil"/>
            </w:tcBorders>
            <w:shd w:val="clear" w:color="auto" w:fill="FFFFFF"/>
          </w:tcPr>
          <w:p w14:paraId="597DCC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rPr>
            </w:pPr>
            <w:r>
              <w:rPr>
                <w:rFonts w:hint="default" w:ascii="Times New Roman Regular" w:hAnsi="Times New Roman Regular" w:cs="Times New Roman Regular"/>
                <w:b w:val="0"/>
                <w:color w:val="000000"/>
                <w:sz w:val="24"/>
                <w:szCs w:val="24"/>
              </w:rPr>
              <w:t>HGASA</w:t>
            </w:r>
          </w:p>
        </w:tc>
        <w:tc>
          <w:tcPr>
            <w:tcW w:w="2841" w:type="dxa"/>
            <w:tcBorders>
              <w:top w:val="nil"/>
              <w:left w:val="nil"/>
              <w:bottom w:val="single" w:color="000000" w:sz="12" w:space="0"/>
              <w:right w:val="nil"/>
            </w:tcBorders>
            <w:shd w:val="clear" w:color="auto" w:fill="FFFFFF"/>
          </w:tcPr>
          <w:p w14:paraId="1642E3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color w:val="000000"/>
                <w:sz w:val="24"/>
                <w:szCs w:val="24"/>
              </w:rPr>
            </w:pPr>
            <w:r>
              <w:rPr>
                <w:rFonts w:hint="default" w:ascii="Times New Roman Regular" w:hAnsi="Times New Roman Regular" w:cs="Times New Roman Regular"/>
                <w:b w:val="0"/>
                <w:color w:val="000000"/>
                <w:sz w:val="24"/>
                <w:szCs w:val="24"/>
              </w:rPr>
              <w:t>局部搜索精细，收敛稳定</w:t>
            </w:r>
          </w:p>
        </w:tc>
      </w:tr>
    </w:tbl>
    <w:p w14:paraId="1A91F7C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图6从五个维度综合评估算法性能：解质量、稳定性、速度、可扩展性和鲁棒性。左图显示在小规模问题上，三种算法各有优劣，SA在速度上领先，HGASA在质量上最优；右图显示在大规模问题上，HGASA在所有维度上均占据明显优势，SA的可扩展性和鲁棒性显著下降。雷达图直观表明：实时嵌入式系统可选用SA，大规模云计算场景强烈推荐HGASA，快速原型验证可选用GA。</w:t>
      </w:r>
    </w:p>
    <w:p w14:paraId="1CE14F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drawing>
          <wp:inline distT="0" distB="0" distL="114300" distR="114300">
            <wp:extent cx="5274310" cy="2349500"/>
            <wp:effectExtent l="0" t="0" r="8890" b="12700"/>
            <wp:docPr id="11" name="图片 11" descr="07_algorithm_comparis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7_algorithm_comparison_summary"/>
                    <pic:cNvPicPr>
                      <a:picLocks noChangeAspect="1"/>
                    </pic:cNvPicPr>
                  </pic:nvPicPr>
                  <pic:blipFill>
                    <a:blip r:embed="rId9"/>
                    <a:stretch>
                      <a:fillRect/>
                    </a:stretch>
                  </pic:blipFill>
                  <pic:spPr>
                    <a:xfrm>
                      <a:off x="0" y="0"/>
                      <a:ext cx="5274310" cy="2349500"/>
                    </a:xfrm>
                    <a:prstGeom prst="rect">
                      <a:avLst/>
                    </a:prstGeom>
                  </pic:spPr>
                </pic:pic>
              </a:graphicData>
            </a:graphic>
          </wp:inline>
        </w:drawing>
      </w:r>
    </w:p>
    <w:p w14:paraId="172CA6F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图6 算法多维度性能雷达图</w:t>
      </w:r>
    </w:p>
    <w:p w14:paraId="499C83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5</w:t>
      </w:r>
      <w:r>
        <w:rPr>
          <w:rFonts w:hint="default" w:ascii="Times New Roman Regular" w:hAnsi="Times New Roman Regular" w:cs="Times New Roman Regular"/>
          <w:sz w:val="24"/>
          <w:szCs w:val="24"/>
        </w:rPr>
        <w:t>.3 改进方向与验证思路</w:t>
      </w:r>
    </w:p>
    <w:p w14:paraId="552630B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算法改进：</w:t>
      </w:r>
    </w:p>
    <w:p w14:paraId="6D5870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自适应参数调整：根据搜索进度动态调整交叉率、变异率和冷却速率</w:t>
      </w:r>
    </w:p>
    <w:p w14:paraId="283E38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并行化策略：利用GA的种群并行性，实现GPU加速</w:t>
      </w:r>
    </w:p>
    <w:p w14:paraId="4D6265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混合局部搜索：引入禁忌搜索（TS）替代SA，或设计问题特定的邻域结构</w:t>
      </w:r>
    </w:p>
    <w:p w14:paraId="483FA07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验证思路：</w:t>
      </w:r>
    </w:p>
    <w:p w14:paraId="6DFE6D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消融实验：逐一移除HGASA的组件，量化各组件贡献</w:t>
      </w:r>
    </w:p>
    <w:p w14:paraId="029CA6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跨问题验证：将HGASA应用于相关NP-hard问题，测试泛化能力</w:t>
      </w:r>
    </w:p>
    <w:p w14:paraId="445BD4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真实应用测试：在传感器覆盖、设施选址等实际数据集上验证</w:t>
      </w:r>
    </w:p>
    <w:p w14:paraId="59F6D4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p>
    <w:p w14:paraId="18E47F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p>
    <w:p w14:paraId="40D97C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附录：</w:t>
      </w:r>
    </w:p>
    <w:p w14:paraId="6EBA39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lang w:val="en-US" w:eastAsia="zh-CN"/>
        </w:rPr>
        <w:t>1、</w:t>
      </w:r>
      <w:r>
        <w:rPr>
          <w:rFonts w:hint="default" w:ascii="Times New Roman Regular" w:hAnsi="Times New Roman Regular" w:cs="Times New Roman Regular"/>
          <w:b/>
          <w:bCs/>
          <w:sz w:val="24"/>
          <w:szCs w:val="24"/>
        </w:rPr>
        <w:t>参考文献：</w:t>
      </w:r>
    </w:p>
    <w:p w14:paraId="2B6937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MobinRoohi/Genetic-Anneal-Climb GitHub Repository</w:t>
      </w:r>
    </w:p>
    <w:p w14:paraId="0F5754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 improved hybrid algorithm for the set covering problem (ScienceDirect)</w:t>
      </w:r>
    </w:p>
    <w:p w14:paraId="49EB4C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 Enhanced Simulated Annealing Algorithm for the Set Covering Problem</w:t>
      </w:r>
    </w:p>
    <w:p w14:paraId="7B97E37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Improved genetic algorithm based on greedy and simulated annealing ideas (PLoS ONE 2025)</w:t>
      </w:r>
    </w:p>
    <w:p w14:paraId="0E9A06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Evolutionary Computation &amp; Swarm Intelligence (OR-Library基准)</w:t>
      </w:r>
    </w:p>
    <w:p w14:paraId="718B77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rayjasson98/Hybrid-Genetic-Algorithm-Simulated-Annealing GitHub</w:t>
      </w:r>
    </w:p>
    <w:p w14:paraId="6DD720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OR-Library基准实例在设施选址问题中的应用</w:t>
      </w:r>
    </w:p>
    <w:p w14:paraId="56C7DD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Scalability of Metaheuristic Algorithms (S-Logix)</w:t>
      </w:r>
    </w:p>
    <w:p w14:paraId="1E4A75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lang w:val="en-US" w:eastAsia="zh-CN"/>
        </w:rPr>
        <w:t>2、</w:t>
      </w:r>
      <w:r>
        <w:rPr>
          <w:rFonts w:hint="default" w:ascii="Times New Roman Regular" w:hAnsi="Times New Roman Regular" w:cs="Times New Roman Regular"/>
          <w:b/>
          <w:bCs/>
          <w:sz w:val="24"/>
          <w:szCs w:val="24"/>
        </w:rPr>
        <w:t>前沿算法选择与开源代码</w:t>
      </w:r>
    </w:p>
    <w:p w14:paraId="19BA82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推荐的前沿算法：混合遗传-模拟退火算法（Hybrid GA-SA）</w:t>
      </w:r>
    </w:p>
    <w:p w14:paraId="301B56A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选择理由：</w:t>
      </w:r>
    </w:p>
    <w:p w14:paraId="7AF6E4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算法类型：元启发式算法（Metaheuristic）</w:t>
      </w:r>
    </w:p>
    <w:p w14:paraId="4B2182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具体算法：混合遗传算法-模拟退火（Hybrid Genetic Algorithm - Simulated Annealing, HGASA）</w:t>
      </w:r>
    </w:p>
    <w:p w14:paraId="5C03B1B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开源代码</w:t>
      </w:r>
      <w:r>
        <w:rPr>
          <w:rFonts w:hint="default" w:ascii="Times New Roman Regular" w:hAnsi="Times New Roman Regular" w:cs="Times New Roman Regular"/>
          <w:sz w:val="24"/>
          <w:szCs w:val="24"/>
        </w:rPr>
        <w:t>：</w:t>
      </w:r>
    </w:p>
    <w:p w14:paraId="6B0947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https://github.com/rayjasson98/Hybrid-Genetic-Algorithm-Simulated-Annealing-for-Presentation-Scheduling</w:t>
      </w:r>
    </w:p>
    <w:p w14:paraId="03228B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https://github.com/MobinRoohi/Genetic-Anneal-Climb</w:t>
      </w:r>
    </w:p>
    <w:p w14:paraId="1C5D59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https://github.com/ybfo/improved-GA（2025年最新发表）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FF44FA"/>
    <w:multiLevelType w:val="singleLevel"/>
    <w:tmpl w:val="DEFF44FA"/>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E766EF"/>
    <w:rsid w:val="D7E76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Office_12.1.25195.25195_F1E327BC-269C-435d-A152-05C5408002CA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2026-02-20T10:48:00Z</dcterms:created>
  <dc:creator>name1</dc:creator>
  <cp:lastModifiedBy>name1</cp:lastModifiedBy>
  <dcterms:modified xsi:type="dcterms:W3CDTF">2026-02-20T12:21:45Z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D9A685CB0C7E275A77CB9769786663BE_41</vt:lpwstr>
  </property>
</Properties>
</file>