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第3次课图书借阅设计说明</w:t>
      </w:r>
    </w:p>
    <w:p>
      <w:r>
        <w:t>我在第二次课工程上增加三类变化。借阅规则采用策略模式，学生、教师和VIP分别校验上限，通过注册表选择，新增类型无需改已有规则。</w:t>
      </w:r>
    </w:p>
    <w:p>
      <w:r>
        <w:t>借阅服务采用模板方法，固定查找、校验、借出、保存、成功扩展及通知的顺序。标准服务不追加处理，审计服务仅覆盖成功钩子；保存失败恢复图书状态，不产生审计或通知。</w:t>
      </w:r>
    </w:p>
    <w:p>
      <w:r>
        <w:t>图书采用状态模式，由可借、借出、预约、维修状态决定合法动作与迁移。预约仅允许预约人借出或取消，非法动作保持原状态。</w:t>
      </w:r>
    </w:p>
    <w:p>
      <w:r>
        <w:t>原有SMS与Email通知仍可替换。代价是策略、状态类增加及继承耦合。验证保留旧行为，并覆盖规则边界、保存失败和全部状态动作组合。VIP上限暂定15本，具体细则见README。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20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第3次课图书借阅设计说明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